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livrable 2, accompagnement</w:t>
      </w:r>
    </w:p>
    <w:p>
      <w:pPr>
        <w:pStyle w:val="Title"/>
        <w:spacing w:after="60"/>
      </w:pPr>
      <w:r>
        <w:t>Guide de prise en main</w:t>
      </w:r>
    </w:p>
    <w:p>
      <w:pPr>
        <w:spacing w:after="360"/>
      </w:pPr>
      <w:r>
        <w:rPr>
          <w:rFonts w:ascii="Calibri" w:hAnsi="Calibri"/>
          <w:color w:val="3D5A80"/>
          <w:sz w:val="24"/>
        </w:rPr>
        <w:t>Lire et utiliser les résultats de l'analyse BottleNeck, sans être technicien</w:t>
      </w:r>
    </w:p>
    <w:p>
      <w:pPr>
        <w:pBdr>
          <w:bottom w:val="single" w:sz="8" w:space="1" w:color="C9D3DF"/>
        </w:pBdr>
        <w:spacing w:after="280"/>
      </w:pPr>
    </w:p>
    <w:p>
      <w:pPr>
        <w:spacing w:after="60"/>
      </w:pPr>
      <w:r>
        <w:rPr>
          <w:rFonts w:ascii="Calibri" w:hAnsi="Calibri"/>
          <w:b/>
          <w:color w:val="1F2937"/>
          <w:sz w:val="20"/>
        </w:rPr>
        <w:t xml:space="preserve">Destinataires : </w:t>
      </w:r>
      <w:r>
        <w:rPr>
          <w:rFonts w:ascii="Calibri" w:hAnsi="Calibri"/>
          <w:color w:val="333333"/>
          <w:sz w:val="20"/>
        </w:rPr>
        <w:t xml:space="preserve">Service achats, comité de direction et Nicolas, équipe commerce en ligne</w:t>
      </w: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Objet : </w:t>
      </w:r>
      <w:r>
        <w:rPr>
          <w:rFonts w:ascii="Calibri" w:hAnsi="Calibri"/>
          <w:color w:val="333333"/>
          <w:sz w:val="20"/>
        </w:rPr>
        <w:t>Rendre les utilisateurs autonomes sur la lecture des résultats</w:t>
      </w:r>
    </w:p>
    <w:p>
      <w:pPr>
        <w:spacing w:after="60"/>
      </w:pPr>
      <w:r>
        <w:rPr>
          <w:rFonts w:ascii="Calibri" w:hAnsi="Calibri"/>
          <w:b/>
          <w:color w:val="1F2937"/>
          <w:sz w:val="20"/>
        </w:rPr>
        <w:t xml:space="preserve">Accessibilité : </w:t>
      </w:r>
      <w:r>
        <w:rPr>
          <w:rFonts w:ascii="Calibri" w:hAnsi="Calibri"/>
          <w:color w:val="333333"/>
          <w:sz w:val="20"/>
        </w:rPr>
        <w:t>Fiches imprimables, contrastes renforcés, aucune information portée par la seule couleur</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1F2937"/>
          <w:sz w:val="20"/>
        </w:rPr>
        <w:t xml:space="preserve">Version : </w:t>
      </w:r>
      <w:r>
        <w:rPr>
          <w:rFonts w:ascii="Calibri" w:hAnsi="Calibri"/>
          <w:color w:val="333333"/>
          <w:sz w:val="20"/>
        </w:rPr>
        <w:t xml:space="preserve">1.5, le 7 octobre 2026 : résultat de la mise en situation (section 7) ; 1.4, mise à jour du 1er octobre 2026 (date du dépôt, typographie) ; 1.3, mise en situation de fin de séquence 4 (section 7) et listes de réassort, le 25 septembre 2026, et mise à jour du 28 septembre 2026 (figure de concentration, alerte annotée, texte allégé) ; 1.2, publics et référence à 12,65 euros alignés sur le cahier des charges, le 25 septembre 2026 ; 1.1, phrase sur les avis clients corrigée le 24 septembre 2026 ; 1.0</w:t>
      </w:r>
    </w:p>
    <w:p>
      <w:pPr>
        <w:spacing w:before="60" w:after="160"/>
      </w:pPr>
      <w:r>
        <w:rPr>
          <w:rFonts w:ascii="Calibri" w:hAnsi="Calibri"/>
          <w:b w:val="0"/>
          <w:i w:val="0"/>
          <w:color w:val="333333"/>
          <w:sz w:val="20"/>
        </w:rPr>
        <w:t xml:space="preserve">Ce guide accompagne les quatre séquences de formation. Il est écrit sans jargon : chaque terme technique est expliqué par une comparaison prise dans votre quotidien. Il se lit seul, dans l'ordre, en une vingtaine de minutes. La section 7 décrit la mise en situation qui termine la formation.</w:t>
      </w:r>
    </w:p>
    <w:p>
      <w:pPr>
        <w:spacing w:after="40"/>
      </w:pP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À quoi sert l'analyse</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2" w:history="1">
        <w:r>
          <w:rPr>
            <w:rFonts w:ascii="Calibri" w:hAnsi="Calibri"/>
            <w:color w:val="1F2937"/>
            <w:sz w:val="21"/>
          </w:rPr>
          <w:t xml:space="preserve">2. Comment lire les résultats</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3" w:history="1">
        <w:r>
          <w:rPr>
            <w:rFonts w:ascii="Calibri" w:hAnsi="Calibri"/>
            <w:color w:val="1F2937"/>
            <w:sz w:val="21"/>
          </w:rPr>
          <w:t xml:space="preserve">2.1 La vue produit unifiée</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4" w:history="1">
        <w:r>
          <w:rPr>
            <w:rFonts w:ascii="Calibri" w:hAnsi="Calibri"/>
            <w:color w:val="1F2937"/>
            <w:sz w:val="21"/>
          </w:rPr>
          <w:t xml:space="preserve">2.2 La concentration du chiffre d'affaires</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5" w:history="1">
        <w:r>
          <w:rPr>
            <w:rFonts w:ascii="Calibri" w:hAnsi="Calibri"/>
            <w:color w:val="1F2937"/>
            <w:sz w:val="21"/>
          </w:rPr>
          <w:t xml:space="preserve">2.3 Les anomalies signalées</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6" w:history="1">
        <w:r>
          <w:rPr>
            <w:rFonts w:ascii="Calibri" w:hAnsi="Calibri"/>
            <w:color w:val="1F2937"/>
            <w:sz w:val="21"/>
          </w:rPr>
          <w:t xml:space="preserve">2.4 Les facteurs de vente</w:t>
        </w:r>
        <w:r>
          <w:rPr>
            <w:rFonts w:ascii="Calibri" w:hAnsi="Calibri"/>
            <w:color w:val="1F2937"/>
            <w:sz w:val="21"/>
          </w:rPr>
          <w:tab/>
        </w:r>
        <w:r>
          <w:rPr>
            <w:rFonts w:ascii="Calibri" w:hAnsi="Calibri"/>
            <w:color w:val="1F2937"/>
            <w:sz w:val="21"/>
          </w:rPr>
          <w:t>5</w:t>
        </w:r>
      </w:hyperlink>
    </w:p>
    <w:p>
      <w:pPr>
        <w:tabs>
          <w:tab w:val="right" w:leader="dot" w:pos="9298"/>
        </w:tabs>
        <w:spacing w:after="40"/>
        <w:ind w:left="0"/>
      </w:pPr>
      <w:hyperlink w:anchor="_TocP130007" w:history="1">
        <w:r>
          <w:rPr>
            <w:rFonts w:ascii="Calibri" w:hAnsi="Calibri"/>
            <w:color w:val="1F2937"/>
            <w:sz w:val="21"/>
          </w:rPr>
          <w:t xml:space="preserve">3. Ce que l'analyse ne fait pas</w:t>
        </w:r>
        <w:r>
          <w:rPr>
            <w:rFonts w:ascii="Calibri" w:hAnsi="Calibri"/>
            <w:color w:val="1F2937"/>
            <w:sz w:val="21"/>
          </w:rPr>
          <w:tab/>
        </w:r>
        <w:r>
          <w:rPr>
            <w:rFonts w:ascii="Calibri" w:hAnsi="Calibri"/>
            <w:color w:val="1F2937"/>
            <w:sz w:val="21"/>
          </w:rPr>
          <w:t>5</w:t>
        </w:r>
      </w:hyperlink>
    </w:p>
    <w:p>
      <w:pPr>
        <w:tabs>
          <w:tab w:val="right" w:leader="dot" w:pos="9298"/>
        </w:tabs>
        <w:spacing w:after="40"/>
        <w:ind w:left="0"/>
      </w:pPr>
      <w:hyperlink w:anchor="_TocP130008" w:history="1">
        <w:r>
          <w:rPr>
            <w:rFonts w:ascii="Calibri" w:hAnsi="Calibri"/>
            <w:color w:val="1F2937"/>
            <w:sz w:val="21"/>
          </w:rPr>
          <w:t xml:space="preserve">4. Que faire en pratique, semaine par semaine</w:t>
        </w:r>
        <w:r>
          <w:rPr>
            <w:rFonts w:ascii="Calibri" w:hAnsi="Calibri"/>
            <w:color w:val="1F2937"/>
            <w:sz w:val="21"/>
          </w:rPr>
          <w:tab/>
        </w:r>
        <w:r>
          <w:rPr>
            <w:rFonts w:ascii="Calibri" w:hAnsi="Calibri"/>
            <w:color w:val="1F2937"/>
            <w:sz w:val="21"/>
          </w:rPr>
          <w:t>5</w:t>
        </w:r>
      </w:hyperlink>
    </w:p>
    <w:p>
      <w:pPr>
        <w:tabs>
          <w:tab w:val="right" w:leader="dot" w:pos="9298"/>
        </w:tabs>
        <w:spacing w:after="40"/>
        <w:ind w:left="0"/>
      </w:pPr>
      <w:hyperlink w:anchor="_TocP130009" w:history="1">
        <w:r>
          <w:rPr>
            <w:rFonts w:ascii="Calibri" w:hAnsi="Calibri"/>
            <w:color w:val="1F2937"/>
            <w:sz w:val="21"/>
          </w:rPr>
          <w:t xml:space="preserve">5. Glossaire</w:t>
        </w:r>
        <w:r>
          <w:rPr>
            <w:rFonts w:ascii="Calibri" w:hAnsi="Calibri"/>
            <w:color w:val="1F2937"/>
            <w:sz w:val="21"/>
          </w:rPr>
          <w:tab/>
        </w:r>
        <w:r>
          <w:rPr>
            <w:rFonts w:ascii="Calibri" w:hAnsi="Calibri"/>
            <w:color w:val="1F2937"/>
            <w:sz w:val="21"/>
          </w:rPr>
          <w:t>5</w:t>
        </w:r>
      </w:hyperlink>
    </w:p>
    <w:p>
      <w:pPr>
        <w:tabs>
          <w:tab w:val="right" w:leader="dot" w:pos="9298"/>
        </w:tabs>
        <w:spacing w:after="40"/>
        <w:ind w:left="0"/>
      </w:pPr>
      <w:hyperlink w:anchor="_TocP130010" w:history="1">
        <w:r>
          <w:rPr>
            <w:rFonts w:ascii="Calibri" w:hAnsi="Calibri"/>
            <w:color w:val="1F2937"/>
            <w:sz w:val="21"/>
          </w:rPr>
          <w:t xml:space="preserve">6. À qui s'adresser</w:t>
        </w:r>
        <w:r>
          <w:rPr>
            <w:rFonts w:ascii="Calibri" w:hAnsi="Calibri"/>
            <w:color w:val="1F2937"/>
            <w:sz w:val="21"/>
          </w:rPr>
          <w:tab/>
        </w:r>
        <w:r>
          <w:rPr>
            <w:rFonts w:ascii="Calibri" w:hAnsi="Calibri"/>
            <w:color w:val="1F2937"/>
            <w:sz w:val="21"/>
          </w:rPr>
          <w:t>6</w:t>
        </w:r>
      </w:hyperlink>
    </w:p>
    <w:p>
      <w:pPr>
        <w:tabs>
          <w:tab w:val="right" w:leader="dot" w:pos="9298"/>
        </w:tabs>
        <w:spacing w:after="40"/>
        <w:ind w:left="0"/>
      </w:pPr>
      <w:hyperlink w:anchor="_TocP130011" w:history="1">
        <w:r>
          <w:rPr>
            <w:rFonts w:ascii="Calibri" w:hAnsi="Calibri"/>
            <w:color w:val="1F2937"/>
            <w:sz w:val="21"/>
          </w:rPr>
          <w:t xml:space="preserve">7. La mise en situation, en fin de séquence 4</w:t>
        </w:r>
        <w:r>
          <w:rPr>
            <w:rFonts w:ascii="Calibri" w:hAnsi="Calibri"/>
            <w:color w:val="1F2937"/>
            <w:sz w:val="21"/>
          </w:rPr>
          <w:tab/>
        </w:r>
        <w:r>
          <w:rPr>
            <w:rFonts w:ascii="Calibri" w:hAnsi="Calibri"/>
            <w:color w:val="1F2937"/>
            <w:sz w:val="21"/>
          </w:rPr>
          <w:t>6</w:t>
        </w:r>
      </w:hyperlink>
      <w:r>
        <w:fldChar w:fldCharType="end"/>
      </w:r>
    </w:p>
    <w:p>
      <w:r>
        <w:br w:type="page"/>
      </w:r>
    </w:p>
    <w:p>
      <w:pPr>
        <w:pStyle w:val="Heading1"/>
      </w:pPr>
      <w:bookmarkStart w:id="7001" w:name="_TocP130001"/>
      <w:r>
        <w:t>1. À quoi sert l'analyse</w:t>
      </w:r>
      <w:bookmarkEnd w:id="7001"/>
    </w:p>
    <w:p>
      <w:r>
        <w:rPr>
          <w:rFonts w:ascii="Calibri" w:hAnsi="Calibri"/>
          <w:b w:val="0"/>
          <w:i w:val="0"/>
          <w:color w:val="333333"/>
          <w:sz w:val="21"/>
        </w:rPr>
        <w:t>Vos deux systèmes ne se parlent pas. L'ERP connaît les produits, les prix et les stocks. Le site de vente connaît les commandes. Personne ne peut donc dire, sans travail préalable, combien rapporte réellement une référence donnée.</w:t>
      </w:r>
    </w:p>
    <w:p>
      <w:r>
        <w:rPr>
          <w:rFonts w:ascii="Calibri" w:hAnsi="Calibri"/>
          <w:b w:val="0"/>
          <w:i w:val="0"/>
          <w:color w:val="333333"/>
          <w:sz w:val="21"/>
        </w:rPr>
        <w:t>L'analyse fait ce rapprochement, vérifie que les chiffres sont plausibles, signale ce qui semble anormal, et indique quelles références portent la performance. Elle répond à trois questions concrètes.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268"/>
            <w:shd w:val="clear" w:color="auto" w:fill="1F2937"/>
          </w:tcPr>
          <w:p>
            <w:pPr>
              <w:spacing w:after="0"/>
            </w:pPr>
            <w:r>
              <w:rPr>
                <w:rFonts w:ascii="Calibri" w:hAnsi="Calibri"/>
                <w:b/>
                <w:color w:val="FFFFFF"/>
                <w:sz w:val="18"/>
              </w:rPr>
              <w:t>Question</w:t>
            </w:r>
          </w:p>
        </w:tc>
        <w:tc>
          <w:tcPr>
            <w:tcW w:type="dxa" w:w="3628"/>
            <w:shd w:val="clear" w:color="auto" w:fill="1F2937"/>
          </w:tcPr>
          <w:p>
            <w:pPr>
              <w:spacing w:after="0"/>
            </w:pPr>
            <w:r>
              <w:rPr>
                <w:rFonts w:ascii="Calibri" w:hAnsi="Calibri"/>
                <w:b/>
                <w:color w:val="FFFFFF"/>
                <w:sz w:val="18"/>
              </w:rPr>
              <w:t>Ce que l'analyse répond</w:t>
            </w:r>
          </w:p>
        </w:tc>
        <w:tc>
          <w:tcPr>
            <w:tcW w:type="dxa" w:w="3402"/>
            <w:shd w:val="clear" w:color="auto" w:fill="1F2937"/>
          </w:tcPr>
          <w:p>
            <w:pPr>
              <w:spacing w:after="0"/>
            </w:pPr>
            <w:r>
              <w:rPr>
                <w:rFonts w:ascii="Calibri" w:hAnsi="Calibri"/>
                <w:b/>
                <w:color w:val="FFFFFF"/>
                <w:sz w:val="18"/>
              </w:rPr>
              <w:t>Ce que vous pouvez en faire</w:t>
            </w:r>
          </w:p>
        </w:tc>
      </w:tr>
      <w:tr>
        <w:trPr>
          <w:cantSplit/>
        </w:trPr>
        <w:tc>
          <w:tcPr>
            <w:tcW w:type="dxa" w:w="2268"/>
          </w:tcPr>
          <w:p>
            <w:pPr>
              <w:spacing w:after="0" w:line="252" w:lineRule="auto"/>
            </w:pPr>
            <w:r>
              <w:rPr>
                <w:rFonts w:ascii="Calibri" w:hAnsi="Calibri"/>
                <w:b w:val="0"/>
                <w:i w:val="0"/>
                <w:color w:val="333333"/>
                <w:sz w:val="18"/>
              </w:rPr>
              <w:t>Combien vendons-nous réellement</w:t>
            </w:r>
          </w:p>
        </w:tc>
        <w:tc>
          <w:tcPr>
            <w:tcW w:type="dxa" w:w="3628"/>
          </w:tcPr>
          <w:p>
            <w:pPr>
              <w:spacing w:after="0" w:line="252" w:lineRule="auto"/>
            </w:pPr>
            <w:r>
              <w:rPr>
                <w:rFonts w:ascii="Calibri" w:hAnsi="Calibri"/>
                <w:b w:val="0"/>
                <w:i w:val="0"/>
                <w:color w:val="333333"/>
                <w:sz w:val="18"/>
              </w:rPr>
              <w:t>143 680 euros de chiffre d'affaires reconstitué, pour 5 751 unités</w:t>
            </w:r>
          </w:p>
        </w:tc>
        <w:tc>
          <w:tcPr>
            <w:tcW w:type="dxa" w:w="3402"/>
          </w:tcPr>
          <w:p>
            <w:pPr>
              <w:spacing w:after="0" w:line="252" w:lineRule="auto"/>
            </w:pPr>
            <w:r>
              <w:rPr>
                <w:rFonts w:ascii="Calibri" w:hAnsi="Calibri"/>
                <w:b w:val="0"/>
                <w:i w:val="0"/>
                <w:color w:val="333333"/>
                <w:sz w:val="18"/>
              </w:rPr>
              <w:t>Recouper avec la comptabilité et expliquer les écarts</w:t>
            </w:r>
          </w:p>
        </w:tc>
      </w:tr>
      <w:tr>
        <w:trPr>
          <w:cantSplit/>
        </w:trPr>
        <w:tc>
          <w:tcPr>
            <w:tcW w:type="dxa" w:w="2268"/>
            <w:shd w:val="clear" w:color="auto" w:fill="F1F5F9"/>
          </w:tcPr>
          <w:p>
            <w:pPr>
              <w:spacing w:after="0" w:line="252" w:lineRule="auto"/>
            </w:pPr>
            <w:r>
              <w:rPr>
                <w:rFonts w:ascii="Calibri" w:hAnsi="Calibri"/>
                <w:b w:val="0"/>
                <w:i w:val="0"/>
                <w:color w:val="333333"/>
                <w:sz w:val="18"/>
              </w:rPr>
              <w:t>Quelles références comptent vraiment</w:t>
            </w:r>
          </w:p>
        </w:tc>
        <w:tc>
          <w:tcPr>
            <w:tcW w:type="dxa" w:w="3628"/>
            <w:shd w:val="clear" w:color="auto" w:fill="F1F5F9"/>
          </w:tcPr>
          <w:p>
            <w:pPr>
              <w:spacing w:after="0" w:line="252" w:lineRule="auto"/>
            </w:pPr>
            <w:r>
              <w:rPr>
                <w:rFonts w:ascii="Calibri" w:hAnsi="Calibri"/>
                <w:b w:val="0"/>
                <w:i w:val="0"/>
                <w:color w:val="333333"/>
                <w:sz w:val="18"/>
              </w:rPr>
              <w:t>435 références sur les 689 qui vendent portent 80 % du chiffre d'affaires</w:t>
            </w:r>
          </w:p>
        </w:tc>
        <w:tc>
          <w:tcPr>
            <w:tcW w:type="dxa" w:w="3402"/>
            <w:shd w:val="clear" w:color="auto" w:fill="F1F5F9"/>
          </w:tcPr>
          <w:p>
            <w:pPr>
              <w:spacing w:after="0" w:line="252" w:lineRule="auto"/>
            </w:pPr>
            <w:r>
              <w:rPr>
                <w:rFonts w:ascii="Calibri" w:hAnsi="Calibri"/>
                <w:b w:val="0"/>
                <w:i w:val="0"/>
                <w:color w:val="333333"/>
                <w:sz w:val="18"/>
              </w:rPr>
              <w:t>Concentrer les efforts de réassort et de négociation</w:t>
            </w:r>
          </w:p>
        </w:tc>
      </w:tr>
      <w:tr>
        <w:trPr>
          <w:cantSplit/>
        </w:trPr>
        <w:tc>
          <w:tcPr>
            <w:tcW w:type="dxa" w:w="2268"/>
          </w:tcPr>
          <w:p>
            <w:pPr>
              <w:spacing w:after="0" w:line="252" w:lineRule="auto"/>
            </w:pPr>
            <w:r>
              <w:rPr>
                <w:rFonts w:ascii="Calibri" w:hAnsi="Calibri"/>
                <w:b w:val="0"/>
                <w:i w:val="0"/>
                <w:color w:val="333333"/>
                <w:sz w:val="18"/>
              </w:rPr>
              <w:t>Que réassortir en priorité</w:t>
            </w:r>
          </w:p>
        </w:tc>
        <w:tc>
          <w:tcPr>
            <w:tcW w:type="dxa" w:w="3628"/>
          </w:tcPr>
          <w:p>
            <w:pPr>
              <w:spacing w:after="0" w:line="252" w:lineRule="auto"/>
            </w:pPr>
            <w:r>
              <w:rPr>
                <w:rFonts w:ascii="Calibri" w:hAnsi="Calibri"/>
                <w:b w:val="0"/>
                <w:i w:val="0"/>
                <w:color w:val="333333"/>
                <w:sz w:val="18"/>
              </w:rPr>
              <w:t xml:space="preserve">Le stock disponible est le premier facteur du modèle de ventes</w:t>
            </w:r>
          </w:p>
        </w:tc>
        <w:tc>
          <w:tcPr>
            <w:tcW w:type="dxa" w:w="3402"/>
          </w:tcPr>
          <w:p>
            <w:pPr>
              <w:spacing w:after="0" w:line="252" w:lineRule="auto"/>
            </w:pPr>
            <w:r>
              <w:rPr>
                <w:rFonts w:ascii="Calibri" w:hAnsi="Calibri"/>
                <w:b w:val="0"/>
                <w:i w:val="0"/>
                <w:color w:val="333333"/>
                <w:sz w:val="18"/>
              </w:rPr>
              <w:t>Prioriser les réassorts sur les références qui tournent</w:t>
            </w:r>
          </w:p>
        </w:tc>
      </w:tr>
    </w:tbl>
    <w:p>
      <w:pPr>
        <w:spacing w:after="40"/>
      </w:pPr>
    </w:p>
    <w:p>
      <w:pPr>
        <w:pStyle w:val="Heading1"/>
      </w:pPr>
      <w:bookmarkStart w:id="7002" w:name="_TocP130002"/>
      <w:r>
        <w:t>2. Comment lire les résultats</w:t>
      </w:r>
      <w:bookmarkEnd w:id="7002"/>
    </w:p>
    <w:p>
      <w:pPr>
        <w:pStyle w:val="Heading2"/>
      </w:pPr>
      <w:bookmarkStart w:id="7003" w:name="_TocP130003"/>
      <w:r>
        <w:t>2.1 La vue produit unifiée</w:t>
      </w:r>
      <w:bookmarkEnd w:id="7003"/>
    </w:p>
    <w:p>
      <w:r>
        <w:rPr>
          <w:rFonts w:ascii="Calibri" w:hAnsi="Calibri"/>
          <w:b w:val="0"/>
          <w:i w:val="0"/>
          <w:color w:val="333333"/>
          <w:sz w:val="21"/>
        </w:rPr>
        <w:t xml:space="preserve">C'est un tableau où chaque ligne correspond à une référence et réunit ses informations issues des deux systèmes : prix de vente, prix d'achat, marge, stock, unités vendues et chiffre d'affaires généré. Il contient 714 références, celles pour lesquelles le rapprochement a été possible.</w:t>
      </w:r>
    </w:p>
    <w:p>
      <w:pPr>
        <w:spacing w:before="60" w:after="160"/>
      </w:pPr>
      <w:r>
        <w:rPr>
          <w:rFonts w:ascii="Calibri" w:hAnsi="Calibri"/>
          <w:b/>
          <w:i w:val="0"/>
          <w:color w:val="333333"/>
          <w:sz w:val="20"/>
        </w:rPr>
        <w:t>Pourquoi 714 et pas la totalité du catalogue ?</w:t>
      </w:r>
      <w:r>
        <w:rPr>
          <w:rFonts w:ascii="Calibri" w:hAnsi="Calibri"/>
          <w:b w:val="0"/>
          <w:i w:val="0"/>
          <w:color w:val="333333"/>
          <w:sz w:val="20"/>
        </w:rPr>
        <w:t xml:space="preserve"> Certaines lignes de l'ERP n'ont pas de correspondance sur le site, et inversement. Ces cas sont comptés et documentés, ils ne sont pas perdus. Une référence absente du tableau est une référence dont le rapprochement a échoué, ce qui est en soi une information à traiter.</w:t>
      </w:r>
    </w:p>
    <w:p>
      <w:pPr>
        <w:spacing w:after="40"/>
      </w:pPr>
    </w:p>
    <w:p>
      <w:pPr>
        <w:pStyle w:val="Heading2"/>
      </w:pPr>
      <w:bookmarkStart w:id="7004" w:name="_TocP130004"/>
      <w:r>
        <w:t>2.2 La concentration du chiffre d'affaires</w:t>
      </w:r>
      <w:bookmarkEnd w:id="7004"/>
    </w:p>
    <w:p>
      <w:r>
        <w:rPr>
          <w:rFonts w:ascii="Calibri" w:hAnsi="Calibri"/>
          <w:b w:val="0"/>
          <w:i w:val="0"/>
          <w:color w:val="333333"/>
          <w:sz w:val="21"/>
        </w:rPr>
        <w:t xml:space="preserve">Le graphique de concentration (figure 1) se lit de gauche à droite. L'axe horizontal classe les références du plus gros au plus petit chiffre d'affaires. L'axe vertical donne la part cumulée du chiffre d'affaires. Le point utile est celui où la courbe croise 80 %.</w:t>
      </w:r>
    </w:p>
    <w:p>
      <w:r>
        <w:rPr>
          <w:rFonts w:ascii="Calibri" w:hAnsi="Calibri"/>
          <w:b w:val="0"/>
          <w:i w:val="0"/>
          <w:color w:val="333333"/>
          <w:sz w:val="21"/>
        </w:rPr>
        <w:t xml:space="preserve">Chez BottleNeck, ce point est à 435 références, 63 % de celles qui vendent : près des deux tiers du catalogue actif font 80 % du chiffre d'affaires. C'est une concentration faible, loin d'une règle 20/80 : aucun petit noyau ne porte l'essentiel. Le réassort prioritaire couvre donc ces 435 références ; les 254 autres demandent une politique à part.</w:t>
      </w:r>
    </w:p>
    <w:p>
      <w:pPr>
        <w:keepNext/>
        <w:spacing w:after="60"/>
        <w:jc w:val="center"/>
      </w:pPr>
      <w:r>
        <w:drawing>
          <wp:inline xmlns:a="http://schemas.openxmlformats.org/drawingml/2006/main" xmlns:pic="http://schemas.openxmlformats.org/drawingml/2006/picture">
            <wp:extent cx="4860000" cy="2491448"/>
            <wp:docPr id="101" name="Picture 101"/>
            <wp:cNvGraphicFramePr>
              <a:graphicFrameLocks noChangeAspect="1"/>
            </wp:cNvGraphicFramePr>
            <a:graphic>
              <a:graphicData uri="http://schemas.openxmlformats.org/drawingml/2006/picture">
                <pic:pic>
                  <pic:nvPicPr>
                    <pic:cNvPr id="0" name="fig_concentration.png"/>
                    <pic:cNvPicPr/>
                  </pic:nvPicPr>
                  <pic:blipFill>
                    <a:blip r:embed="rIdImg1"/>
                    <a:stretch>
                      <a:fillRect/>
                    </a:stretch>
                  </pic:blipFill>
                  <pic:spPr>
                    <a:xfrm>
                      <a:off x="0" y="0"/>
                      <a:ext cx="4860000" cy="2491448"/>
                    </a:xfrm>
                    <a:prstGeom prst="rect"/>
                  </pic:spPr>
                </pic:pic>
              </a:graphicData>
            </a:graphic>
          </wp:inline>
        </w:drawing>
      </w:r>
    </w:p>
    <w:p>
      <w:pPr>
        <w:spacing w:after="200"/>
        <w:jc w:val="center"/>
      </w:pPr>
      <w:r>
        <w:rPr>
          <w:rFonts w:ascii="Calibri" w:hAnsi="Calibri"/>
          <w:i/>
          <w:color w:val="64748B"/>
          <w:sz w:val="17"/>
        </w:rPr>
        <w:t xml:space="preserve">Figure 1. Concentration du chiffre d'affaires : la courbe croise 80 % à 435 références, 63 % de celles qui vendent. Figure redessinée à partir des sorties du notebook (mêmes données).</w:t>
      </w:r>
    </w:p>
    <w:p>
      <w:pPr>
        <w:pStyle w:val="Heading2"/>
      </w:pPr>
      <w:bookmarkStart w:id="7005" w:name="_TocP130005"/>
      <w:r>
        <w:t>2.3 Les anomalies signalées</w:t>
      </w:r>
      <w:bookmarkEnd w:id="7005"/>
    </w:p>
    <w:p>
      <w:r>
        <w:rPr>
          <w:rFonts w:ascii="Calibri" w:hAnsi="Calibri"/>
          <w:b w:val="0"/>
          <w:i w:val="0"/>
          <w:color w:val="333333"/>
          <w:sz w:val="21"/>
        </w:rPr>
        <w:t>Deux méthodes complémentaires signalent les références suspectes.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8"/>
              </w:rPr>
              <w:t>Méthode</w:t>
            </w:r>
          </w:p>
        </w:tc>
        <w:tc>
          <w:tcPr>
            <w:tcW w:type="dxa" w:w="3402"/>
            <w:shd w:val="clear" w:color="auto" w:fill="1F2937"/>
          </w:tcPr>
          <w:p>
            <w:pPr>
              <w:spacing w:after="0"/>
            </w:pPr>
            <w:r>
              <w:rPr>
                <w:rFonts w:ascii="Calibri" w:hAnsi="Calibri"/>
                <w:b/>
                <w:color w:val="FFFFFF"/>
                <w:sz w:val="18"/>
              </w:rPr>
              <w:t>Ce qu'elle regarde</w:t>
            </w:r>
          </w:p>
        </w:tc>
        <w:tc>
          <w:tcPr>
            <w:tcW w:type="dxa" w:w="3402"/>
            <w:shd w:val="clear" w:color="auto" w:fill="1F2937"/>
          </w:tcPr>
          <w:p>
            <w:pPr>
              <w:spacing w:after="0"/>
            </w:pPr>
            <w:r>
              <w:rPr>
                <w:rFonts w:ascii="Calibri" w:hAnsi="Calibri"/>
                <w:b/>
                <w:color w:val="FFFFFF"/>
                <w:sz w:val="18"/>
              </w:rPr>
              <w:t>Exemple de ce qu'elle trouve</w:t>
            </w:r>
          </w:p>
        </w:tc>
      </w:tr>
      <w:tr>
        <w:trPr>
          <w:cantSplit/>
        </w:trPr>
        <w:tc>
          <w:tcPr>
            <w:tcW w:type="dxa" w:w="2494"/>
          </w:tcPr>
          <w:p>
            <w:pPr>
              <w:spacing w:after="0" w:line="252" w:lineRule="auto"/>
            </w:pPr>
            <w:r>
              <w:rPr>
                <w:rFonts w:ascii="Calibri" w:hAnsi="Calibri"/>
                <w:b w:val="0"/>
                <w:i w:val="0"/>
                <w:color w:val="333333"/>
                <w:sz w:val="18"/>
              </w:rPr>
              <w:t>Détection sur une seule caractéristique</w:t>
            </w:r>
          </w:p>
        </w:tc>
        <w:tc>
          <w:tcPr>
            <w:tcW w:type="dxa" w:w="3402"/>
          </w:tcPr>
          <w:p>
            <w:pPr>
              <w:spacing w:after="0" w:line="252" w:lineRule="auto"/>
            </w:pPr>
            <w:r>
              <w:rPr>
                <w:rFonts w:ascii="Calibri" w:hAnsi="Calibri"/>
                <w:b w:val="0"/>
                <w:i w:val="0"/>
                <w:color w:val="333333"/>
                <w:sz w:val="18"/>
              </w:rPr>
              <w:t>Le prix, comparé à la moyenne du catalogue</w:t>
            </w:r>
          </w:p>
        </w:tc>
        <w:tc>
          <w:tcPr>
            <w:tcW w:type="dxa" w:w="3402"/>
          </w:tcPr>
          <w:p>
            <w:pPr>
              <w:spacing w:after="0" w:line="252" w:lineRule="auto"/>
            </w:pPr>
            <w:r>
              <w:rPr>
                <w:rFonts w:ascii="Calibri" w:hAnsi="Calibri"/>
                <w:b w:val="0"/>
                <w:i w:val="0"/>
                <w:color w:val="333333"/>
                <w:sz w:val="18"/>
              </w:rPr>
              <w:t>Une bouteille affichée à un prix très éloigné du reste de la gamme</w:t>
            </w:r>
          </w:p>
        </w:tc>
      </w:tr>
      <w:tr>
        <w:trPr>
          <w:cantSplit/>
        </w:trPr>
        <w:tc>
          <w:tcPr>
            <w:tcW w:type="dxa" w:w="2494"/>
            <w:shd w:val="clear" w:color="auto" w:fill="F1F5F9"/>
          </w:tcPr>
          <w:p>
            <w:pPr>
              <w:spacing w:after="0" w:line="252" w:lineRule="auto"/>
            </w:pPr>
            <w:r>
              <w:rPr>
                <w:rFonts w:ascii="Calibri" w:hAnsi="Calibri"/>
                <w:b w:val="0"/>
                <w:i w:val="0"/>
                <w:color w:val="333333"/>
                <w:sz w:val="18"/>
              </w:rPr>
              <w:t>Détection croisée</w:t>
            </w:r>
          </w:p>
        </w:tc>
        <w:tc>
          <w:tcPr>
            <w:tcW w:type="dxa" w:w="3402"/>
            <w:shd w:val="clear" w:color="auto" w:fill="F1F5F9"/>
          </w:tcPr>
          <w:p>
            <w:pPr>
              <w:spacing w:after="0" w:line="252" w:lineRule="auto"/>
            </w:pPr>
            <w:r>
              <w:rPr>
                <w:rFonts w:ascii="Calibri" w:hAnsi="Calibri"/>
                <w:b w:val="0"/>
                <w:i w:val="0"/>
                <w:color w:val="333333"/>
                <w:sz w:val="18"/>
              </w:rPr>
              <w:t>Le prix, le prix d'achat, le stock, les ventes et la marge, ensemble</w:t>
            </w:r>
          </w:p>
        </w:tc>
        <w:tc>
          <w:tcPr>
            <w:tcW w:type="dxa" w:w="3402"/>
            <w:shd w:val="clear" w:color="auto" w:fill="F1F5F9"/>
          </w:tcPr>
          <w:p>
            <w:pPr>
              <w:spacing w:after="0" w:line="252" w:lineRule="auto"/>
            </w:pPr>
            <w:r>
              <w:rPr>
                <w:rFonts w:ascii="Calibri" w:hAnsi="Calibri"/>
                <w:b w:val="0"/>
                <w:i w:val="0"/>
                <w:color w:val="333333"/>
                <w:sz w:val="18"/>
              </w:rPr>
              <w:t xml:space="preserve">Une référence dont le prix semble normal mais qui est affichée en dessous de son prix d'achat</w:t>
            </w:r>
          </w:p>
        </w:tc>
      </w:tr>
    </w:tbl>
    <w:p>
      <w:pPr>
        <w:spacing w:before="160"/>
      </w:pPr>
      <w:r>
        <w:rPr>
          <w:rFonts w:ascii="Calibri" w:hAnsi="Calibri"/>
          <w:b w:val="0"/>
          <w:i w:val="0"/>
          <w:color w:val="333333"/>
          <w:sz w:val="21"/>
        </w:rPr>
        <w:t xml:space="preserve">La figure 2 montre comment lire une alerte, sur trois lignes de la liste produite par la détection croisée.</w:t>
      </w:r>
    </w:p>
    <w:p>
      <w:pPr>
        <w:keepNext/>
        <w:spacing w:after="60"/>
        <w:jc w:val="center"/>
      </w:pPr>
      <w:r>
        <w:drawing>
          <wp:inline xmlns:a="http://schemas.openxmlformats.org/drawingml/2006/main" xmlns:pic="http://schemas.openxmlformats.org/drawingml/2006/picture">
            <wp:extent cx="5760000" cy="1243429"/>
            <wp:docPr id="102" name="Picture 102"/>
            <wp:cNvGraphicFramePr>
              <a:graphicFrameLocks noChangeAspect="1"/>
            </wp:cNvGraphicFramePr>
            <a:graphic>
              <a:graphicData uri="http://schemas.openxmlformats.org/drawingml/2006/picture">
                <pic:pic>
                  <pic:nvPicPr>
                    <pic:cNvPr id="0" name="fig_guide_alerte_annotee.png"/>
                    <pic:cNvPicPr/>
                  </pic:nvPicPr>
                  <pic:blipFill>
                    <a:blip r:embed="rIdImg2"/>
                    <a:stretch>
                      <a:fillRect/>
                    </a:stretch>
                  </pic:blipFill>
                  <pic:spPr>
                    <a:xfrm>
                      <a:off x="0" y="0"/>
                      <a:ext cx="5760000" cy="1243429"/>
                    </a:xfrm>
                    <a:prstGeom prst="rect"/>
                  </pic:spPr>
                </pic:pic>
              </a:graphicData>
            </a:graphic>
          </wp:inline>
        </w:drawing>
      </w:r>
    </w:p>
    <w:p>
      <w:pPr>
        <w:spacing w:after="200"/>
        <w:jc w:val="center"/>
      </w:pPr>
      <w:r>
        <w:rPr>
          <w:rFonts w:ascii="Calibri" w:hAnsi="Calibri"/>
          <w:i/>
          <w:color w:val="64748B"/>
          <w:sz w:val="17"/>
        </w:rPr>
        <w:t xml:space="preserve">Figure 2. Extrait annoté de la liste des alertes de la détection croisée : les trois alertes invisibles à la détection sur le prix qui ont la marge la plus faible (étape 4 du notebook). Figure redessinée à partir des sorties du notebook (mêmes données).</w:t>
      </w:r>
    </w:p>
    <w:p>
      <w:pPr>
        <w:spacing w:before="60" w:after="160"/>
      </w:pPr>
      <w:r>
        <w:rPr>
          <w:rFonts w:ascii="Calibri" w:hAnsi="Calibri"/>
          <w:b/>
          <w:i w:val="0"/>
          <w:color w:val="333333"/>
          <w:sz w:val="20"/>
        </w:rPr>
        <w:t xml:space="preserve">Repère 1.</w:t>
      </w:r>
      <w:r>
        <w:rPr>
          <w:rFonts w:ascii="Calibri" w:hAnsi="Calibri"/>
          <w:b w:val="0"/>
          <w:i w:val="0"/>
          <w:color w:val="333333"/>
          <w:sz w:val="20"/>
        </w:rPr>
        <w:t xml:space="preserve"> La référence 4355 est affichée en ligne à 12,65 euros pour 77,48 euros d'achat : sa marge est de -512 %.</w:t>
      </w:r>
    </w:p>
    <w:p>
      <w:pPr>
        <w:spacing w:before="60" w:after="160"/>
      </w:pPr>
      <w:r>
        <w:rPr>
          <w:rFonts w:ascii="Calibri" w:hAnsi="Calibri"/>
          <w:b/>
          <w:i w:val="0"/>
          <w:color w:val="333333"/>
          <w:sz w:val="20"/>
        </w:rPr>
        <w:t xml:space="preserve">Repère 2.</w:t>
      </w:r>
      <w:r>
        <w:rPr>
          <w:rFonts w:ascii="Calibri" w:hAnsi="Calibri"/>
          <w:b w:val="0"/>
          <w:i w:val="0"/>
          <w:color w:val="333333"/>
          <w:sz w:val="20"/>
        </w:rPr>
        <w:t xml:space="preserve"> Aucune vente en octobre : l'écart n'a encore rien coûté, mais chaque vente ferait perdre près de 65 euros.</w:t>
      </w:r>
    </w:p>
    <w:p>
      <w:pPr>
        <w:spacing w:before="60" w:after="160"/>
      </w:pPr>
      <w:r>
        <w:rPr>
          <w:rFonts w:ascii="Calibri" w:hAnsi="Calibri"/>
          <w:b/>
          <w:i w:val="0"/>
          <w:color w:val="333333"/>
          <w:sz w:val="20"/>
        </w:rPr>
        <w:t xml:space="preserve">Repère 3.</w:t>
      </w:r>
      <w:r>
        <w:rPr>
          <w:rFonts w:ascii="Calibri" w:hAnsi="Calibri"/>
          <w:b w:val="0"/>
          <w:i w:val="0"/>
          <w:color w:val="333333"/>
          <w:sz w:val="20"/>
        </w:rPr>
        <w:t xml:space="preserve"> Les deux autres lignes ont une marge normale (36 % et 38 %) : l'alerte vient d'une autre combinaison des cinq variables. Ce sont des doutes à vérifier avec les achats.</w:t>
      </w:r>
    </w:p>
    <w:p>
      <w:pPr>
        <w:spacing w:after="40"/>
      </w:pPr>
    </w:p>
    <w:p>
      <w:pPr>
        <w:spacing w:before="60" w:after="160"/>
      </w:pPr>
      <w:r>
        <w:rPr>
          <w:rFonts w:ascii="Calibri" w:hAnsi="Calibri"/>
          <w:b/>
          <w:i w:val="0"/>
          <w:color w:val="333333"/>
          <w:sz w:val="20"/>
        </w:rPr>
        <w:t xml:space="preserve">Le point le plus important de ce guide.</w:t>
      </w:r>
      <w:r>
        <w:rPr>
          <w:rFonts w:ascii="Calibri" w:hAnsi="Calibri"/>
          <w:b w:val="0"/>
          <w:i w:val="0"/>
          <w:color w:val="333333"/>
          <w:sz w:val="20"/>
        </w:rPr>
        <w:t xml:space="preserve"> Une anomalie signalée n'est pas forcément une erreur. C'est une référence qui sort du comportement habituel du catalogue et qui mérite un regard humain. Certaines seront des erreurs de saisie, d'autres des choix commerciaux, comme une opération à prix coûtant. Rien n'est corrigé automatiquement : la décision vous revient.</w:t>
      </w:r>
    </w:p>
    <w:p>
      <w:pPr>
        <w:spacing w:after="40"/>
      </w:pPr>
    </w:p>
    <w:p>
      <w:pPr>
        <w:pStyle w:val="Heading2"/>
      </w:pPr>
      <w:bookmarkStart w:id="7006" w:name="_TocP130006"/>
      <w:r>
        <w:t>2.4 Les facteurs de vente</w:t>
      </w:r>
      <w:bookmarkEnd w:id="7006"/>
    </w:p>
    <w:p>
      <w:r>
        <w:rPr>
          <w:rFonts w:ascii="Calibri" w:hAnsi="Calibri"/>
          <w:b w:val="0"/>
          <w:i w:val="0"/>
          <w:color w:val="333333"/>
          <w:sz w:val="21"/>
        </w:rPr>
        <w:t xml:space="preserve">Une méthode d'explication indique, pour chaque référence, quels éléments contribuent le plus à son volume de ventes. Chez BottleNeck, le stock disponible arrive en tête, devant le prix d'achat et le taux de marge. La note et le nombre d'avis n'y pèsent rien, car les avis sont désactivés sur le site : il n'y en a donc aucun à lire.</w:t>
      </w:r>
    </w:p>
    <w:p>
      <w:pPr>
        <w:spacing w:before="60" w:after="160"/>
      </w:pPr>
      <w:r>
        <w:rPr>
          <w:rFonts w:ascii="Calibri" w:hAnsi="Calibri"/>
          <w:b/>
          <w:i w:val="0"/>
          <w:color w:val="333333"/>
          <w:sz w:val="20"/>
        </w:rPr>
        <w:t xml:space="preserve">Une réserve à connaître.</w:t>
      </w:r>
      <w:r>
        <w:rPr>
          <w:rFonts w:ascii="Calibri" w:hAnsi="Calibri"/>
          <w:b w:val="0"/>
          <w:i w:val="0"/>
          <w:color w:val="333333"/>
          <w:sz w:val="20"/>
        </w:rPr>
        <w:t xml:space="preserve"> Que le stock soit le premier facteur du modèle ne veut pas dire que remplir les rayons fait vendre. Le lien peut jouer dans l'autre sens : on ne vend que ce qu'on a en stock, et les références qui tournent sont réapprovisionnées plus souvent. Le résultat sert à prioriser le réassort, pas à prévoir l'effet d'une hausse du stock.</w:t>
      </w:r>
    </w:p>
    <w:p>
      <w:pPr>
        <w:spacing w:after="40"/>
      </w:pPr>
    </w:p>
    <w:p>
      <w:pPr>
        <w:pStyle w:val="Heading1"/>
      </w:pPr>
      <w:bookmarkStart w:id="7007" w:name="_TocP130007"/>
      <w:r>
        <w:t>3. Ce que l'analyse ne fait pas</w:t>
      </w:r>
      <w:bookmarkEnd w:id="7007"/>
    </w:p>
    <w:p>
      <w:pPr>
        <w:pStyle w:val="ListBullet"/>
        <w:spacing w:after="40"/>
        <w:ind w:left="369"/>
      </w:pPr>
      <w:r>
        <w:rPr>
          <w:rFonts w:ascii="Calibri" w:hAnsi="Calibri"/>
          <w:b w:val="0"/>
          <w:i w:val="0"/>
          <w:color w:val="333333"/>
          <w:sz w:val="21"/>
        </w:rPr>
        <w:t>Elle ne corrige aucune donnée dans l'ERP ni sur le site. Elle signale, vous décidez.</w:t>
      </w:r>
    </w:p>
    <w:p>
      <w:pPr>
        <w:pStyle w:val="ListBullet"/>
        <w:spacing w:after="40"/>
        <w:ind w:left="369"/>
      </w:pPr>
      <w:r>
        <w:rPr>
          <w:rFonts w:ascii="Calibri" w:hAnsi="Calibri"/>
          <w:b w:val="0"/>
          <w:i w:val="0"/>
          <w:color w:val="333333"/>
          <w:sz w:val="21"/>
        </w:rPr>
        <w:t>Elle ne prévoit pas les ventes futures. L'extraction est ponctuelle, sans historique, donc ni saison ni tendance ne peuvent être observées.</w:t>
      </w:r>
    </w:p>
    <w:p>
      <w:pPr>
        <w:pStyle w:val="ListBullet"/>
        <w:spacing w:after="40"/>
        <w:ind w:left="369"/>
      </w:pPr>
      <w:r>
        <w:rPr>
          <w:rFonts w:ascii="Calibri" w:hAnsi="Calibri"/>
          <w:b w:val="0"/>
          <w:i w:val="0"/>
          <w:color w:val="333333"/>
          <w:sz w:val="21"/>
        </w:rPr>
        <w:t>Elle ne remplace pas la comptabilité. Le chiffre d'affaires reconstitué est un ordre de grandeur destiné au pilotage, à recouper avec les chiffres officiels.</w:t>
      </w:r>
    </w:p>
    <w:p>
      <w:pPr>
        <w:pStyle w:val="ListBullet"/>
        <w:spacing w:after="40"/>
        <w:ind w:left="369"/>
      </w:pPr>
      <w:r>
        <w:rPr>
          <w:rFonts w:ascii="Calibri" w:hAnsi="Calibri"/>
          <w:b w:val="0"/>
          <w:i w:val="0"/>
          <w:color w:val="333333"/>
          <w:sz w:val="21"/>
        </w:rPr>
        <w:t xml:space="preserve">Elle ne juge pas de l'intérêt commercial d'une référence. Une référence peu rentable peut être stratégique pour d'autres raisons, que seule l'équipe achats connaît.</w:t>
      </w:r>
    </w:p>
    <w:p>
      <w:pPr>
        <w:pStyle w:val="Heading1"/>
      </w:pPr>
      <w:bookmarkStart w:id="7008" w:name="_TocP130008"/>
      <w:r>
        <w:t>4. Que faire en pratique, semaine par semaine</w:t>
      </w:r>
      <w:bookmarkEnd w:id="700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8"/>
              </w:rPr>
              <w:t>Quand</w:t>
            </w:r>
          </w:p>
        </w:tc>
        <w:tc>
          <w:tcPr>
            <w:tcW w:type="dxa" w:w="5329"/>
            <w:shd w:val="clear" w:color="auto" w:fill="1F2937"/>
          </w:tcPr>
          <w:p>
            <w:pPr>
              <w:spacing w:after="0"/>
            </w:pPr>
            <w:r>
              <w:rPr>
                <w:rFonts w:ascii="Calibri" w:hAnsi="Calibri"/>
                <w:b/>
                <w:color w:val="FFFFFF"/>
                <w:sz w:val="18"/>
              </w:rPr>
              <w:t>Action</w:t>
            </w:r>
          </w:p>
        </w:tc>
        <w:tc>
          <w:tcPr>
            <w:tcW w:type="dxa" w:w="2041"/>
            <w:shd w:val="clear" w:color="auto" w:fill="1F2937"/>
          </w:tcPr>
          <w:p>
            <w:pPr>
              <w:spacing w:after="0"/>
            </w:pPr>
            <w:r>
              <w:rPr>
                <w:rFonts w:ascii="Calibri" w:hAnsi="Calibri"/>
                <w:b/>
                <w:color w:val="FFFFFF"/>
                <w:sz w:val="18"/>
              </w:rPr>
              <w:t>Temps estimé</w:t>
            </w:r>
          </w:p>
        </w:tc>
      </w:tr>
      <w:tr>
        <w:trPr>
          <w:cantSplit/>
        </w:trPr>
        <w:tc>
          <w:tcPr>
            <w:tcW w:type="dxa" w:w="1928"/>
          </w:tcPr>
          <w:p>
            <w:pPr>
              <w:spacing w:after="0" w:line="252" w:lineRule="auto"/>
            </w:pPr>
            <w:r>
              <w:rPr>
                <w:rFonts w:ascii="Calibri" w:hAnsi="Calibri"/>
                <w:b w:val="0"/>
                <w:i w:val="0"/>
                <w:color w:val="333333"/>
                <w:sz w:val="18"/>
              </w:rPr>
              <w:t>À chaque nouvelle extraction</w:t>
            </w:r>
          </w:p>
        </w:tc>
        <w:tc>
          <w:tcPr>
            <w:tcW w:type="dxa" w:w="5329"/>
          </w:tcPr>
          <w:p>
            <w:pPr>
              <w:spacing w:after="0" w:line="252" w:lineRule="auto"/>
            </w:pPr>
            <w:r>
              <w:rPr>
                <w:rFonts w:ascii="Calibri" w:hAnsi="Calibri"/>
                <w:b w:val="0"/>
                <w:i w:val="0"/>
                <w:color w:val="333333"/>
                <w:sz w:val="18"/>
              </w:rPr>
              <w:t>Vérifier le rapport de qualité : combien de lignes en infraction, sur quelles règles</w:t>
            </w:r>
          </w:p>
        </w:tc>
        <w:tc>
          <w:tcPr>
            <w:tcW w:type="dxa" w:w="2041"/>
          </w:tcPr>
          <w:p>
            <w:pPr>
              <w:spacing w:after="0" w:line="252" w:lineRule="auto"/>
            </w:pPr>
            <w:r>
              <w:rPr>
                <w:rFonts w:ascii="Calibri" w:hAnsi="Calibri"/>
                <w:b w:val="0"/>
                <w:i w:val="0"/>
                <w:color w:val="333333"/>
                <w:sz w:val="18"/>
              </w:rPr>
              <w:t>5 minutes</w:t>
            </w:r>
          </w:p>
        </w:tc>
      </w:tr>
      <w:tr>
        <w:trPr>
          <w:cantSplit/>
        </w:trPr>
        <w:tc>
          <w:tcPr>
            <w:tcW w:type="dxa" w:w="1928"/>
            <w:shd w:val="clear" w:color="auto" w:fill="F1F5F9"/>
          </w:tcPr>
          <w:p>
            <w:pPr>
              <w:spacing w:after="0" w:line="252" w:lineRule="auto"/>
            </w:pPr>
            <w:r>
              <w:rPr>
                <w:rFonts w:ascii="Calibri" w:hAnsi="Calibri"/>
                <w:b w:val="0"/>
                <w:i w:val="0"/>
                <w:color w:val="333333"/>
                <w:sz w:val="18"/>
              </w:rPr>
              <w:t>Chaque semaine</w:t>
            </w:r>
          </w:p>
        </w:tc>
        <w:tc>
          <w:tcPr>
            <w:tcW w:type="dxa" w:w="5329"/>
            <w:shd w:val="clear" w:color="auto" w:fill="F1F5F9"/>
          </w:tcPr>
          <w:p>
            <w:pPr>
              <w:spacing w:after="0" w:line="252" w:lineRule="auto"/>
            </w:pPr>
            <w:r>
              <w:rPr>
                <w:rFonts w:ascii="Calibri" w:hAnsi="Calibri"/>
                <w:b w:val="0"/>
                <w:i w:val="0"/>
                <w:color w:val="333333"/>
                <w:sz w:val="18"/>
              </w:rPr>
              <w:t>Parcourir la liste des anomalies signalées et trancher : erreur à corriger, ou comportement normal à documenter</w:t>
            </w:r>
          </w:p>
        </w:tc>
        <w:tc>
          <w:tcPr>
            <w:tcW w:type="dxa" w:w="2041"/>
            <w:shd w:val="clear" w:color="auto" w:fill="F1F5F9"/>
          </w:tcPr>
          <w:p>
            <w:pPr>
              <w:spacing w:after="0" w:line="252" w:lineRule="auto"/>
            </w:pPr>
            <w:r>
              <w:rPr>
                <w:rFonts w:ascii="Calibri" w:hAnsi="Calibri"/>
                <w:b w:val="0"/>
                <w:i w:val="0"/>
                <w:color w:val="333333"/>
                <w:sz w:val="18"/>
              </w:rPr>
              <w:t>20 minutes</w:t>
            </w:r>
          </w:p>
        </w:tc>
      </w:tr>
      <w:tr>
        <w:trPr>
          <w:cantSplit/>
        </w:trPr>
        <w:tc>
          <w:tcPr>
            <w:tcW w:type="dxa" w:w="1928"/>
          </w:tcPr>
          <w:p>
            <w:pPr>
              <w:spacing w:after="0" w:line="252" w:lineRule="auto"/>
            </w:pPr>
            <w:r>
              <w:rPr>
                <w:rFonts w:ascii="Calibri" w:hAnsi="Calibri"/>
                <w:b w:val="0"/>
                <w:i w:val="0"/>
                <w:color w:val="333333"/>
                <w:sz w:val="18"/>
              </w:rPr>
              <w:t>Chaque mois</w:t>
            </w:r>
          </w:p>
        </w:tc>
        <w:tc>
          <w:tcPr>
            <w:tcW w:type="dxa" w:w="5329"/>
          </w:tcPr>
          <w:p>
            <w:pPr>
              <w:spacing w:after="0" w:line="252" w:lineRule="auto"/>
            </w:pPr>
            <w:r>
              <w:rPr>
                <w:rFonts w:ascii="Calibri" w:hAnsi="Calibri"/>
                <w:b w:val="0"/>
                <w:i w:val="0"/>
                <w:color w:val="333333"/>
                <w:sz w:val="18"/>
              </w:rPr>
              <w:t xml:space="preserve">Revoir les deux listes de réassort, les références clés en rupture et le stock à écouler, puis ajuster les priorités</w:t>
            </w:r>
          </w:p>
        </w:tc>
        <w:tc>
          <w:tcPr>
            <w:tcW w:type="dxa" w:w="2041"/>
          </w:tcPr>
          <w:p>
            <w:pPr>
              <w:spacing w:after="0" w:line="252" w:lineRule="auto"/>
            </w:pPr>
            <w:r>
              <w:rPr>
                <w:rFonts w:ascii="Calibri" w:hAnsi="Calibri"/>
                <w:b w:val="0"/>
                <w:i w:val="0"/>
                <w:color w:val="333333"/>
                <w:sz w:val="18"/>
              </w:rPr>
              <w:t>30 minutes</w:t>
            </w:r>
          </w:p>
        </w:tc>
      </w:tr>
      <w:tr>
        <w:trPr>
          <w:cantSplit/>
        </w:trPr>
        <w:tc>
          <w:tcPr>
            <w:tcW w:type="dxa" w:w="1928"/>
            <w:shd w:val="clear" w:color="auto" w:fill="F1F5F9"/>
          </w:tcPr>
          <w:p>
            <w:pPr>
              <w:spacing w:after="0" w:line="252" w:lineRule="auto"/>
            </w:pPr>
            <w:r>
              <w:rPr>
                <w:rFonts w:ascii="Calibri" w:hAnsi="Calibri"/>
                <w:b w:val="0"/>
                <w:i w:val="0"/>
                <w:color w:val="333333"/>
                <w:sz w:val="18"/>
              </w:rPr>
              <w:t>Chaque trimestre</w:t>
            </w:r>
          </w:p>
        </w:tc>
        <w:tc>
          <w:tcPr>
            <w:tcW w:type="dxa" w:w="5329"/>
            <w:shd w:val="clear" w:color="auto" w:fill="F1F5F9"/>
          </w:tcPr>
          <w:p>
            <w:pPr>
              <w:spacing w:after="0" w:line="252" w:lineRule="auto"/>
            </w:pPr>
            <w:r>
              <w:rPr>
                <w:rFonts w:ascii="Calibri" w:hAnsi="Calibri"/>
                <w:b w:val="0"/>
                <w:i w:val="0"/>
                <w:color w:val="333333"/>
                <w:sz w:val="18"/>
              </w:rPr>
              <w:t>Revoir avec l'analyste les seuils de détection, à la lumière des cas rencontrés</w:t>
            </w:r>
          </w:p>
        </w:tc>
        <w:tc>
          <w:tcPr>
            <w:tcW w:type="dxa" w:w="2041"/>
            <w:shd w:val="clear" w:color="auto" w:fill="F1F5F9"/>
          </w:tcPr>
          <w:p>
            <w:pPr>
              <w:spacing w:after="0" w:line="252" w:lineRule="auto"/>
            </w:pPr>
            <w:r>
              <w:rPr>
                <w:rFonts w:ascii="Calibri" w:hAnsi="Calibri"/>
                <w:b w:val="0"/>
                <w:i w:val="0"/>
                <w:color w:val="333333"/>
                <w:sz w:val="18"/>
              </w:rPr>
              <w:t>1 heure</w:t>
            </w:r>
          </w:p>
        </w:tc>
      </w:tr>
    </w:tbl>
    <w:p>
      <w:pPr>
        <w:spacing w:after="40"/>
      </w:pPr>
    </w:p>
    <w:p>
      <w:pPr>
        <w:pStyle w:val="Heading1"/>
      </w:pPr>
      <w:bookmarkStart w:id="7009" w:name="_TocP130009"/>
      <w:r>
        <w:t>5. Glossaire</w:t>
      </w:r>
      <w:bookmarkEnd w:id="7009"/>
    </w:p>
    <w:p>
      <w:r>
        <w:rPr>
          <w:rFonts w:ascii="Calibri" w:hAnsi="Calibri"/>
          <w:b w:val="0"/>
          <w:i w:val="0"/>
          <w:color w:val="333333"/>
          <w:sz w:val="21"/>
        </w:rPr>
        <w:t>Douze termes, expliqués sans jargon. Chaque définition est suivie d'une comparaison tirée du quotidien du métier.</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7"/>
              </w:rPr>
              <w:t>Terme</w:t>
            </w:r>
          </w:p>
        </w:tc>
        <w:tc>
          <w:tcPr>
            <w:tcW w:type="dxa" w:w="3969"/>
            <w:shd w:val="clear" w:color="auto" w:fill="1F2937"/>
          </w:tcPr>
          <w:p>
            <w:pPr>
              <w:spacing w:after="0"/>
            </w:pPr>
            <w:r>
              <w:rPr>
                <w:rFonts w:ascii="Calibri" w:hAnsi="Calibri"/>
                <w:b/>
                <w:color w:val="FFFFFF"/>
                <w:sz w:val="17"/>
              </w:rPr>
              <w:t>Ce que cela veut dire</w:t>
            </w:r>
          </w:p>
        </w:tc>
        <w:tc>
          <w:tcPr>
            <w:tcW w:type="dxa" w:w="3402"/>
            <w:shd w:val="clear" w:color="auto" w:fill="1F2937"/>
          </w:tcPr>
          <w:p>
            <w:pPr>
              <w:spacing w:after="0"/>
            </w:pPr>
            <w:r>
              <w:rPr>
                <w:rFonts w:ascii="Calibri" w:hAnsi="Calibri"/>
                <w:b/>
                <w:color w:val="FFFFFF"/>
                <w:sz w:val="17"/>
              </w:rPr>
              <w:t>Comparaison</w:t>
            </w:r>
          </w:p>
        </w:tc>
      </w:tr>
      <w:tr>
        <w:trPr>
          <w:cantSplit/>
        </w:trPr>
        <w:tc>
          <w:tcPr>
            <w:tcW w:type="dxa" w:w="1928"/>
          </w:tcPr>
          <w:p>
            <w:pPr>
              <w:spacing w:after="0" w:line="252" w:lineRule="auto"/>
            </w:pPr>
            <w:r>
              <w:rPr>
                <w:rFonts w:ascii="Calibri" w:hAnsi="Calibri"/>
                <w:b w:val="0"/>
                <w:i w:val="0"/>
                <w:color w:val="333333"/>
                <w:sz w:val="17"/>
              </w:rPr>
              <w:t>Anomalie</w:t>
            </w:r>
          </w:p>
        </w:tc>
        <w:tc>
          <w:tcPr>
            <w:tcW w:type="dxa" w:w="3969"/>
          </w:tcPr>
          <w:p>
            <w:pPr>
              <w:spacing w:after="0" w:line="252" w:lineRule="auto"/>
            </w:pPr>
            <w:r>
              <w:rPr>
                <w:rFonts w:ascii="Calibri" w:hAnsi="Calibri"/>
                <w:b w:val="0"/>
                <w:i w:val="0"/>
                <w:color w:val="333333"/>
                <w:sz w:val="17"/>
              </w:rPr>
              <w:t>Une valeur qui s'écarte nettement du comportement habituel du catalogue</w:t>
            </w:r>
          </w:p>
        </w:tc>
        <w:tc>
          <w:tcPr>
            <w:tcW w:type="dxa" w:w="3402"/>
          </w:tcPr>
          <w:p>
            <w:pPr>
              <w:spacing w:after="0" w:line="252" w:lineRule="auto"/>
            </w:pPr>
            <w:r>
              <w:rPr>
                <w:rFonts w:ascii="Calibri" w:hAnsi="Calibri"/>
                <w:b w:val="0"/>
                <w:i w:val="0"/>
                <w:color w:val="333333"/>
                <w:sz w:val="17"/>
              </w:rPr>
              <w:t>Comme une facture dont le montant détonne dans un lot par ailleurs homogène</w:t>
            </w:r>
          </w:p>
        </w:tc>
      </w:tr>
      <w:tr>
        <w:trPr>
          <w:cantSplit/>
        </w:trPr>
        <w:tc>
          <w:tcPr>
            <w:tcW w:type="dxa" w:w="1928"/>
            <w:shd w:val="clear" w:color="auto" w:fill="F1F5F9"/>
          </w:tcPr>
          <w:p>
            <w:pPr>
              <w:spacing w:after="0" w:line="252" w:lineRule="auto"/>
            </w:pPr>
            <w:r>
              <w:rPr>
                <w:rFonts w:ascii="Calibri" w:hAnsi="Calibri"/>
                <w:b w:val="0"/>
                <w:i w:val="0"/>
                <w:color w:val="333333"/>
                <w:sz w:val="17"/>
              </w:rPr>
              <w:t>Contrat de qualité</w:t>
            </w:r>
          </w:p>
        </w:tc>
        <w:tc>
          <w:tcPr>
            <w:tcW w:type="dxa" w:w="3969"/>
            <w:shd w:val="clear" w:color="auto" w:fill="F1F5F9"/>
          </w:tcPr>
          <w:p>
            <w:pPr>
              <w:spacing w:after="0" w:line="252" w:lineRule="auto"/>
            </w:pPr>
            <w:r>
              <w:rPr>
                <w:rFonts w:ascii="Calibri" w:hAnsi="Calibri"/>
                <w:b w:val="0"/>
                <w:i w:val="0"/>
                <w:color w:val="333333"/>
                <w:sz w:val="17"/>
              </w:rPr>
              <w:t>Une liste de règles que les données doivent respecter, vérifiée automatiquement à chaque import</w:t>
            </w:r>
          </w:p>
        </w:tc>
        <w:tc>
          <w:tcPr>
            <w:tcW w:type="dxa" w:w="3402"/>
            <w:shd w:val="clear" w:color="auto" w:fill="F1F5F9"/>
          </w:tcPr>
          <w:p>
            <w:pPr>
              <w:spacing w:after="0" w:line="252" w:lineRule="auto"/>
            </w:pPr>
            <w:r>
              <w:rPr>
                <w:rFonts w:ascii="Calibri" w:hAnsi="Calibri"/>
                <w:b w:val="0"/>
                <w:i w:val="0"/>
                <w:color w:val="333333"/>
                <w:sz w:val="17"/>
              </w:rPr>
              <w:t>Comme une liste de contrôle à la réception d'une livraison</w:t>
            </w:r>
          </w:p>
        </w:tc>
      </w:tr>
      <w:tr>
        <w:trPr>
          <w:cantSplit/>
        </w:trPr>
        <w:tc>
          <w:tcPr>
            <w:tcW w:type="dxa" w:w="1928"/>
          </w:tcPr>
          <w:p>
            <w:pPr>
              <w:spacing w:after="0" w:line="252" w:lineRule="auto"/>
            </w:pPr>
            <w:r>
              <w:rPr>
                <w:rFonts w:ascii="Calibri" w:hAnsi="Calibri"/>
                <w:b w:val="0"/>
                <w:i w:val="0"/>
                <w:color w:val="333333"/>
                <w:sz w:val="17"/>
              </w:rPr>
              <w:t>Jointure</w:t>
            </w:r>
          </w:p>
        </w:tc>
        <w:tc>
          <w:tcPr>
            <w:tcW w:type="dxa" w:w="3969"/>
          </w:tcPr>
          <w:p>
            <w:pPr>
              <w:spacing w:after="0" w:line="252" w:lineRule="auto"/>
            </w:pPr>
            <w:r>
              <w:rPr>
                <w:rFonts w:ascii="Calibri" w:hAnsi="Calibri"/>
                <w:b w:val="0"/>
                <w:i w:val="0"/>
                <w:color w:val="333333"/>
                <w:sz w:val="17"/>
              </w:rPr>
              <w:t>L'opération qui rapproche deux tableaux grâce à un identifiant commun</w:t>
            </w:r>
          </w:p>
        </w:tc>
        <w:tc>
          <w:tcPr>
            <w:tcW w:type="dxa" w:w="3402"/>
          </w:tcPr>
          <w:p>
            <w:pPr>
              <w:spacing w:after="0" w:line="252" w:lineRule="auto"/>
            </w:pPr>
            <w:r>
              <w:rPr>
                <w:rFonts w:ascii="Calibri" w:hAnsi="Calibri"/>
                <w:b w:val="0"/>
                <w:i w:val="0"/>
                <w:color w:val="333333"/>
                <w:sz w:val="17"/>
              </w:rPr>
              <w:t>Comme rapprocher un bon de commande et un bon de livraison par leur numéro</w:t>
            </w:r>
          </w:p>
        </w:tc>
      </w:tr>
      <w:tr>
        <w:trPr>
          <w:cantSplit/>
        </w:trPr>
        <w:tc>
          <w:tcPr>
            <w:tcW w:type="dxa" w:w="1928"/>
            <w:shd w:val="clear" w:color="auto" w:fill="F1F5F9"/>
          </w:tcPr>
          <w:p>
            <w:pPr>
              <w:spacing w:after="0" w:line="252" w:lineRule="auto"/>
            </w:pPr>
            <w:r>
              <w:rPr>
                <w:rFonts w:ascii="Calibri" w:hAnsi="Calibri"/>
                <w:b w:val="0"/>
                <w:i w:val="0"/>
                <w:color w:val="333333"/>
                <w:sz w:val="17"/>
              </w:rPr>
              <w:t>Marge</w:t>
            </w:r>
          </w:p>
        </w:tc>
        <w:tc>
          <w:tcPr>
            <w:tcW w:type="dxa" w:w="3969"/>
            <w:shd w:val="clear" w:color="auto" w:fill="F1F5F9"/>
          </w:tcPr>
          <w:p>
            <w:pPr>
              <w:spacing w:after="0" w:line="252" w:lineRule="auto"/>
            </w:pPr>
            <w:r>
              <w:rPr>
                <w:rFonts w:ascii="Calibri" w:hAnsi="Calibri"/>
                <w:b w:val="0"/>
                <w:i w:val="0"/>
                <w:color w:val="333333"/>
                <w:sz w:val="17"/>
              </w:rPr>
              <w:t>L'écart entre le prix de vente et le prix d'achat, exprimé en pourcentage du prix de vente</w:t>
            </w:r>
          </w:p>
        </w:tc>
        <w:tc>
          <w:tcPr>
            <w:tcW w:type="dxa" w:w="3402"/>
            <w:shd w:val="clear" w:color="auto" w:fill="F1F5F9"/>
          </w:tcPr>
          <w:p>
            <w:pPr>
              <w:spacing w:after="0" w:line="252" w:lineRule="auto"/>
            </w:pPr>
            <w:r>
              <w:rPr>
                <w:rFonts w:ascii="Calibri" w:hAnsi="Calibri"/>
                <w:b w:val="0"/>
                <w:i w:val="0"/>
                <w:color w:val="333333"/>
                <w:sz w:val="17"/>
              </w:rPr>
              <w:t>Ce qui reste une fois la bouteille payée au fournisseur</w:t>
            </w:r>
          </w:p>
        </w:tc>
      </w:tr>
      <w:tr>
        <w:trPr>
          <w:cantSplit/>
        </w:trPr>
        <w:tc>
          <w:tcPr>
            <w:tcW w:type="dxa" w:w="1928"/>
          </w:tcPr>
          <w:p>
            <w:pPr>
              <w:spacing w:after="0" w:line="252" w:lineRule="auto"/>
            </w:pPr>
            <w:r>
              <w:rPr>
                <w:rFonts w:ascii="Calibri" w:hAnsi="Calibri"/>
                <w:b w:val="0"/>
                <w:i w:val="0"/>
                <w:color w:val="333333"/>
                <w:sz w:val="17"/>
              </w:rPr>
              <w:t>Concentration du chiffre d'affaires</w:t>
            </w:r>
          </w:p>
        </w:tc>
        <w:tc>
          <w:tcPr>
            <w:tcW w:type="dxa" w:w="3969"/>
          </w:tcPr>
          <w:p>
            <w:pPr>
              <w:spacing w:after="0" w:line="252" w:lineRule="auto"/>
            </w:pPr>
            <w:r>
              <w:rPr>
                <w:rFonts w:ascii="Calibri" w:hAnsi="Calibri"/>
                <w:b w:val="0"/>
                <w:i w:val="0"/>
                <w:color w:val="333333"/>
                <w:sz w:val="17"/>
              </w:rPr>
              <w:t>La part du catalogue nécessaire pour atteindre une part donnée du chiffre d'affaires</w:t>
            </w:r>
          </w:p>
        </w:tc>
        <w:tc>
          <w:tcPr>
            <w:tcW w:type="dxa" w:w="3402"/>
          </w:tcPr>
          <w:p>
            <w:pPr>
              <w:spacing w:after="0" w:line="252" w:lineRule="auto"/>
            </w:pPr>
            <w:r>
              <w:rPr>
                <w:rFonts w:ascii="Calibri" w:hAnsi="Calibri"/>
                <w:b w:val="0"/>
                <w:i w:val="0"/>
                <w:color w:val="333333"/>
                <w:sz w:val="17"/>
              </w:rPr>
              <w:t>Comme savoir combien de clients représentent la moitié du carnet de commandes</w:t>
            </w:r>
          </w:p>
        </w:tc>
      </w:tr>
      <w:tr>
        <w:trPr>
          <w:cantSplit/>
        </w:trPr>
        <w:tc>
          <w:tcPr>
            <w:tcW w:type="dxa" w:w="1928"/>
            <w:shd w:val="clear" w:color="auto" w:fill="F1F5F9"/>
          </w:tcPr>
          <w:p>
            <w:pPr>
              <w:spacing w:after="0" w:line="252" w:lineRule="auto"/>
            </w:pPr>
            <w:r>
              <w:rPr>
                <w:rFonts w:ascii="Calibri" w:hAnsi="Calibri"/>
                <w:b w:val="0"/>
                <w:i w:val="0"/>
                <w:color w:val="333333"/>
                <w:sz w:val="17"/>
              </w:rPr>
              <w:t>Modèle</w:t>
            </w:r>
          </w:p>
        </w:tc>
        <w:tc>
          <w:tcPr>
            <w:tcW w:type="dxa" w:w="3969"/>
            <w:shd w:val="clear" w:color="auto" w:fill="F1F5F9"/>
          </w:tcPr>
          <w:p>
            <w:pPr>
              <w:spacing w:after="0" w:line="252" w:lineRule="auto"/>
            </w:pPr>
            <w:r>
              <w:rPr>
                <w:rFonts w:ascii="Calibri" w:hAnsi="Calibri"/>
                <w:b w:val="0"/>
                <w:i w:val="0"/>
                <w:color w:val="333333"/>
                <w:sz w:val="17"/>
              </w:rPr>
              <w:t>Un calcul qui apprend des liens statistiques dans les données passées</w:t>
            </w:r>
          </w:p>
        </w:tc>
        <w:tc>
          <w:tcPr>
            <w:tcW w:type="dxa" w:w="3402"/>
            <w:shd w:val="clear" w:color="auto" w:fill="F1F5F9"/>
          </w:tcPr>
          <w:p>
            <w:pPr>
              <w:spacing w:after="0" w:line="252" w:lineRule="auto"/>
            </w:pPr>
            <w:r>
              <w:rPr>
                <w:rFonts w:ascii="Calibri" w:hAnsi="Calibri"/>
                <w:b w:val="0"/>
                <w:i w:val="0"/>
                <w:color w:val="333333"/>
                <w:sz w:val="17"/>
              </w:rPr>
              <w:t>Comme un vendeur expérimenté qui a repéré des régularités sans les avoir formalisées</w:t>
            </w:r>
          </w:p>
        </w:tc>
      </w:tr>
      <w:tr>
        <w:trPr>
          <w:cantSplit/>
        </w:trPr>
        <w:tc>
          <w:tcPr>
            <w:tcW w:type="dxa" w:w="1928"/>
          </w:tcPr>
          <w:p>
            <w:pPr>
              <w:spacing w:after="0" w:line="252" w:lineRule="auto"/>
            </w:pPr>
            <w:r>
              <w:rPr>
                <w:rFonts w:ascii="Calibri" w:hAnsi="Calibri"/>
                <w:b w:val="0"/>
                <w:i w:val="0"/>
                <w:color w:val="333333"/>
                <w:sz w:val="17"/>
              </w:rPr>
              <w:t>Pouvoir explicatif</w:t>
            </w:r>
          </w:p>
        </w:tc>
        <w:tc>
          <w:tcPr>
            <w:tcW w:type="dxa" w:w="3969"/>
          </w:tcPr>
          <w:p>
            <w:pPr>
              <w:spacing w:after="0" w:line="252" w:lineRule="auto"/>
            </w:pPr>
            <w:r>
              <w:rPr>
                <w:rFonts w:ascii="Calibri" w:hAnsi="Calibri"/>
                <w:b w:val="0"/>
                <w:i w:val="0"/>
                <w:color w:val="333333"/>
                <w:sz w:val="17"/>
              </w:rPr>
              <w:t>La part des variations de ventes que le modèle parvient à retrouver, entre 0 et 1</w:t>
            </w:r>
          </w:p>
        </w:tc>
        <w:tc>
          <w:tcPr>
            <w:tcW w:type="dxa" w:w="3402"/>
          </w:tcPr>
          <w:p>
            <w:pPr>
              <w:spacing w:after="0" w:line="252" w:lineRule="auto"/>
            </w:pPr>
            <w:r>
              <w:rPr>
                <w:rFonts w:ascii="Calibri" w:hAnsi="Calibri"/>
                <w:b w:val="0"/>
                <w:i w:val="0"/>
                <w:color w:val="333333"/>
                <w:sz w:val="17"/>
              </w:rPr>
              <w:t>0,72 signifie qu'environ sept dixièmes des écarts sont retrouvés</w:t>
            </w:r>
          </w:p>
        </w:tc>
      </w:tr>
      <w:tr>
        <w:trPr>
          <w:cantSplit/>
        </w:trPr>
        <w:tc>
          <w:tcPr>
            <w:tcW w:type="dxa" w:w="1928"/>
            <w:shd w:val="clear" w:color="auto" w:fill="F1F5F9"/>
          </w:tcPr>
          <w:p>
            <w:pPr>
              <w:spacing w:after="0" w:line="252" w:lineRule="auto"/>
            </w:pPr>
            <w:r>
              <w:rPr>
                <w:rFonts w:ascii="Calibri" w:hAnsi="Calibri"/>
                <w:b w:val="0"/>
                <w:i w:val="0"/>
                <w:color w:val="333333"/>
                <w:sz w:val="17"/>
              </w:rPr>
              <w:t>Facteur explicatif</w:t>
            </w:r>
          </w:p>
        </w:tc>
        <w:tc>
          <w:tcPr>
            <w:tcW w:type="dxa" w:w="3969"/>
            <w:shd w:val="clear" w:color="auto" w:fill="F1F5F9"/>
          </w:tcPr>
          <w:p>
            <w:pPr>
              <w:spacing w:after="0" w:line="252" w:lineRule="auto"/>
            </w:pPr>
            <w:r>
              <w:rPr>
                <w:rFonts w:ascii="Calibri" w:hAnsi="Calibri"/>
                <w:b w:val="0"/>
                <w:i w:val="0"/>
                <w:color w:val="333333"/>
                <w:sz w:val="17"/>
              </w:rPr>
              <w:t>Une caractéristique qui contribue au résultat observé</w:t>
            </w:r>
          </w:p>
        </w:tc>
        <w:tc>
          <w:tcPr>
            <w:tcW w:type="dxa" w:w="3402"/>
            <w:shd w:val="clear" w:color="auto" w:fill="F1F5F9"/>
          </w:tcPr>
          <w:p>
            <w:pPr>
              <w:spacing w:after="0" w:line="252" w:lineRule="auto"/>
            </w:pPr>
            <w:r>
              <w:rPr>
                <w:rFonts w:ascii="Calibri" w:hAnsi="Calibri"/>
                <w:b w:val="0"/>
                <w:i w:val="0"/>
                <w:color w:val="333333"/>
                <w:sz w:val="17"/>
              </w:rPr>
              <w:t>Comme dire que l'emplacement en rayon compte dans les ventes</w:t>
            </w:r>
          </w:p>
        </w:tc>
      </w:tr>
      <w:tr>
        <w:trPr>
          <w:cantSplit/>
        </w:trPr>
        <w:tc>
          <w:tcPr>
            <w:tcW w:type="dxa" w:w="1928"/>
          </w:tcPr>
          <w:p>
            <w:pPr>
              <w:spacing w:after="0" w:line="252" w:lineRule="auto"/>
            </w:pPr>
            <w:r>
              <w:rPr>
                <w:rFonts w:ascii="Calibri" w:hAnsi="Calibri"/>
                <w:b w:val="0"/>
                <w:i w:val="0"/>
                <w:color w:val="333333"/>
                <w:sz w:val="17"/>
              </w:rPr>
              <w:t>Corrélation</w:t>
            </w:r>
          </w:p>
        </w:tc>
        <w:tc>
          <w:tcPr>
            <w:tcW w:type="dxa" w:w="3969"/>
          </w:tcPr>
          <w:p>
            <w:pPr>
              <w:spacing w:after="0" w:line="252" w:lineRule="auto"/>
            </w:pPr>
            <w:r>
              <w:rPr>
                <w:rFonts w:ascii="Calibri" w:hAnsi="Calibri"/>
                <w:b w:val="0"/>
                <w:i w:val="0"/>
                <w:color w:val="333333"/>
                <w:sz w:val="17"/>
              </w:rPr>
              <w:t>Deux grandeurs qui varient ensemble, sans que l'une cause forcément l'autre</w:t>
            </w:r>
          </w:p>
        </w:tc>
        <w:tc>
          <w:tcPr>
            <w:tcW w:type="dxa" w:w="3402"/>
          </w:tcPr>
          <w:p>
            <w:pPr>
              <w:spacing w:after="0" w:line="252" w:lineRule="auto"/>
            </w:pPr>
            <w:r>
              <w:rPr>
                <w:rFonts w:ascii="Calibri" w:hAnsi="Calibri"/>
                <w:b w:val="0"/>
                <w:i w:val="0"/>
                <w:color w:val="333333"/>
                <w:sz w:val="17"/>
              </w:rPr>
              <w:t>Les ventes de parapluies et les accidents augmentent quand il pleut, l'un ne cause pas l'autre</w:t>
            </w:r>
          </w:p>
        </w:tc>
      </w:tr>
      <w:tr>
        <w:trPr>
          <w:cantSplit/>
        </w:trPr>
        <w:tc>
          <w:tcPr>
            <w:tcW w:type="dxa" w:w="1928"/>
            <w:shd w:val="clear" w:color="auto" w:fill="F1F5F9"/>
          </w:tcPr>
          <w:p>
            <w:pPr>
              <w:spacing w:after="0" w:line="252" w:lineRule="auto"/>
            </w:pPr>
            <w:r>
              <w:rPr>
                <w:rFonts w:ascii="Calibri" w:hAnsi="Calibri"/>
                <w:b w:val="0"/>
                <w:i w:val="0"/>
                <w:color w:val="333333"/>
                <w:sz w:val="17"/>
              </w:rPr>
              <w:t>Reproductible</w:t>
            </w:r>
          </w:p>
        </w:tc>
        <w:tc>
          <w:tcPr>
            <w:tcW w:type="dxa" w:w="3969"/>
            <w:shd w:val="clear" w:color="auto" w:fill="F1F5F9"/>
          </w:tcPr>
          <w:p>
            <w:pPr>
              <w:spacing w:after="0" w:line="252" w:lineRule="auto"/>
            </w:pPr>
            <w:r>
              <w:rPr>
                <w:rFonts w:ascii="Calibri" w:hAnsi="Calibri"/>
                <w:b w:val="0"/>
                <w:i w:val="0"/>
                <w:color w:val="333333"/>
                <w:sz w:val="17"/>
              </w:rPr>
              <w:t>Se dit d'une analyse qui redonne exactement le même résultat si on la rejoue</w:t>
            </w:r>
          </w:p>
        </w:tc>
        <w:tc>
          <w:tcPr>
            <w:tcW w:type="dxa" w:w="3402"/>
            <w:shd w:val="clear" w:color="auto" w:fill="F1F5F9"/>
          </w:tcPr>
          <w:p>
            <w:pPr>
              <w:spacing w:after="0" w:line="252" w:lineRule="auto"/>
            </w:pPr>
            <w:r>
              <w:rPr>
                <w:rFonts w:ascii="Calibri" w:hAnsi="Calibri"/>
                <w:b w:val="0"/>
                <w:i w:val="0"/>
                <w:color w:val="333333"/>
                <w:sz w:val="17"/>
              </w:rPr>
              <w:t>Comme une recette suffisamment précise pour donner le même plat deux fois</w:t>
            </w:r>
          </w:p>
        </w:tc>
      </w:tr>
      <w:tr>
        <w:trPr>
          <w:cantSplit/>
        </w:trPr>
        <w:tc>
          <w:tcPr>
            <w:tcW w:type="dxa" w:w="1928"/>
          </w:tcPr>
          <w:p>
            <w:pPr>
              <w:spacing w:after="0" w:line="252" w:lineRule="auto"/>
            </w:pPr>
            <w:r>
              <w:rPr>
                <w:rFonts w:ascii="Calibri" w:hAnsi="Calibri"/>
                <w:b w:val="0"/>
                <w:i w:val="0"/>
                <w:color w:val="333333"/>
                <w:sz w:val="17"/>
              </w:rPr>
              <w:t>Extraction</w:t>
            </w:r>
          </w:p>
        </w:tc>
        <w:tc>
          <w:tcPr>
            <w:tcW w:type="dxa" w:w="3969"/>
          </w:tcPr>
          <w:p>
            <w:pPr>
              <w:spacing w:after="0" w:line="252" w:lineRule="auto"/>
            </w:pPr>
            <w:r>
              <w:rPr>
                <w:rFonts w:ascii="Calibri" w:hAnsi="Calibri"/>
                <w:b w:val="0"/>
                <w:i w:val="0"/>
                <w:color w:val="333333"/>
                <w:sz w:val="17"/>
              </w:rPr>
              <w:t>Une copie des données prise à un instant donné</w:t>
            </w:r>
          </w:p>
        </w:tc>
        <w:tc>
          <w:tcPr>
            <w:tcW w:type="dxa" w:w="3402"/>
          </w:tcPr>
          <w:p>
            <w:pPr>
              <w:spacing w:after="0" w:line="252" w:lineRule="auto"/>
            </w:pPr>
            <w:r>
              <w:rPr>
                <w:rFonts w:ascii="Calibri" w:hAnsi="Calibri"/>
                <w:b w:val="0"/>
                <w:i w:val="0"/>
                <w:color w:val="333333"/>
                <w:sz w:val="17"/>
              </w:rPr>
              <w:t>Comme une photographie du stock à une date précise</w:t>
            </w:r>
          </w:p>
        </w:tc>
      </w:tr>
      <w:tr>
        <w:trPr>
          <w:cantSplit/>
        </w:trPr>
        <w:tc>
          <w:tcPr>
            <w:tcW w:type="dxa" w:w="1928"/>
            <w:shd w:val="clear" w:color="auto" w:fill="F1F5F9"/>
          </w:tcPr>
          <w:p>
            <w:pPr>
              <w:spacing w:after="0" w:line="252" w:lineRule="auto"/>
            </w:pPr>
            <w:r>
              <w:rPr>
                <w:rFonts w:ascii="Calibri" w:hAnsi="Calibri"/>
                <w:b w:val="0"/>
                <w:i w:val="0"/>
                <w:color w:val="333333"/>
                <w:sz w:val="17"/>
              </w:rPr>
              <w:t>Faux positif</w:t>
            </w:r>
          </w:p>
        </w:tc>
        <w:tc>
          <w:tcPr>
            <w:tcW w:type="dxa" w:w="3969"/>
            <w:shd w:val="clear" w:color="auto" w:fill="F1F5F9"/>
          </w:tcPr>
          <w:p>
            <w:pPr>
              <w:spacing w:after="0" w:line="252" w:lineRule="auto"/>
            </w:pPr>
            <w:r>
              <w:rPr>
                <w:rFonts w:ascii="Calibri" w:hAnsi="Calibri"/>
                <w:b w:val="0"/>
                <w:i w:val="0"/>
                <w:color w:val="333333"/>
                <w:sz w:val="17"/>
              </w:rPr>
              <w:t>Une alerte déclenchée alors que tout est normal</w:t>
            </w:r>
          </w:p>
        </w:tc>
        <w:tc>
          <w:tcPr>
            <w:tcW w:type="dxa" w:w="3402"/>
            <w:shd w:val="clear" w:color="auto" w:fill="F1F5F9"/>
          </w:tcPr>
          <w:p>
            <w:pPr>
              <w:spacing w:after="0" w:line="252" w:lineRule="auto"/>
            </w:pPr>
            <w:r>
              <w:rPr>
                <w:rFonts w:ascii="Calibri" w:hAnsi="Calibri"/>
                <w:b w:val="0"/>
                <w:i w:val="0"/>
                <w:color w:val="333333"/>
                <w:sz w:val="17"/>
              </w:rPr>
              <w:t>Comme un détecteur de fumée qui se déclenche à cause d'un toast</w:t>
            </w:r>
          </w:p>
        </w:tc>
      </w:tr>
    </w:tbl>
    <w:p>
      <w:pPr>
        <w:spacing w:after="40"/>
      </w:pPr>
    </w:p>
    <w:p>
      <w:pPr>
        <w:pStyle w:val="Heading1"/>
      </w:pPr>
      <w:bookmarkStart w:id="7010" w:name="_TocP130010"/>
      <w:r>
        <w:t>6. À qui s'adresser</w:t>
      </w:r>
      <w:bookmarkEnd w:id="7010"/>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628"/>
            <w:shd w:val="clear" w:color="auto" w:fill="1F2937"/>
          </w:tcPr>
          <w:p>
            <w:pPr>
              <w:spacing w:after="0"/>
            </w:pPr>
            <w:r>
              <w:rPr>
                <w:rFonts w:ascii="Calibri" w:hAnsi="Calibri"/>
                <w:b/>
                <w:color w:val="FFFFFF"/>
                <w:sz w:val="18"/>
              </w:rPr>
              <w:t>Type de question</w:t>
            </w:r>
          </w:p>
        </w:tc>
        <w:tc>
          <w:tcPr>
            <w:tcW w:type="dxa" w:w="3061"/>
            <w:shd w:val="clear" w:color="auto" w:fill="1F2937"/>
          </w:tcPr>
          <w:p>
            <w:pPr>
              <w:spacing w:after="0"/>
            </w:pPr>
            <w:r>
              <w:rPr>
                <w:rFonts w:ascii="Calibri" w:hAnsi="Calibri"/>
                <w:b/>
                <w:color w:val="FFFFFF"/>
                <w:sz w:val="18"/>
              </w:rPr>
              <w:t>Interlocuteur</w:t>
            </w:r>
          </w:p>
        </w:tc>
        <w:tc>
          <w:tcPr>
            <w:tcW w:type="dxa" w:w="2608"/>
            <w:shd w:val="clear" w:color="auto" w:fill="1F2937"/>
          </w:tcPr>
          <w:p>
            <w:pPr>
              <w:spacing w:after="0"/>
            </w:pPr>
            <w:r>
              <w:rPr>
                <w:rFonts w:ascii="Calibri" w:hAnsi="Calibri"/>
                <w:b/>
                <w:color w:val="FFFFFF"/>
                <w:sz w:val="18"/>
              </w:rPr>
              <w:t>Délai indicatif</w:t>
            </w:r>
          </w:p>
        </w:tc>
      </w:tr>
      <w:tr>
        <w:trPr>
          <w:cantSplit/>
        </w:trPr>
        <w:tc>
          <w:tcPr>
            <w:tcW w:type="dxa" w:w="3628"/>
          </w:tcPr>
          <w:p>
            <w:pPr>
              <w:spacing w:after="0" w:line="252" w:lineRule="auto"/>
            </w:pPr>
            <w:r>
              <w:rPr>
                <w:rFonts w:ascii="Calibri" w:hAnsi="Calibri"/>
                <w:b w:val="0"/>
                <w:i w:val="0"/>
                <w:color w:val="333333"/>
                <w:sz w:val="18"/>
              </w:rPr>
              <w:t>Une anomalie signalée que vous ne comprenez pas</w:t>
            </w:r>
          </w:p>
        </w:tc>
        <w:tc>
          <w:tcPr>
            <w:tcW w:type="dxa" w:w="3061"/>
          </w:tcPr>
          <w:p>
            <w:pPr>
              <w:spacing w:after="0" w:line="252" w:lineRule="auto"/>
            </w:pPr>
            <w:r>
              <w:rPr>
                <w:rFonts w:ascii="Calibri" w:hAnsi="Calibri"/>
                <w:b w:val="0"/>
                <w:i w:val="0"/>
                <w:color w:val="333333"/>
                <w:sz w:val="18"/>
              </w:rPr>
              <w:t>Référent analyse désigné</w:t>
            </w:r>
          </w:p>
        </w:tc>
        <w:tc>
          <w:tcPr>
            <w:tcW w:type="dxa" w:w="2608"/>
          </w:tcPr>
          <w:p>
            <w:pPr>
              <w:spacing w:after="0" w:line="252" w:lineRule="auto"/>
            </w:pPr>
            <w:r>
              <w:rPr>
                <w:rFonts w:ascii="Calibri" w:hAnsi="Calibri"/>
                <w:b w:val="0"/>
                <w:i w:val="0"/>
                <w:color w:val="333333"/>
                <w:sz w:val="18"/>
              </w:rPr>
              <w:t>48 heures</w:t>
            </w:r>
          </w:p>
        </w:tc>
      </w:tr>
      <w:tr>
        <w:trPr>
          <w:cantSplit/>
        </w:trPr>
        <w:tc>
          <w:tcPr>
            <w:tcW w:type="dxa" w:w="3628"/>
            <w:shd w:val="clear" w:color="auto" w:fill="F1F5F9"/>
          </w:tcPr>
          <w:p>
            <w:pPr>
              <w:spacing w:after="0" w:line="252" w:lineRule="auto"/>
            </w:pPr>
            <w:r>
              <w:rPr>
                <w:rFonts w:ascii="Calibri" w:hAnsi="Calibri"/>
                <w:b w:val="0"/>
                <w:i w:val="0"/>
                <w:color w:val="333333"/>
                <w:sz w:val="18"/>
              </w:rPr>
              <w:t>Un chiffre qui ne correspond pas à ce que vous observez</w:t>
            </w:r>
          </w:p>
        </w:tc>
        <w:tc>
          <w:tcPr>
            <w:tcW w:type="dxa" w:w="3061"/>
            <w:shd w:val="clear" w:color="auto" w:fill="F1F5F9"/>
          </w:tcPr>
          <w:p>
            <w:pPr>
              <w:spacing w:after="0" w:line="252" w:lineRule="auto"/>
            </w:pPr>
            <w:r>
              <w:rPr>
                <w:rFonts w:ascii="Calibri" w:hAnsi="Calibri"/>
                <w:b w:val="0"/>
                <w:i w:val="0"/>
                <w:color w:val="333333"/>
                <w:sz w:val="18"/>
              </w:rPr>
              <w:t>Référent analyse désigné</w:t>
            </w:r>
          </w:p>
        </w:tc>
        <w:tc>
          <w:tcPr>
            <w:tcW w:type="dxa" w:w="2608"/>
            <w:shd w:val="clear" w:color="auto" w:fill="F1F5F9"/>
          </w:tcPr>
          <w:p>
            <w:pPr>
              <w:spacing w:after="0" w:line="252" w:lineRule="auto"/>
            </w:pPr>
            <w:r>
              <w:rPr>
                <w:rFonts w:ascii="Calibri" w:hAnsi="Calibri"/>
                <w:b w:val="0"/>
                <w:i w:val="0"/>
                <w:color w:val="333333"/>
                <w:sz w:val="18"/>
              </w:rPr>
              <w:t>48 heures, avec la référence concernée</w:t>
            </w:r>
          </w:p>
        </w:tc>
      </w:tr>
      <w:tr>
        <w:trPr>
          <w:cantSplit/>
        </w:trPr>
        <w:tc>
          <w:tcPr>
            <w:tcW w:type="dxa" w:w="3628"/>
          </w:tcPr>
          <w:p>
            <w:pPr>
              <w:spacing w:after="0" w:line="252" w:lineRule="auto"/>
            </w:pPr>
            <w:r>
              <w:rPr>
                <w:rFonts w:ascii="Calibri" w:hAnsi="Calibri"/>
                <w:b w:val="0"/>
                <w:i w:val="0"/>
                <w:color w:val="333333"/>
                <w:sz w:val="18"/>
              </w:rPr>
              <w:t>Une évolution souhaitée sur la restitution</w:t>
            </w:r>
          </w:p>
        </w:tc>
        <w:tc>
          <w:tcPr>
            <w:tcW w:type="dxa" w:w="3061"/>
          </w:tcPr>
          <w:p>
            <w:pPr>
              <w:spacing w:after="0" w:line="252" w:lineRule="auto"/>
            </w:pPr>
            <w:r>
              <w:rPr>
                <w:rFonts w:ascii="Calibri" w:hAnsi="Calibri"/>
                <w:b w:val="0"/>
                <w:i w:val="0"/>
                <w:color w:val="333333"/>
                <w:sz w:val="18"/>
              </w:rPr>
              <w:t>Point trimestriel</w:t>
            </w:r>
          </w:p>
        </w:tc>
        <w:tc>
          <w:tcPr>
            <w:tcW w:type="dxa" w:w="2608"/>
          </w:tcPr>
          <w:p>
            <w:pPr>
              <w:spacing w:after="0" w:line="252" w:lineRule="auto"/>
            </w:pPr>
            <w:r>
              <w:rPr>
                <w:rFonts w:ascii="Calibri" w:hAnsi="Calibri"/>
                <w:b w:val="0"/>
                <w:i w:val="0"/>
                <w:color w:val="333333"/>
                <w:sz w:val="18"/>
              </w:rPr>
              <w:t>Prochain point</w:t>
            </w:r>
          </w:p>
        </w:tc>
      </w:tr>
      <w:tr>
        <w:trPr>
          <w:cantSplit/>
        </w:trPr>
        <w:tc>
          <w:tcPr>
            <w:tcW w:type="dxa" w:w="3628"/>
            <w:shd w:val="clear" w:color="auto" w:fill="F1F5F9"/>
          </w:tcPr>
          <w:p>
            <w:pPr>
              <w:spacing w:after="0" w:line="252" w:lineRule="auto"/>
            </w:pPr>
            <w:r>
              <w:rPr>
                <w:rFonts w:ascii="Calibri" w:hAnsi="Calibri"/>
                <w:b w:val="0"/>
                <w:i w:val="0"/>
                <w:color w:val="333333"/>
                <w:sz w:val="18"/>
              </w:rPr>
              <w:t>Un problème technique d'exécution</w:t>
            </w:r>
          </w:p>
        </w:tc>
        <w:tc>
          <w:tcPr>
            <w:tcW w:type="dxa" w:w="3061"/>
            <w:shd w:val="clear" w:color="auto" w:fill="F1F5F9"/>
          </w:tcPr>
          <w:p>
            <w:pPr>
              <w:spacing w:after="0" w:line="252" w:lineRule="auto"/>
            </w:pPr>
            <w:r>
              <w:rPr>
                <w:rFonts w:ascii="Calibri" w:hAnsi="Calibri"/>
                <w:b w:val="0"/>
                <w:i w:val="0"/>
                <w:color w:val="333333"/>
                <w:sz w:val="18"/>
              </w:rPr>
              <w:t>Direction des systèmes d'information</w:t>
            </w:r>
          </w:p>
        </w:tc>
        <w:tc>
          <w:tcPr>
            <w:tcW w:type="dxa" w:w="2608"/>
            <w:shd w:val="clear" w:color="auto" w:fill="F1F5F9"/>
          </w:tcPr>
          <w:p>
            <w:pPr>
              <w:spacing w:after="0" w:line="252" w:lineRule="auto"/>
            </w:pPr>
            <w:r>
              <w:rPr>
                <w:rFonts w:ascii="Calibri" w:hAnsi="Calibri"/>
                <w:b w:val="0"/>
                <w:i w:val="0"/>
                <w:color w:val="333333"/>
                <w:sz w:val="18"/>
              </w:rPr>
              <w:t>Selon la procédure interne</w:t>
            </w:r>
          </w:p>
        </w:tc>
      </w:tr>
    </w:tbl>
    <w:p>
      <w:pPr>
        <w:pStyle w:val="Heading1"/>
      </w:pPr>
      <w:bookmarkStart w:id="7011" w:name="_TocP130011"/>
      <w:r>
        <w:t xml:space="preserve">7. La mise en situation, en fin de séquence 4</w:t>
      </w:r>
      <w:bookmarkEnd w:id="7011"/>
    </w:p>
    <w:p>
      <w:r>
        <w:rPr>
          <w:rFonts w:ascii="Calibri" w:hAnsi="Calibri"/>
          <w:b w:val="0"/>
          <w:i w:val="0"/>
          <w:color w:val="333333"/>
          <w:sz w:val="21"/>
        </w:rPr>
        <w:t xml:space="preserve">Le projet n'est livré que si le service achats lit la restitution sans aide (troisième condition du cahier des charges). Cette mise en situation le vérifie, en une vingtaine de minutes, avec les documents habituels : la vue produit, la liste des anomalies signalées et les deux listes de réassort.</w:t>
      </w:r>
    </w:p>
    <w:p>
      <w:r>
        <w:rPr>
          <w:rFonts w:ascii="Calibri" w:hAnsi="Calibri"/>
          <w:b/>
          <w:i w:val="0"/>
          <w:color w:val="333333"/>
          <w:sz w:val="21"/>
        </w:rPr>
        <w:t xml:space="preserve">Comment elle se passe.</w:t>
      </w:r>
      <w:r>
        <w:rPr>
          <w:rFonts w:ascii="Calibri" w:hAnsi="Calibri"/>
          <w:b w:val="0"/>
          <w:i w:val="0"/>
          <w:color w:val="333333"/>
          <w:sz w:val="21"/>
        </w:rPr>
        <w:t xml:space="preserve"> Une ou deux personnes du service achats font seules trois tâches en pensant à voix haute. L'analyste observe et note, sans répondre aux questions pendant l'exercice ; il explique tout à la fin. Les dispositions des séquences s'appliquent : documents imprimés en noir et blanc, lecture à voix haute sur demande, pas de chronomètre pour qui en a besoin.</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000"/>
        <w:gridCol w:w="3649"/>
        <w:gridCol w:w="3649"/>
      </w:tblGrid>
      <w:tr>
        <w:trPr>
          <w:cantSplit/>
          <w:tblHeader w:val="true"/>
        </w:trPr>
        <w:tc>
          <w:tcPr>
            <w:tcW w:type="dxa" w:w="2000"/>
            <w:shd w:val="clear" w:color="auto" w:fill="1F2937"/>
          </w:tcPr>
          <w:p>
            <w:pPr>
              <w:spacing w:after="0"/>
            </w:pPr>
            <w:r>
              <w:rPr>
                <w:rFonts w:ascii="Calibri" w:hAnsi="Calibri"/>
                <w:b/>
                <w:color w:val="FFFFFF"/>
                <w:sz w:val="17"/>
              </w:rPr>
              <w:t xml:space="preserve">Tâche</w:t>
            </w:r>
          </w:p>
        </w:tc>
        <w:tc>
          <w:tcPr>
            <w:tcW w:type="dxa" w:w="3649"/>
            <w:shd w:val="clear" w:color="auto" w:fill="1F2937"/>
          </w:tcPr>
          <w:p>
            <w:pPr>
              <w:spacing w:after="0"/>
            </w:pPr>
            <w:r>
              <w:rPr>
                <w:rFonts w:ascii="Calibri" w:hAnsi="Calibri"/>
                <w:b/>
                <w:color w:val="FFFFFF"/>
                <w:sz w:val="17"/>
              </w:rPr>
              <w:t xml:space="preserve">Ce qui est demandé</w:t>
            </w:r>
          </w:p>
        </w:tc>
        <w:tc>
          <w:tcPr>
            <w:tcW w:type="dxa" w:w="3649"/>
            <w:shd w:val="clear" w:color="auto" w:fill="1F2937"/>
          </w:tcPr>
          <w:p>
            <w:pPr>
              <w:spacing w:after="0"/>
            </w:pPr>
            <w:r>
              <w:rPr>
                <w:rFonts w:ascii="Calibri" w:hAnsi="Calibri"/>
                <w:b/>
                <w:color w:val="FFFFFF"/>
                <w:sz w:val="17"/>
              </w:rPr>
              <w:t xml:space="preserve">Ce qu'on attend</w:t>
            </w:r>
          </w:p>
        </w:tc>
      </w:tr>
      <w:tr>
        <w:trPr>
          <w:cantSplit/>
        </w:trPr>
        <w:tc>
          <w:tcPr>
            <w:tcW w:type="dxa" w:w="2000"/>
          </w:tcPr>
          <w:p>
            <w:pPr>
              <w:spacing w:after="0" w:line="252" w:lineRule="auto"/>
            </w:pPr>
            <w:r>
              <w:rPr>
                <w:rFonts w:ascii="Calibri" w:hAnsi="Calibri"/>
                <w:b w:val="0"/>
                <w:i w:val="0"/>
                <w:color w:val="333333"/>
                <w:sz w:val="17"/>
              </w:rPr>
              <w:t xml:space="preserve">1. Lire un chiffre</w:t>
            </w:r>
          </w:p>
        </w:tc>
        <w:tc>
          <w:tcPr>
            <w:tcW w:type="dxa" w:w="3649"/>
          </w:tcPr>
          <w:p>
            <w:pPr>
              <w:spacing w:after="0" w:line="252" w:lineRule="auto"/>
            </w:pPr>
            <w:r>
              <w:rPr>
                <w:rFonts w:ascii="Calibri" w:hAnsi="Calibri"/>
                <w:b w:val="0"/>
                <w:i w:val="0"/>
                <w:color w:val="333333"/>
                <w:sz w:val="17"/>
              </w:rPr>
              <w:t xml:space="preserve">Trouver une référence dans la vue produit, et dire son chiffre d'affaires d'octobre et son stock</w:t>
            </w:r>
          </w:p>
        </w:tc>
        <w:tc>
          <w:tcPr>
            <w:tcW w:type="dxa" w:w="3649"/>
          </w:tcPr>
          <w:p>
            <w:pPr>
              <w:spacing w:after="0" w:line="252" w:lineRule="auto"/>
            </w:pPr>
            <w:r>
              <w:rPr>
                <w:rFonts w:ascii="Calibri" w:hAnsi="Calibri"/>
                <w:b w:val="0"/>
                <w:i w:val="0"/>
                <w:color w:val="333333"/>
                <w:sz w:val="17"/>
              </w:rPr>
              <w:t xml:space="preserve">Les deux valeurs lues sans aide, dans la bonne colonne</w:t>
            </w:r>
          </w:p>
        </w:tc>
      </w:tr>
      <w:tr>
        <w:trPr>
          <w:cantSplit/>
        </w:trPr>
        <w:tc>
          <w:tcPr>
            <w:tcW w:type="dxa" w:w="2000"/>
          </w:tcPr>
          <w:p>
            <w:pPr>
              <w:spacing w:after="0" w:line="252" w:lineRule="auto"/>
            </w:pPr>
            <w:r>
              <w:rPr>
                <w:rFonts w:ascii="Calibri" w:hAnsi="Calibri"/>
                <w:b w:val="0"/>
                <w:i w:val="0"/>
                <w:color w:val="333333"/>
                <w:sz w:val="17"/>
              </w:rPr>
              <w:t xml:space="preserve">2. Trier les alertes</w:t>
            </w:r>
          </w:p>
        </w:tc>
        <w:tc>
          <w:tcPr>
            <w:tcW w:type="dxa" w:w="3649"/>
          </w:tcPr>
          <w:p>
            <w:pPr>
              <w:spacing w:after="0" w:line="252" w:lineRule="auto"/>
            </w:pPr>
            <w:r>
              <w:rPr>
                <w:rFonts w:ascii="Calibri" w:hAnsi="Calibri"/>
                <w:b w:val="0"/>
                <w:i w:val="0"/>
                <w:color w:val="333333"/>
                <w:sz w:val="17"/>
              </w:rPr>
              <w:t xml:space="preserve">Dans les anomalies signalées, dire laquelle traiter en premier, et pourquoi</w:t>
            </w:r>
          </w:p>
        </w:tc>
        <w:tc>
          <w:tcPr>
            <w:tcW w:type="dxa" w:w="3649"/>
          </w:tcPr>
          <w:p>
            <w:pPr>
              <w:spacing w:after="0" w:line="252" w:lineRule="auto"/>
            </w:pPr>
            <w:r>
              <w:rPr>
                <w:rFonts w:ascii="Calibri" w:hAnsi="Calibri"/>
                <w:b w:val="0"/>
                <w:i w:val="0"/>
                <w:color w:val="333333"/>
                <w:sz w:val="17"/>
              </w:rPr>
              <w:t xml:space="preserve">La bouteille affichée en ligne à 12,65 euros pour 77,48 euros d'achat, sans vente en octobre (figure 2) ; une alerte présentée comme un doute à vérifier avec les achats, pas comme une erreur</w:t>
            </w:r>
          </w:p>
        </w:tc>
      </w:tr>
      <w:tr>
        <w:trPr>
          <w:cantSplit/>
        </w:trPr>
        <w:tc>
          <w:tcPr>
            <w:tcW w:type="dxa" w:w="2000"/>
          </w:tcPr>
          <w:p>
            <w:pPr>
              <w:spacing w:after="0" w:line="252" w:lineRule="auto"/>
            </w:pPr>
            <w:r>
              <w:rPr>
                <w:rFonts w:ascii="Calibri" w:hAnsi="Calibri"/>
                <w:b w:val="0"/>
                <w:i w:val="0"/>
                <w:color w:val="333333"/>
                <w:sz w:val="17"/>
              </w:rPr>
              <w:t xml:space="preserve">3. Décider un réassort</w:t>
            </w:r>
          </w:p>
        </w:tc>
        <w:tc>
          <w:tcPr>
            <w:tcW w:type="dxa" w:w="3649"/>
          </w:tcPr>
          <w:p>
            <w:pPr>
              <w:spacing w:after="0" w:line="252" w:lineRule="auto"/>
            </w:pPr>
            <w:r>
              <w:rPr>
                <w:rFonts w:ascii="Calibri" w:hAnsi="Calibri"/>
                <w:b w:val="0"/>
                <w:i w:val="0"/>
                <w:color w:val="333333"/>
                <w:sz w:val="17"/>
              </w:rPr>
              <w:t xml:space="preserve">Dans la liste des références clés en rupture, choisir les trois à commander d'abord</w:t>
            </w:r>
          </w:p>
        </w:tc>
        <w:tc>
          <w:tcPr>
            <w:tcW w:type="dxa" w:w="3649"/>
          </w:tcPr>
          <w:p>
            <w:pPr>
              <w:spacing w:after="0" w:line="252" w:lineRule="auto"/>
            </w:pPr>
            <w:r>
              <w:rPr>
                <w:rFonts w:ascii="Calibri" w:hAnsi="Calibri"/>
                <w:b w:val="0"/>
                <w:i w:val="0"/>
                <w:color w:val="333333"/>
                <w:sz w:val="17"/>
              </w:rPr>
              <w:t xml:space="preserve">Un choix fondé sur le chiffre d'affaires d'octobre, et aucune phrase du type « plus de stock fera plus de ventes »</w:t>
            </w:r>
          </w:p>
        </w:tc>
      </w:tr>
    </w:tbl>
    <w:p/>
    <w:p>
      <w:pPr>
        <w:spacing w:after="80"/>
      </w:pPr>
      <w:r>
        <w:rPr>
          <w:rFonts w:ascii="Calibri" w:hAnsi="Calibri"/>
          <w:b/>
          <w:i w:val="0"/>
          <w:color w:val="333333"/>
          <w:sz w:val="21"/>
        </w:rPr>
        <w:t xml:space="preserve">La grille d'observation.</w:t>
      </w:r>
      <w:r>
        <w:rPr>
          <w:rFonts w:ascii="Calibri" w:hAnsi="Calibri"/>
          <w:b w:val="0"/>
          <w:i w:val="0"/>
          <w:color w:val="333333"/>
          <w:sz w:val="21"/>
        </w:rPr>
        <w:t xml:space="preserve"> Une ligne par critère, remplie pendant l'exercice.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000"/>
        <w:gridCol w:w="5000"/>
        <w:gridCol w:w="2298"/>
      </w:tblGrid>
      <w:tr>
        <w:trPr>
          <w:cantSplit/>
          <w:tblHeader w:val="true"/>
        </w:trPr>
        <w:tc>
          <w:tcPr>
            <w:tcW w:type="dxa" w:w="2000"/>
            <w:shd w:val="clear" w:color="auto" w:fill="1F2937"/>
          </w:tcPr>
          <w:p>
            <w:pPr>
              <w:spacing w:after="0"/>
            </w:pPr>
            <w:r>
              <w:rPr>
                <w:rFonts w:ascii="Calibri" w:hAnsi="Calibri"/>
                <w:b/>
                <w:color w:val="FFFFFF"/>
                <w:sz w:val="17"/>
              </w:rPr>
              <w:t xml:space="preserve">Critère</w:t>
            </w:r>
          </w:p>
        </w:tc>
        <w:tc>
          <w:tcPr>
            <w:tcW w:type="dxa" w:w="5000"/>
            <w:shd w:val="clear" w:color="auto" w:fill="1F2937"/>
          </w:tcPr>
          <w:p>
            <w:pPr>
              <w:spacing w:after="0"/>
            </w:pPr>
            <w:r>
              <w:rPr>
                <w:rFonts w:ascii="Calibri" w:hAnsi="Calibri"/>
                <w:b/>
                <w:color w:val="FFFFFF"/>
                <w:sz w:val="17"/>
              </w:rPr>
              <w:t xml:space="preserve">Tenu si</w:t>
            </w:r>
          </w:p>
        </w:tc>
        <w:tc>
          <w:tcPr>
            <w:tcW w:type="dxa" w:w="2298"/>
            <w:shd w:val="clear" w:color="auto" w:fill="1F2937"/>
          </w:tcPr>
          <w:p>
            <w:pPr>
              <w:spacing w:after="0"/>
            </w:pPr>
            <w:r>
              <w:rPr>
                <w:rFonts w:ascii="Calibri" w:hAnsi="Calibri"/>
                <w:b/>
                <w:color w:val="FFFFFF"/>
                <w:sz w:val="17"/>
              </w:rPr>
              <w:t xml:space="preserve">Observé</w:t>
            </w:r>
          </w:p>
        </w:tc>
      </w:tr>
      <w:tr>
        <w:trPr>
          <w:cantSplit/>
        </w:trPr>
        <w:tc>
          <w:tcPr>
            <w:tcW w:type="dxa" w:w="2000"/>
          </w:tcPr>
          <w:p>
            <w:pPr>
              <w:spacing w:after="0" w:line="252" w:lineRule="auto"/>
            </w:pPr>
            <w:r>
              <w:rPr>
                <w:rFonts w:ascii="Calibri" w:hAnsi="Calibri"/>
                <w:b w:val="0"/>
                <w:i w:val="0"/>
                <w:color w:val="333333"/>
                <w:sz w:val="17"/>
              </w:rPr>
              <w:t xml:space="preserve">Lecture</w:t>
            </w:r>
          </w:p>
        </w:tc>
        <w:tc>
          <w:tcPr>
            <w:tcW w:type="dxa" w:w="5000"/>
          </w:tcPr>
          <w:p>
            <w:pPr>
              <w:spacing w:after="0" w:line="252" w:lineRule="auto"/>
            </w:pPr>
            <w:r>
              <w:rPr>
                <w:rFonts w:ascii="Calibri" w:hAnsi="Calibri"/>
                <w:b w:val="0"/>
                <w:i w:val="0"/>
                <w:color w:val="333333"/>
                <w:sz w:val="17"/>
              </w:rPr>
              <w:t xml:space="preserve">La personne lit un chiffre de la vue produit sans demander où il se trouve</w:t>
            </w:r>
          </w:p>
        </w:tc>
        <w:tc>
          <w:tcPr>
            <w:tcW w:type="dxa" w:w="2298"/>
          </w:tcPr>
          <w:p>
            <w:pPr>
              <w:spacing w:after="0" w:line="252" w:lineRule="auto"/>
            </w:pPr>
          </w:p>
        </w:tc>
      </w:tr>
      <w:tr>
        <w:trPr>
          <w:cantSplit/>
        </w:trPr>
        <w:tc>
          <w:tcPr>
            <w:tcW w:type="dxa" w:w="2000"/>
          </w:tcPr>
          <w:p>
            <w:pPr>
              <w:spacing w:after="0" w:line="252" w:lineRule="auto"/>
            </w:pPr>
            <w:r>
              <w:rPr>
                <w:rFonts w:ascii="Calibri" w:hAnsi="Calibri"/>
                <w:b w:val="0"/>
                <w:i w:val="0"/>
                <w:color w:val="333333"/>
                <w:sz w:val="17"/>
              </w:rPr>
              <w:t xml:space="preserve">Statut d'une alerte</w:t>
            </w:r>
          </w:p>
        </w:tc>
        <w:tc>
          <w:tcPr>
            <w:tcW w:type="dxa" w:w="5000"/>
          </w:tcPr>
          <w:p>
            <w:pPr>
              <w:spacing w:after="0" w:line="252" w:lineRule="auto"/>
            </w:pPr>
            <w:r>
              <w:rPr>
                <w:rFonts w:ascii="Calibri" w:hAnsi="Calibri"/>
                <w:b w:val="0"/>
                <w:i w:val="0"/>
                <w:color w:val="333333"/>
                <w:sz w:val="17"/>
              </w:rPr>
              <w:t xml:space="preserve">Elle dit qu'une alerte est un doute à vérifier, pas une erreur avérée</w:t>
            </w:r>
          </w:p>
        </w:tc>
        <w:tc>
          <w:tcPr>
            <w:tcW w:type="dxa" w:w="2298"/>
          </w:tcPr>
          <w:p>
            <w:pPr>
              <w:spacing w:after="0" w:line="252" w:lineRule="auto"/>
            </w:pPr>
          </w:p>
        </w:tc>
      </w:tr>
      <w:tr>
        <w:trPr>
          <w:cantSplit/>
        </w:trPr>
        <w:tc>
          <w:tcPr>
            <w:tcW w:type="dxa" w:w="2000"/>
          </w:tcPr>
          <w:p>
            <w:pPr>
              <w:spacing w:after="0" w:line="252" w:lineRule="auto"/>
            </w:pPr>
            <w:r>
              <w:rPr>
                <w:rFonts w:ascii="Calibri" w:hAnsi="Calibri"/>
                <w:b w:val="0"/>
                <w:i w:val="0"/>
                <w:color w:val="333333"/>
                <w:sz w:val="17"/>
              </w:rPr>
              <w:t xml:space="preserve">Priorité</w:t>
            </w:r>
          </w:p>
        </w:tc>
        <w:tc>
          <w:tcPr>
            <w:tcW w:type="dxa" w:w="5000"/>
          </w:tcPr>
          <w:p>
            <w:pPr>
              <w:spacing w:after="0" w:line="252" w:lineRule="auto"/>
            </w:pPr>
            <w:r>
              <w:rPr>
                <w:rFonts w:ascii="Calibri" w:hAnsi="Calibri"/>
                <w:b w:val="0"/>
                <w:i w:val="0"/>
                <w:color w:val="333333"/>
                <w:sz w:val="17"/>
              </w:rPr>
              <w:t xml:space="preserve">Elle classe les alertes ou les ruptures selon ce qu'elles pèsent en euros</w:t>
            </w:r>
          </w:p>
        </w:tc>
        <w:tc>
          <w:tcPr>
            <w:tcW w:type="dxa" w:w="2298"/>
          </w:tcPr>
          <w:p>
            <w:pPr>
              <w:spacing w:after="0" w:line="252" w:lineRule="auto"/>
            </w:pPr>
          </w:p>
        </w:tc>
      </w:tr>
      <w:tr>
        <w:trPr>
          <w:cantSplit/>
        </w:trPr>
        <w:tc>
          <w:tcPr>
            <w:tcW w:type="dxa" w:w="2000"/>
          </w:tcPr>
          <w:p>
            <w:pPr>
              <w:spacing w:after="0" w:line="252" w:lineRule="auto"/>
            </w:pPr>
            <w:r>
              <w:rPr>
                <w:rFonts w:ascii="Calibri" w:hAnsi="Calibri"/>
                <w:b w:val="0"/>
                <w:i w:val="0"/>
                <w:color w:val="333333"/>
                <w:sz w:val="17"/>
              </w:rPr>
              <w:t xml:space="preserve">Prudence</w:t>
            </w:r>
          </w:p>
        </w:tc>
        <w:tc>
          <w:tcPr>
            <w:tcW w:type="dxa" w:w="5000"/>
          </w:tcPr>
          <w:p>
            <w:pPr>
              <w:spacing w:after="0" w:line="252" w:lineRule="auto"/>
            </w:pPr>
            <w:r>
              <w:rPr>
                <w:rFonts w:ascii="Calibri" w:hAnsi="Calibri"/>
                <w:b w:val="0"/>
                <w:i w:val="0"/>
                <w:color w:val="333333"/>
                <w:sz w:val="17"/>
              </w:rPr>
              <w:t xml:space="preserve">Elle ne présente pas le lien entre stock et ventes comme une cause</w:t>
            </w:r>
          </w:p>
        </w:tc>
        <w:tc>
          <w:tcPr>
            <w:tcW w:type="dxa" w:w="2298"/>
          </w:tcPr>
          <w:p>
            <w:pPr>
              <w:spacing w:after="0" w:line="252" w:lineRule="auto"/>
            </w:pPr>
          </w:p>
        </w:tc>
      </w:tr>
      <w:tr>
        <w:trPr>
          <w:cantSplit/>
        </w:trPr>
        <w:tc>
          <w:tcPr>
            <w:tcW w:type="dxa" w:w="2000"/>
          </w:tcPr>
          <w:p>
            <w:pPr>
              <w:spacing w:after="0" w:line="252" w:lineRule="auto"/>
            </w:pPr>
            <w:r>
              <w:rPr>
                <w:rFonts w:ascii="Calibri" w:hAnsi="Calibri"/>
                <w:b w:val="0"/>
                <w:i w:val="0"/>
                <w:color w:val="333333"/>
                <w:sz w:val="17"/>
              </w:rPr>
              <w:t xml:space="preserve">Autonomie</w:t>
            </w:r>
          </w:p>
        </w:tc>
        <w:tc>
          <w:tcPr>
            <w:tcW w:type="dxa" w:w="5000"/>
          </w:tcPr>
          <w:p>
            <w:pPr>
              <w:spacing w:after="0" w:line="252" w:lineRule="auto"/>
            </w:pPr>
            <w:r>
              <w:rPr>
                <w:rFonts w:ascii="Calibri" w:hAnsi="Calibri"/>
                <w:b w:val="0"/>
                <w:i w:val="0"/>
                <w:color w:val="333333"/>
                <w:sz w:val="17"/>
              </w:rPr>
              <w:t xml:space="preserve">Elle termine les trois tâches sans aide sur le vocabulaire</w:t>
            </w:r>
          </w:p>
        </w:tc>
        <w:tc>
          <w:tcPr>
            <w:tcW w:type="dxa" w:w="2298"/>
          </w:tcPr>
          <w:p>
            <w:pPr>
              <w:spacing w:after="0" w:line="252" w:lineRule="auto"/>
            </w:pPr>
          </w:p>
        </w:tc>
      </w:tr>
    </w:tbl>
    <w:p/>
    <w:p>
      <w:r>
        <w:rPr>
          <w:rFonts w:ascii="Calibri" w:hAnsi="Calibri"/>
          <w:b/>
          <w:i w:val="0"/>
          <w:color w:val="333333"/>
          <w:sz w:val="21"/>
        </w:rPr>
        <w:t xml:space="preserve">La règle de décision.</w:t>
      </w:r>
      <w:r>
        <w:rPr>
          <w:rFonts w:ascii="Calibri" w:hAnsi="Calibri"/>
          <w:b w:val="0"/>
          <w:i w:val="0"/>
          <w:color w:val="333333"/>
          <w:sz w:val="21"/>
        </w:rPr>
        <w:t xml:space="preserve"> La condition de réception est remplie si quatre critères sur cinq sont tenus. Sinon, la séquence qui correspond au critère manqué est reprise, puis la mise en situation refaite. Le résultat est noté avec les questions posées, pour améliorer le guide. Essai du 7 octobre 2026, avec une personne extérieure aux données dans le rôle de l'acheteur : cinq critères tenus sur cinq. C'est un test de lisibilité ; dans une mission réelle, la mise en situation se fait avec le service achats.</w:t>
      </w:r>
    </w:p>
    <w:p>
      <w:pPr>
        <w:spacing w:after="40"/>
      </w:pP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guide de prise en main</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2084</Words>
  <Characters>10479</Characters>
  <Application>Microsoft Office Word</Application>
  <DocSecurity>0</DocSecurity>
  <Lines>173</Lines>
  <Paragraphs>173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2026-10-07T19:12:39Z</dcterms:created>
  <dcterms:modified xsi:type="dcterms:W3CDTF">2026-10-13T21:55:00Z</dcterms:modified>
</cp:coreProperties>
</file>