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aps/>
          <w:color w:val="6B7280"/>
          <w:sz w:val="18"/>
        </w:rPr>
        <w:t>Projet 13, partie 1, livrable 2, documentation</w:t>
      </w:r>
    </w:p>
    <w:p>
      <w:pPr>
        <w:pStyle w:val="Title"/>
        <w:spacing w:after="60"/>
      </w:pPr>
      <w:r>
        <w:t>Veille métier et technologique</w:t>
      </w:r>
    </w:p>
    <w:p>
      <w:pPr>
        <w:spacing w:after="360"/>
      </w:pPr>
      <w:r>
        <w:rPr>
          <w:rFonts w:ascii="Calibri" w:hAnsi="Calibri"/>
          <w:color w:val="3D5A80"/>
          <w:sz w:val="24"/>
        </w:rPr>
        <w:t>Outils d'IA et méthodes d'analyse pour augmenter le projet BottleNeck</w:t>
      </w:r>
    </w:p>
    <w:p>
      <w:pPr>
        <w:pBdr>
          <w:bottom w:val="single" w:sz="8" w:space="1" w:color="C9D3DF"/>
        </w:pBdr>
        <w:spacing w:after="280"/>
      </w:pPr>
    </w:p>
    <w:p>
      <w:pPr>
        <w:spacing w:after="60"/>
      </w:pPr>
      <w:r>
        <w:rPr>
          <w:rFonts w:ascii="Calibri" w:hAnsi="Calibri"/>
          <w:b/>
          <w:color w:val="1F2937"/>
          <w:sz w:val="20"/>
        </w:rPr>
        <w:t xml:space="preserve">Auteur : </w:t>
      </w:r>
      <w:r>
        <w:rPr>
          <w:rFonts w:ascii="Calibri" w:hAnsi="Calibri"/>
          <w:color w:val="333333"/>
          <w:sz w:val="20"/>
        </w:rPr>
        <w:t>Charles Lippens, Data Analyst</w:t>
      </w:r>
    </w:p>
    <w:p>
      <w:pPr>
        <w:spacing w:after="60"/>
      </w:pPr>
      <w:r>
        <w:rPr>
          <w:rFonts w:ascii="Calibri" w:hAnsi="Calibri"/>
          <w:b/>
          <w:color w:val="1F2937"/>
          <w:sz w:val="20"/>
        </w:rPr>
        <w:t xml:space="preserve">Projet : </w:t>
      </w:r>
      <w:r>
        <w:rPr>
          <w:rFonts w:ascii="Calibri" w:hAnsi="Calibri"/>
          <w:color w:val="333333"/>
          <w:sz w:val="20"/>
        </w:rPr>
        <w:t>Pilotez un projet data augmenté avec l'IA</w:t>
      </w:r>
    </w:p>
    <w:p>
      <w:pPr>
        <w:spacing w:after="60"/>
      </w:pPr>
      <w:r>
        <w:rPr>
          <w:rFonts w:ascii="Calibri" w:hAnsi="Calibri"/>
          <w:b/>
          <w:color w:val="1F2937"/>
          <w:sz w:val="20"/>
        </w:rPr>
        <w:t xml:space="preserve">Base de travail : </w:t>
      </w:r>
      <w:r>
        <w:rPr>
          <w:rFonts w:ascii="Calibri" w:hAnsi="Calibri"/>
          <w:color w:val="333333"/>
          <w:sz w:val="20"/>
        </w:rPr>
        <w:t>Notebook du projet 6, optimisation des données BottleNeck</w:t>
      </w:r>
    </w:p>
    <w:p>
      <w:pPr>
        <w:spacing w:after="60"/>
      </w:pPr>
      <w:r>
        <w:rPr>
          <w:rFonts w:ascii="Calibri" w:hAnsi="Calibri"/>
          <w:b/>
          <w:color w:val="1F2937"/>
          <w:sz w:val="20"/>
        </w:rPr>
        <w:t xml:space="preserve">Date : </w:t>
      </w:r>
      <w:r>
        <w:rPr>
          <w:rFonts w:ascii="Calibri" w:hAnsi="Calibri"/>
          <w:color w:val="333333"/>
          <w:sz w:val="20"/>
        </w:rPr>
        <w:t xml:space="preserve">Octobre 2026, dépôt du projet</w:t>
      </w:r>
    </w:p>
    <w:p>
      <w:pPr>
        <w:spacing w:after="60"/>
      </w:pPr>
      <w:r>
        <w:rPr>
          <w:rFonts w:ascii="Calibri" w:hAnsi="Calibri"/>
          <w:b/>
          <w:color w:val="1F2937"/>
          <w:sz w:val="20"/>
        </w:rPr>
        <w:t xml:space="preserve">Version : </w:t>
      </w:r>
      <w:r>
        <w:rPr>
          <w:rFonts w:ascii="Calibri" w:hAnsi="Calibri"/>
          <w:color w:val="333333"/>
          <w:sz w:val="20"/>
        </w:rPr>
        <w:t xml:space="preserve">2.9, le 7 octobre 2026 : essais C et D relus et relancés ; 2.8, mise à jour du 1er octobre 2026 (réexécution du 30 septembre, relecture des essais C et D en cours, accès aux données en octobre, adresse masquée sur la figure A3, date du dépôt, typographie) ; 2.7, matrice des options sur les sept critères (3.5), cas d'usage et prérequis (3.6), sources vérifiées et cliquables (4), veille métier (4.2), besoin servi par chaque axe (6), puis relecture finale (datation des sources, essais C et D à relire), le 25 septembre 2026, et mise à jour du 28 septembre 2026 (performance datée, traçabilité, figures redessinées, texte allégé) ; 2.6, facteurs de performance et accès aux fichiers décrits exactement, le 25 septembre 2026 ; 2.5, transmission des données décrite exactement, le 25 septembre 2026 ; 2.4, piste sur les sources ouvertes ajoutée en 6.1, le 24 septembre 2026 ; 2.3, dispositif de veille installé et capturé (annexe A), le 17 septembre 2026 ; 2.2, sources nommées avec leur adresse, dispositifs d'automatisation nommés ; 2.1, corrigée après les deux passages d'audit</w:t>
      </w:r>
    </w:p>
    <w:p>
      <w:r>
        <w:br w:type="page"/>
      </w:r>
    </w:p>
    <w:p>
      <w:pPr>
        <w:spacing w:after="200"/>
      </w:pPr>
      <w:r>
        <w:rPr>
          <w:rFonts w:ascii="Calibri" w:hAnsi="Calibri"/>
          <w:b/>
          <w:color w:val="6B7280"/>
          <w:sz w:val="30"/>
        </w:rPr>
        <w:t>Sommaire</w:t>
      </w:r>
    </w:p>
    <w:p>
      <w:pPr>
        <w:tabs>
          <w:tab w:val="right" w:leader="dot" w:pos="9298"/>
        </w:tabs>
        <w:spacing w:after="40"/>
        <w:ind w:left="0"/>
      </w:pPr>
      <w:r>
        <w:fldChar w:fldCharType="begin"/>
      </w:r>
      <w:r>
        <w:instrText xml:space="preserve">TOC \o "1-3" \h \z \u</w:instrText>
      </w:r>
      <w:r>
        <w:fldChar w:fldCharType="separate"/>
      </w:r>
      <w:hyperlink w:anchor="_TocP130001" w:history="1">
        <w:r>
          <w:rPr>
            <w:rFonts w:ascii="Calibri" w:hAnsi="Calibri"/>
            <w:color w:val="1F2937"/>
            <w:sz w:val="21"/>
          </w:rPr>
          <w:t xml:space="preserve">1. Le besoin de veille</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2" w:history="1">
        <w:r>
          <w:rPr>
            <w:rFonts w:ascii="Calibri" w:hAnsi="Calibri"/>
            <w:color w:val="1F2937"/>
            <w:sz w:val="21"/>
          </w:rPr>
          <w:t xml:space="preserve">1.1 Les quatre axes qui en découlent</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3" w:history="1">
        <w:r>
          <w:rPr>
            <w:rFonts w:ascii="Calibri" w:hAnsi="Calibri"/>
            <w:color w:val="1F2937"/>
            <w:sz w:val="21"/>
          </w:rPr>
          <w:t xml:space="preserve">2. Méthodologie et système de veille</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4" w:history="1">
        <w:r>
          <w:rPr>
            <w:rFonts w:ascii="Calibri" w:hAnsi="Calibri"/>
            <w:color w:val="1F2937"/>
            <w:sz w:val="21"/>
          </w:rPr>
          <w:t xml:space="preserve">2.1 Les sept critères d'évaluation</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5" w:history="1">
        <w:r>
          <w:rPr>
            <w:rFonts w:ascii="Calibri" w:hAnsi="Calibri"/>
            <w:color w:val="1F2937"/>
            <w:sz w:val="21"/>
          </w:rPr>
          <w:t xml:space="preserve">2.2 Sources et automatisation</w:t>
        </w:r>
        <w:r>
          <w:rPr>
            <w:rFonts w:ascii="Calibri" w:hAnsi="Calibri"/>
            <w:color w:val="1F2937"/>
            <w:sz w:val="21"/>
          </w:rPr>
          <w:tab/>
        </w:r>
        <w:r>
          <w:rPr>
            <w:rFonts w:ascii="Calibri" w:hAnsi="Calibri"/>
            <w:color w:val="1F2937"/>
            <w:sz w:val="21"/>
          </w:rPr>
          <w:t>4</w:t>
        </w:r>
      </w:hyperlink>
    </w:p>
    <w:p>
      <w:pPr>
        <w:tabs>
          <w:tab w:val="right" w:leader="dot" w:pos="9298"/>
        </w:tabs>
        <w:spacing w:after="40"/>
        <w:ind w:left="0"/>
      </w:pPr>
      <w:hyperlink w:anchor="_TocP130006" w:history="1">
        <w:r>
          <w:rPr>
            <w:rFonts w:ascii="Calibri" w:hAnsi="Calibri"/>
            <w:color w:val="1F2937"/>
            <w:sz w:val="21"/>
          </w:rPr>
          <w:t xml:space="preserve">3. Cartographie des solutions, axe par axe</w:t>
        </w:r>
        <w:r>
          <w:rPr>
            <w:rFonts w:ascii="Calibri" w:hAnsi="Calibri"/>
            <w:color w:val="1F2937"/>
            <w:sz w:val="21"/>
          </w:rPr>
          <w:tab/>
        </w:r>
        <w:r>
          <w:rPr>
            <w:rFonts w:ascii="Calibri" w:hAnsi="Calibri"/>
            <w:color w:val="1F2937"/>
            <w:sz w:val="21"/>
          </w:rPr>
          <w:t>4</w:t>
        </w:r>
      </w:hyperlink>
    </w:p>
    <w:p>
      <w:pPr>
        <w:tabs>
          <w:tab w:val="right" w:leader="dot" w:pos="9298"/>
        </w:tabs>
        <w:spacing w:after="40"/>
        <w:ind w:left="340"/>
      </w:pPr>
      <w:hyperlink w:anchor="_TocP130007" w:history="1">
        <w:r>
          <w:rPr>
            <w:rFonts w:ascii="Calibri" w:hAnsi="Calibri"/>
            <w:color w:val="1F2937"/>
            <w:sz w:val="21"/>
          </w:rPr>
          <w:t xml:space="preserve">3.1 Axe 1, qualité des données</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8" w:history="1">
        <w:r>
          <w:rPr>
            <w:rFonts w:ascii="Calibri" w:hAnsi="Calibri"/>
            <w:color w:val="1F2937"/>
            <w:sz w:val="21"/>
          </w:rPr>
          <w:t xml:space="preserve">3.2 Axe 2, performance et reproductibilité</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9" w:history="1">
        <w:r>
          <w:rPr>
            <w:rFonts w:ascii="Calibri" w:hAnsi="Calibri"/>
            <w:color w:val="1F2937"/>
            <w:sz w:val="21"/>
          </w:rPr>
          <w:t xml:space="preserve">3.3 Axe 3, détection d'anomalies</w:t>
        </w:r>
        <w:r>
          <w:rPr>
            <w:rFonts w:ascii="Calibri" w:hAnsi="Calibri"/>
            <w:color w:val="1F2937"/>
            <w:sz w:val="21"/>
          </w:rPr>
          <w:tab/>
        </w:r>
        <w:r>
          <w:rPr>
            <w:rFonts w:ascii="Calibri" w:hAnsi="Calibri"/>
            <w:color w:val="1F2937"/>
            <w:sz w:val="21"/>
          </w:rPr>
          <w:t>6</w:t>
        </w:r>
      </w:hyperlink>
    </w:p>
    <w:p>
      <w:pPr>
        <w:tabs>
          <w:tab w:val="right" w:leader="dot" w:pos="9298"/>
        </w:tabs>
        <w:spacing w:after="40"/>
        <w:ind w:left="340"/>
      </w:pPr>
      <w:hyperlink w:anchor="_TocP130010" w:history="1">
        <w:r>
          <w:rPr>
            <w:rFonts w:ascii="Calibri" w:hAnsi="Calibri"/>
            <w:color w:val="1F2937"/>
            <w:sz w:val="21"/>
          </w:rPr>
          <w:t xml:space="preserve">3.4 Axe 4, interprétabilité et documentation assistée</w:t>
        </w:r>
        <w:r>
          <w:rPr>
            <w:rFonts w:ascii="Calibri" w:hAnsi="Calibri"/>
            <w:color w:val="1F2937"/>
            <w:sz w:val="21"/>
          </w:rPr>
          <w:tab/>
        </w:r>
        <w:r>
          <w:rPr>
            <w:rFonts w:ascii="Calibri" w:hAnsi="Calibri"/>
            <w:color w:val="1F2937"/>
            <w:sz w:val="21"/>
          </w:rPr>
          <w:t>7</w:t>
        </w:r>
      </w:hyperlink>
    </w:p>
    <w:p>
      <w:pPr>
        <w:tabs>
          <w:tab w:val="right" w:leader="dot" w:pos="9298"/>
        </w:tabs>
        <w:spacing w:after="40"/>
        <w:ind w:left="340"/>
      </w:pPr>
      <w:hyperlink w:anchor="_TocP130011" w:history="1">
        <w:r>
          <w:rPr>
            <w:rFonts w:ascii="Calibri" w:hAnsi="Calibri"/>
            <w:color w:val="1F2937"/>
            <w:sz w:val="21"/>
          </w:rPr>
          <w:t xml:space="preserve">3.5 La matrice des options sur les sept critères</w:t>
        </w:r>
        <w:r>
          <w:rPr>
            <w:rFonts w:ascii="Calibri" w:hAnsi="Calibri"/>
            <w:color w:val="1F2937"/>
            <w:sz w:val="21"/>
          </w:rPr>
          <w:tab/>
        </w:r>
        <w:r>
          <w:rPr>
            <w:rFonts w:ascii="Calibri" w:hAnsi="Calibri"/>
            <w:color w:val="1F2937"/>
            <w:sz w:val="21"/>
          </w:rPr>
          <w:t>7</w:t>
        </w:r>
      </w:hyperlink>
    </w:p>
    <w:p>
      <w:pPr>
        <w:tabs>
          <w:tab w:val="right" w:leader="dot" w:pos="9298"/>
        </w:tabs>
        <w:spacing w:after="40"/>
        <w:ind w:left="340"/>
      </w:pPr>
      <w:hyperlink w:anchor="_TocP130012" w:history="1">
        <w:r>
          <w:rPr>
            <w:rFonts w:ascii="Calibri" w:hAnsi="Calibri"/>
            <w:color w:val="1F2937"/>
            <w:sz w:val="21"/>
          </w:rPr>
          <w:t xml:space="preserve">3.6 Cas d'usage et prérequis de chaque solution</w:t>
        </w:r>
        <w:r>
          <w:rPr>
            <w:rFonts w:ascii="Calibri" w:hAnsi="Calibri"/>
            <w:color w:val="1F2937"/>
            <w:sz w:val="21"/>
          </w:rPr>
          <w:tab/>
        </w:r>
        <w:r>
          <w:rPr>
            <w:rFonts w:ascii="Calibri" w:hAnsi="Calibri"/>
            <w:color w:val="1F2937"/>
            <w:sz w:val="21"/>
          </w:rPr>
          <w:t>9</w:t>
        </w:r>
      </w:hyperlink>
    </w:p>
    <w:p>
      <w:pPr>
        <w:tabs>
          <w:tab w:val="right" w:leader="dot" w:pos="9298"/>
        </w:tabs>
        <w:spacing w:after="40"/>
        <w:ind w:left="0"/>
      </w:pPr>
      <w:hyperlink w:anchor="_TocP130013" w:history="1">
        <w:r>
          <w:rPr>
            <w:rFonts w:ascii="Calibri" w:hAnsi="Calibri"/>
            <w:color w:val="1F2937"/>
            <w:sz w:val="21"/>
          </w:rPr>
          <w:t xml:space="preserve">4. Sources fiables, datées et hiérarchisées</w:t>
        </w:r>
        <w:r>
          <w:rPr>
            <w:rFonts w:ascii="Calibri" w:hAnsi="Calibri"/>
            <w:color w:val="1F2937"/>
            <w:sz w:val="21"/>
          </w:rPr>
          <w:tab/>
        </w:r>
        <w:r>
          <w:rPr>
            <w:rFonts w:ascii="Calibri" w:hAnsi="Calibri"/>
            <w:color w:val="1F2937"/>
            <w:sz w:val="21"/>
          </w:rPr>
          <w:t>9</w:t>
        </w:r>
      </w:hyperlink>
    </w:p>
    <w:p>
      <w:pPr>
        <w:tabs>
          <w:tab w:val="right" w:leader="dot" w:pos="9298"/>
        </w:tabs>
        <w:spacing w:after="40"/>
        <w:ind w:left="340"/>
      </w:pPr>
      <w:hyperlink w:anchor="_TocP130014" w:history="1">
        <w:r>
          <w:rPr>
            <w:rFonts w:ascii="Calibri" w:hAnsi="Calibri"/>
            <w:color w:val="1F2937"/>
            <w:sz w:val="21"/>
          </w:rPr>
          <w:t xml:space="preserve">4.1 Développement durable et sobriété</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15" w:history="1">
        <w:r>
          <w:rPr>
            <w:rFonts w:ascii="Calibri" w:hAnsi="Calibri"/>
            <w:color w:val="1F2937"/>
            <w:sz w:val="21"/>
          </w:rPr>
          <w:t xml:space="preserve">4.2 Veille métier : le marché du vin et la vente en ligne</w:t>
        </w:r>
        <w:r>
          <w:rPr>
            <w:rFonts w:ascii="Calibri" w:hAnsi="Calibri"/>
            <w:color w:val="1F2937"/>
            <w:sz w:val="21"/>
          </w:rPr>
          <w:tab/>
        </w:r>
        <w:r>
          <w:rPr>
            <w:rFonts w:ascii="Calibri" w:hAnsi="Calibri"/>
            <w:color w:val="1F2937"/>
            <w:sz w:val="21"/>
          </w:rPr>
          <w:t>11</w:t>
        </w:r>
      </w:hyperlink>
    </w:p>
    <w:p>
      <w:pPr>
        <w:tabs>
          <w:tab w:val="right" w:leader="dot" w:pos="9298"/>
        </w:tabs>
        <w:spacing w:after="40"/>
        <w:ind w:left="0"/>
      </w:pPr>
      <w:hyperlink w:anchor="_TocP130016" w:history="1">
        <w:r>
          <w:rPr>
            <w:rFonts w:ascii="Calibri" w:hAnsi="Calibri"/>
            <w:color w:val="1F2937"/>
            <w:sz w:val="21"/>
          </w:rPr>
          <w:t xml:space="preserve">5. Sécurité, conformité et usage responsable de l'IA</w:t>
        </w:r>
        <w:r>
          <w:rPr>
            <w:rFonts w:ascii="Calibri" w:hAnsi="Calibri"/>
            <w:color w:val="1F2937"/>
            <w:sz w:val="21"/>
          </w:rPr>
          <w:tab/>
        </w:r>
        <w:r>
          <w:rPr>
            <w:rFonts w:ascii="Calibri" w:hAnsi="Calibri"/>
            <w:color w:val="1F2937"/>
            <w:sz w:val="21"/>
          </w:rPr>
          <w:t>11</w:t>
        </w:r>
      </w:hyperlink>
    </w:p>
    <w:p>
      <w:pPr>
        <w:tabs>
          <w:tab w:val="right" w:leader="dot" w:pos="9298"/>
        </w:tabs>
        <w:spacing w:after="40"/>
        <w:ind w:left="0"/>
      </w:pPr>
      <w:hyperlink w:anchor="_TocP130017" w:history="1">
        <w:r>
          <w:rPr>
            <w:rFonts w:ascii="Calibri" w:hAnsi="Calibri"/>
            <w:color w:val="1F2937"/>
            <w:sz w:val="21"/>
          </w:rPr>
          <w:t xml:space="preserve">6. Synthèse et amélioration continue</w:t>
        </w:r>
        <w:r>
          <w:rPr>
            <w:rFonts w:ascii="Calibri" w:hAnsi="Calibri"/>
            <w:color w:val="1F2937"/>
            <w:sz w:val="21"/>
          </w:rPr>
          <w:tab/>
        </w:r>
        <w:r>
          <w:rPr>
            <w:rFonts w:ascii="Calibri" w:hAnsi="Calibri"/>
            <w:color w:val="1F2937"/>
            <w:sz w:val="21"/>
          </w:rPr>
          <w:t>12</w:t>
        </w:r>
      </w:hyperlink>
    </w:p>
    <w:p>
      <w:pPr>
        <w:tabs>
          <w:tab w:val="right" w:leader="dot" w:pos="9298"/>
        </w:tabs>
        <w:spacing w:after="40"/>
        <w:ind w:left="340"/>
      </w:pPr>
      <w:hyperlink w:anchor="_TocP130018" w:history="1">
        <w:r>
          <w:rPr>
            <w:rFonts w:ascii="Calibri" w:hAnsi="Calibri"/>
            <w:color w:val="1F2937"/>
            <w:sz w:val="21"/>
          </w:rPr>
          <w:t xml:space="preserve">6.1 Pistes d'amélioration continue</w:t>
        </w:r>
        <w:r>
          <w:rPr>
            <w:rFonts w:ascii="Calibri" w:hAnsi="Calibri"/>
            <w:color w:val="1F2937"/>
            <w:sz w:val="21"/>
          </w:rPr>
          <w:tab/>
        </w:r>
        <w:r>
          <w:rPr>
            <w:rFonts w:ascii="Calibri" w:hAnsi="Calibri"/>
            <w:color w:val="1F2937"/>
            <w:sz w:val="21"/>
          </w:rPr>
          <w:t>13</w:t>
        </w:r>
      </w:hyperlink>
    </w:p>
    <w:p>
      <w:pPr>
        <w:tabs>
          <w:tab w:val="right" w:leader="dot" w:pos="9298"/>
        </w:tabs>
        <w:spacing w:after="40"/>
        <w:ind w:left="0"/>
      </w:pPr>
      <w:hyperlink w:anchor="_TocP130019" w:history="1">
        <w:r>
          <w:rPr>
            <w:rFonts w:ascii="Calibri" w:hAnsi="Calibri"/>
            <w:color w:val="1F2937"/>
            <w:sz w:val="21"/>
          </w:rPr>
          <w:t xml:space="preserve">Annexe A. Le dispositif de veille en fonctionnement</w:t>
        </w:r>
        <w:r>
          <w:rPr>
            <w:rFonts w:ascii="Calibri" w:hAnsi="Calibri"/>
            <w:color w:val="1F2937"/>
            <w:sz w:val="21"/>
          </w:rPr>
          <w:tab/>
        </w:r>
        <w:r>
          <w:rPr>
            <w:rFonts w:ascii="Calibri" w:hAnsi="Calibri"/>
            <w:color w:val="1F2937"/>
            <w:sz w:val="21"/>
          </w:rPr>
          <w:t>14</w:t>
        </w:r>
      </w:hyperlink>
      <w:r>
        <w:fldChar w:fldCharType="end"/>
      </w:r>
    </w:p>
    <w:p>
      <w:r>
        <w:br w:type="page"/>
      </w:r>
    </w:p>
    <w:p>
      <w:pPr>
        <w:pStyle w:val="Heading1"/>
      </w:pPr>
      <w:bookmarkStart w:id="7001" w:name="_TocP130001"/>
      <w:r>
        <w:t>1. Le besoin de veille</w:t>
      </w:r>
      <w:bookmarkEnd w:id="7001"/>
    </w:p>
    <w:p>
      <w:r>
        <w:rPr>
          <w:rFonts w:ascii="Calibri" w:hAnsi="Calibri"/>
          <w:b w:val="0"/>
          <w:i w:val="0"/>
          <w:color w:val="333333"/>
          <w:sz w:val="21"/>
        </w:rPr>
        <w:t xml:space="preserve">Le notebook du projet 6 nettoie et analyse les données de BottleNeck, une boutique de vins. Il rapproche l'ERP et le site de vente en ligne, détecte des anomalies et calcule le chiffre d'affaires. Il fonctionne, mais il reste un travail d'exercice. Les contrôles de qualité sont écrits à la main. Un seul outil de calcul est utilisé, sans que ce choix ait été questionné. La détection d'anomalies ne regarde qu'une variable à la fois. Et rien n'explique ce qui fait vendre une référence plutôt qu'une autre.</w:t>
      </w:r>
    </w:p>
    <w:p>
      <w:r>
        <w:rPr>
          <w:rFonts w:ascii="Calibri" w:hAnsi="Calibri"/>
          <w:b w:val="0"/>
          <w:i w:val="0"/>
          <w:color w:val="333333"/>
          <w:sz w:val="21"/>
        </w:rPr>
        <w:t xml:space="preserve">J'ai défini le besoin avant de chercher : ces quatre limites deviennent une seule question, qui structure le document.</w:t>
      </w:r>
    </w:p>
    <w:p>
      <w:pPr>
        <w:spacing w:before="60" w:after="160"/>
      </w:pPr>
      <w:r>
        <w:rPr>
          <w:rFonts w:ascii="Calibri" w:hAnsi="Calibri"/>
          <w:b/>
          <w:i w:val="0"/>
          <w:color w:val="333333"/>
          <w:sz w:val="20"/>
        </w:rPr>
        <w:t>Question de veille.</w:t>
      </w:r>
      <w:r>
        <w:rPr>
          <w:rFonts w:ascii="Calibri" w:hAnsi="Calibri"/>
          <w:b w:val="0"/>
          <w:i w:val="0"/>
          <w:color w:val="333333"/>
          <w:sz w:val="20"/>
        </w:rPr>
        <w:t xml:space="preserve"> Quelles technologies, solutions logicielles et méthodes d'analyse récentes permettraient de fiabiliser, d'accélérer et de rendre plus interprétable ce livrable, tout en restant sobres et conformes ?</w:t>
      </w:r>
    </w:p>
    <w:p>
      <w:pPr>
        <w:spacing w:after="40"/>
      </w:pPr>
    </w:p>
    <w:p>
      <w:pPr>
        <w:pStyle w:val="Heading2"/>
      </w:pPr>
      <w:bookmarkStart w:id="7002" w:name="_TocP130002"/>
      <w:r>
        <w:t>1.1 Les quatre axes qui en découlent</w:t>
      </w:r>
      <w:bookmarkEnd w:id="7002"/>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041"/>
            <w:shd w:val="clear" w:color="auto" w:fill="1F2937"/>
          </w:tcPr>
          <w:p>
            <w:pPr>
              <w:spacing w:after="0"/>
            </w:pPr>
            <w:r>
              <w:rPr>
                <w:rFonts w:ascii="Calibri" w:hAnsi="Calibri"/>
                <w:b/>
                <w:color w:val="FFFFFF"/>
                <w:sz w:val="18"/>
              </w:rPr>
              <w:t>Axe</w:t>
            </w:r>
          </w:p>
        </w:tc>
        <w:tc>
          <w:tcPr>
            <w:tcW w:type="dxa" w:w="3969"/>
            <w:shd w:val="clear" w:color="auto" w:fill="1F2937"/>
          </w:tcPr>
          <w:p>
            <w:pPr>
              <w:spacing w:after="0"/>
            </w:pPr>
            <w:r>
              <w:rPr>
                <w:rFonts w:ascii="Calibri" w:hAnsi="Calibri"/>
                <w:b/>
                <w:color w:val="FFFFFF"/>
                <w:sz w:val="18"/>
              </w:rPr>
              <w:t>Limite constatée sur le notebook du projet 6</w:t>
            </w:r>
          </w:p>
        </w:tc>
        <w:tc>
          <w:tcPr>
            <w:tcW w:type="dxa" w:w="3288"/>
            <w:shd w:val="clear" w:color="auto" w:fill="1F2937"/>
          </w:tcPr>
          <w:p>
            <w:pPr>
              <w:spacing w:after="0"/>
            </w:pPr>
            <w:r>
              <w:rPr>
                <w:rFonts w:ascii="Calibri" w:hAnsi="Calibri"/>
                <w:b/>
                <w:color w:val="FFFFFF"/>
                <w:sz w:val="18"/>
              </w:rPr>
              <w:t>Ce que la veille doit trouver</w:t>
            </w:r>
          </w:p>
        </w:tc>
      </w:tr>
      <w:tr>
        <w:trPr>
          <w:cantSplit/>
        </w:trPr>
        <w:tc>
          <w:tcPr>
            <w:tcW w:type="dxa" w:w="2041"/>
          </w:tcPr>
          <w:p>
            <w:pPr>
              <w:spacing w:after="0" w:line="252" w:lineRule="auto"/>
            </w:pPr>
            <w:r>
              <w:rPr>
                <w:rFonts w:ascii="Calibri" w:hAnsi="Calibri"/>
                <w:b w:val="0"/>
                <w:i w:val="0"/>
                <w:color w:val="333333"/>
                <w:sz w:val="18"/>
              </w:rPr>
              <w:t>Axe 1, qualité des données</w:t>
            </w:r>
          </w:p>
        </w:tc>
        <w:tc>
          <w:tcPr>
            <w:tcW w:type="dxa" w:w="3969"/>
          </w:tcPr>
          <w:p>
            <w:pPr>
              <w:spacing w:after="0" w:line="252" w:lineRule="auto"/>
            </w:pPr>
            <w:r>
              <w:rPr>
                <w:rFonts w:ascii="Calibri" w:hAnsi="Calibri"/>
                <w:b w:val="0"/>
                <w:i w:val="0"/>
                <w:color w:val="333333"/>
                <w:sz w:val="18"/>
              </w:rPr>
              <w:t>Neuf contrôles écrits à la main, dispersés, non rejouables et sans rapport d'anomalies</w:t>
            </w:r>
          </w:p>
        </w:tc>
        <w:tc>
          <w:tcPr>
            <w:tcW w:type="dxa" w:w="3288"/>
          </w:tcPr>
          <w:p>
            <w:pPr>
              <w:spacing w:after="0" w:line="252" w:lineRule="auto"/>
            </w:pPr>
            <w:r>
              <w:rPr>
                <w:rFonts w:ascii="Calibri" w:hAnsi="Calibri"/>
                <w:b w:val="0"/>
                <w:i w:val="0"/>
                <w:color w:val="333333"/>
                <w:sz w:val="18"/>
              </w:rPr>
              <w:t>Un moyen de déclarer les règles une fois et de les rejouer à chaque extraction</w:t>
            </w:r>
          </w:p>
        </w:tc>
      </w:tr>
      <w:tr>
        <w:trPr>
          <w:cantSplit/>
        </w:trPr>
        <w:tc>
          <w:tcPr>
            <w:tcW w:type="dxa" w:w="2041"/>
            <w:shd w:val="clear" w:color="auto" w:fill="F1F5F9"/>
          </w:tcPr>
          <w:p>
            <w:pPr>
              <w:spacing w:after="0" w:line="252" w:lineRule="auto"/>
            </w:pPr>
            <w:r>
              <w:rPr>
                <w:rFonts w:ascii="Calibri" w:hAnsi="Calibri"/>
                <w:b w:val="0"/>
                <w:i w:val="0"/>
                <w:color w:val="333333"/>
                <w:sz w:val="18"/>
              </w:rPr>
              <w:t>Axe 2, performance et reproductibilité</w:t>
            </w:r>
          </w:p>
        </w:tc>
        <w:tc>
          <w:tcPr>
            <w:tcW w:type="dxa" w:w="3969"/>
            <w:shd w:val="clear" w:color="auto" w:fill="F1F5F9"/>
          </w:tcPr>
          <w:p>
            <w:pPr>
              <w:spacing w:after="0" w:line="252" w:lineRule="auto"/>
            </w:pPr>
            <w:r>
              <w:rPr>
                <w:rFonts w:ascii="Calibri" w:hAnsi="Calibri"/>
                <w:b w:val="0"/>
                <w:i w:val="0"/>
                <w:color w:val="333333"/>
                <w:sz w:val="18"/>
              </w:rPr>
              <w:t>Un seul moteur de calcul, choisi par défaut, sans visibilité sur la montée en charge</w:t>
            </w:r>
          </w:p>
        </w:tc>
        <w:tc>
          <w:tcPr>
            <w:tcW w:type="dxa" w:w="3288"/>
            <w:shd w:val="clear" w:color="auto" w:fill="F1F5F9"/>
          </w:tcPr>
          <w:p>
            <w:pPr>
              <w:spacing w:after="0" w:line="252" w:lineRule="auto"/>
            </w:pPr>
            <w:r>
              <w:rPr>
                <w:rFonts w:ascii="Calibri" w:hAnsi="Calibri"/>
                <w:b w:val="0"/>
                <w:i w:val="0"/>
                <w:color w:val="333333"/>
                <w:sz w:val="18"/>
              </w:rPr>
              <w:t>Des alternatives mesurables et le seuil à partir duquel elles deviennent utiles</w:t>
            </w:r>
          </w:p>
        </w:tc>
      </w:tr>
      <w:tr>
        <w:trPr>
          <w:cantSplit/>
        </w:trPr>
        <w:tc>
          <w:tcPr>
            <w:tcW w:type="dxa" w:w="2041"/>
          </w:tcPr>
          <w:p>
            <w:pPr>
              <w:spacing w:after="0" w:line="252" w:lineRule="auto"/>
            </w:pPr>
            <w:r>
              <w:rPr>
                <w:rFonts w:ascii="Calibri" w:hAnsi="Calibri"/>
                <w:b w:val="0"/>
                <w:i w:val="0"/>
                <w:color w:val="333333"/>
                <w:sz w:val="18"/>
              </w:rPr>
              <w:t>Axe 3, détection d'anomalies</w:t>
            </w:r>
          </w:p>
        </w:tc>
        <w:tc>
          <w:tcPr>
            <w:tcW w:type="dxa" w:w="3969"/>
          </w:tcPr>
          <w:p>
            <w:pPr>
              <w:spacing w:after="0" w:line="252" w:lineRule="auto"/>
            </w:pPr>
            <w:r>
              <w:rPr>
                <w:rFonts w:ascii="Calibri" w:hAnsi="Calibri"/>
                <w:b w:val="0"/>
                <w:i w:val="0"/>
                <w:color w:val="333333"/>
                <w:sz w:val="18"/>
              </w:rPr>
              <w:t>Un écart type calculé sur le seul prix, qui ignore les anomalies croisées</w:t>
            </w:r>
          </w:p>
        </w:tc>
        <w:tc>
          <w:tcPr>
            <w:tcW w:type="dxa" w:w="3288"/>
          </w:tcPr>
          <w:p>
            <w:pPr>
              <w:spacing w:after="0" w:line="252" w:lineRule="auto"/>
            </w:pPr>
            <w:r>
              <w:rPr>
                <w:rFonts w:ascii="Calibri" w:hAnsi="Calibri"/>
                <w:b w:val="0"/>
                <w:i w:val="0"/>
                <w:color w:val="333333"/>
                <w:sz w:val="18"/>
              </w:rPr>
              <w:t>Une méthode capable de regarder plusieurs variables en même temps</w:t>
            </w:r>
          </w:p>
        </w:tc>
      </w:tr>
      <w:tr>
        <w:trPr>
          <w:cantSplit/>
        </w:trPr>
        <w:tc>
          <w:tcPr>
            <w:tcW w:type="dxa" w:w="2041"/>
            <w:shd w:val="clear" w:color="auto" w:fill="F1F5F9"/>
          </w:tcPr>
          <w:p>
            <w:pPr>
              <w:spacing w:after="0" w:line="252" w:lineRule="auto"/>
            </w:pPr>
            <w:r>
              <w:rPr>
                <w:rFonts w:ascii="Calibri" w:hAnsi="Calibri"/>
                <w:b w:val="0"/>
                <w:i w:val="0"/>
                <w:color w:val="333333"/>
                <w:sz w:val="18"/>
              </w:rPr>
              <w:t>Axe 4, interprétabilité et documentation</w:t>
            </w:r>
          </w:p>
        </w:tc>
        <w:tc>
          <w:tcPr>
            <w:tcW w:type="dxa" w:w="3969"/>
            <w:shd w:val="clear" w:color="auto" w:fill="F1F5F9"/>
          </w:tcPr>
          <w:p>
            <w:pPr>
              <w:spacing w:after="0" w:line="252" w:lineRule="auto"/>
            </w:pPr>
            <w:r>
              <w:rPr>
                <w:rFonts w:ascii="Calibri" w:hAnsi="Calibri"/>
                <w:b w:val="0"/>
                <w:i w:val="0"/>
                <w:color w:val="333333"/>
                <w:sz w:val="18"/>
              </w:rPr>
              <w:t>L'analyse décrit les ventes mais n'explique aucun facteur</w:t>
            </w:r>
          </w:p>
        </w:tc>
        <w:tc>
          <w:tcPr>
            <w:tcW w:type="dxa" w:w="3288"/>
            <w:shd w:val="clear" w:color="auto" w:fill="F1F5F9"/>
          </w:tcPr>
          <w:p>
            <w:pPr>
              <w:spacing w:after="0" w:line="252" w:lineRule="auto"/>
            </w:pPr>
            <w:r>
              <w:rPr>
                <w:rFonts w:ascii="Calibri" w:hAnsi="Calibri"/>
                <w:b w:val="0"/>
                <w:i w:val="0"/>
                <w:color w:val="333333"/>
                <w:sz w:val="18"/>
              </w:rPr>
              <w:t>Une méthode d'explication auditable, et un usage encadré des assistants d'IA</w:t>
            </w:r>
          </w:p>
        </w:tc>
      </w:tr>
    </w:tbl>
    <w:p>
      <w:pPr>
        <w:spacing w:after="40"/>
      </w:pPr>
    </w:p>
    <w:p>
      <w:r>
        <w:rPr>
          <w:rFonts w:ascii="Calibri" w:hAnsi="Calibri"/>
          <w:b w:val="0"/>
          <w:i w:val="0"/>
          <w:color w:val="333333"/>
          <w:sz w:val="21"/>
        </w:rPr>
        <w:t xml:space="preserve">Je ne retiens pas un outil parce qu'il est nouveau, mais parce qu'il répond au besoin et que la mesure le justifie.</w:t>
      </w:r>
    </w:p>
    <w:p>
      <w:pPr>
        <w:pStyle w:val="Heading1"/>
      </w:pPr>
      <w:bookmarkStart w:id="7003" w:name="_TocP130003"/>
      <w:r>
        <w:t>2. Méthodologie et système de veille</w:t>
      </w:r>
      <w:bookmarkEnd w:id="7003"/>
    </w:p>
    <w:p>
      <w:r>
        <w:rPr>
          <w:rFonts w:ascii="Calibri" w:hAnsi="Calibri"/>
          <w:b w:val="0"/>
          <w:i w:val="0"/>
          <w:color w:val="333333"/>
          <w:sz w:val="21"/>
        </w:rPr>
        <w:t xml:space="preserve">La veille suit un cycle court : repérer les sources, collecter automatiquement, trier selon des critères fixés à l'avance, garder la trace dans un tableau comparatif, décider, puis réévaluer.</w:t>
      </w:r>
    </w:p>
    <w:p>
      <w:pPr>
        <w:pStyle w:val="Heading2"/>
      </w:pPr>
      <w:bookmarkStart w:id="7004" w:name="_TocP130004"/>
      <w:r>
        <w:t>2.1 Les sept critères d'évaluation</w:t>
      </w:r>
      <w:bookmarkEnd w:id="7004"/>
    </w:p>
    <w:p>
      <w:r>
        <w:rPr>
          <w:rFonts w:ascii="Calibri" w:hAnsi="Calibri"/>
          <w:b w:val="0"/>
          <w:i w:val="0"/>
          <w:color w:val="333333"/>
          <w:sz w:val="21"/>
        </w:rPr>
        <w:t xml:space="preserve">Les critères sont les mêmes d'un axe à l'autre, pour comparer à armes égales. Ce sont les six critères de l'énoncé et l'indicateur de développement durable. Ils n'ont pas changé depuis la première version.</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928"/>
            <w:shd w:val="clear" w:color="auto" w:fill="1F2937"/>
          </w:tcPr>
          <w:p>
            <w:pPr>
              <w:spacing w:after="0"/>
            </w:pPr>
            <w:r>
              <w:rPr>
                <w:rFonts w:ascii="Calibri" w:hAnsi="Calibri"/>
                <w:b/>
                <w:color w:val="FFFFFF"/>
                <w:sz w:val="18"/>
              </w:rPr>
              <w:t>Critère</w:t>
            </w:r>
          </w:p>
        </w:tc>
        <w:tc>
          <w:tcPr>
            <w:tcW w:type="dxa" w:w="3742"/>
            <w:shd w:val="clear" w:color="auto" w:fill="1F2937"/>
          </w:tcPr>
          <w:p>
            <w:pPr>
              <w:spacing w:after="0"/>
            </w:pPr>
            <w:r>
              <w:rPr>
                <w:rFonts w:ascii="Calibri" w:hAnsi="Calibri"/>
                <w:b/>
                <w:color w:val="FFFFFF"/>
                <w:sz w:val="18"/>
              </w:rPr>
              <w:t>Ce qu'il mesure</w:t>
            </w:r>
          </w:p>
        </w:tc>
        <w:tc>
          <w:tcPr>
            <w:tcW w:type="dxa" w:w="3628"/>
            <w:shd w:val="clear" w:color="auto" w:fill="1F2937"/>
          </w:tcPr>
          <w:p>
            <w:pPr>
              <w:spacing w:after="0"/>
            </w:pPr>
            <w:r>
              <w:rPr>
                <w:rFonts w:ascii="Calibri" w:hAnsi="Calibri"/>
                <w:b/>
                <w:color w:val="FFFFFF"/>
                <w:sz w:val="18"/>
              </w:rPr>
              <w:t>Comment il est apprécié</w:t>
            </w:r>
          </w:p>
        </w:tc>
      </w:tr>
      <w:tr>
        <w:trPr>
          <w:cantSplit/>
        </w:trPr>
        <w:tc>
          <w:tcPr>
            <w:tcW w:type="dxa" w:w="1928"/>
          </w:tcPr>
          <w:p>
            <w:pPr>
              <w:spacing w:after="0" w:line="252" w:lineRule="auto"/>
            </w:pPr>
            <w:r>
              <w:rPr>
                <w:rFonts w:ascii="Calibri" w:hAnsi="Calibri"/>
                <w:b w:val="0"/>
                <w:i w:val="0"/>
                <w:color w:val="333333"/>
                <w:sz w:val="18"/>
              </w:rPr>
              <w:t>Qualité et robustesse</w:t>
            </w:r>
          </w:p>
        </w:tc>
        <w:tc>
          <w:tcPr>
            <w:tcW w:type="dxa" w:w="3742"/>
          </w:tcPr>
          <w:p>
            <w:pPr>
              <w:spacing w:after="0" w:line="252" w:lineRule="auto"/>
            </w:pPr>
            <w:r>
              <w:rPr>
                <w:rFonts w:ascii="Calibri" w:hAnsi="Calibri"/>
                <w:b w:val="0"/>
                <w:i w:val="0"/>
                <w:color w:val="333333"/>
                <w:sz w:val="18"/>
              </w:rPr>
              <w:t>Fiabilité du résultat, comportement sur les cas limites</w:t>
            </w:r>
          </w:p>
        </w:tc>
        <w:tc>
          <w:tcPr>
            <w:tcW w:type="dxa" w:w="3628"/>
          </w:tcPr>
          <w:p>
            <w:pPr>
              <w:spacing w:after="0" w:line="252" w:lineRule="auto"/>
            </w:pPr>
            <w:r>
              <w:rPr>
                <w:rFonts w:ascii="Calibri" w:hAnsi="Calibri"/>
                <w:b w:val="0"/>
                <w:i w:val="0"/>
                <w:color w:val="333333"/>
                <w:sz w:val="18"/>
              </w:rPr>
              <w:t>Test sur le jeu réel, y compris sur les lignes fautives</w:t>
            </w:r>
          </w:p>
        </w:tc>
      </w:tr>
      <w:tr>
        <w:trPr>
          <w:cantSplit/>
        </w:trPr>
        <w:tc>
          <w:tcPr>
            <w:tcW w:type="dxa" w:w="1928"/>
            <w:shd w:val="clear" w:color="auto" w:fill="F1F5F9"/>
          </w:tcPr>
          <w:p>
            <w:pPr>
              <w:spacing w:after="0" w:line="252" w:lineRule="auto"/>
            </w:pPr>
            <w:r>
              <w:rPr>
                <w:rFonts w:ascii="Calibri" w:hAnsi="Calibri"/>
                <w:b w:val="0"/>
                <w:i w:val="0"/>
                <w:color w:val="333333"/>
                <w:sz w:val="18"/>
              </w:rPr>
              <w:t>Biais</w:t>
            </w:r>
          </w:p>
        </w:tc>
        <w:tc>
          <w:tcPr>
            <w:tcW w:type="dxa" w:w="3742"/>
            <w:shd w:val="clear" w:color="auto" w:fill="F1F5F9"/>
          </w:tcPr>
          <w:p>
            <w:pPr>
              <w:spacing w:after="0" w:line="252" w:lineRule="auto"/>
            </w:pPr>
            <w:r>
              <w:rPr>
                <w:rFonts w:ascii="Calibri" w:hAnsi="Calibri"/>
                <w:b w:val="0"/>
                <w:i w:val="0"/>
                <w:color w:val="333333"/>
                <w:sz w:val="18"/>
              </w:rPr>
              <w:t>Risque de fausser ou de discriminer l'analyse</w:t>
            </w:r>
          </w:p>
        </w:tc>
        <w:tc>
          <w:tcPr>
            <w:tcW w:type="dxa" w:w="3628"/>
            <w:shd w:val="clear" w:color="auto" w:fill="F1F5F9"/>
          </w:tcPr>
          <w:p>
            <w:pPr>
              <w:spacing w:after="0" w:line="252" w:lineRule="auto"/>
            </w:pPr>
            <w:r>
              <w:rPr>
                <w:rFonts w:ascii="Calibri" w:hAnsi="Calibri"/>
                <w:b w:val="0"/>
                <w:i w:val="0"/>
                <w:color w:val="333333"/>
                <w:sz w:val="18"/>
              </w:rPr>
              <w:t>Analyse des hypothèses de la méthode et de sa sensibilité aux réglages</w:t>
            </w:r>
          </w:p>
        </w:tc>
      </w:tr>
      <w:tr>
        <w:trPr>
          <w:cantSplit/>
        </w:trPr>
        <w:tc>
          <w:tcPr>
            <w:tcW w:type="dxa" w:w="1928"/>
          </w:tcPr>
          <w:p>
            <w:pPr>
              <w:spacing w:after="0" w:line="252" w:lineRule="auto"/>
            </w:pPr>
            <w:r>
              <w:rPr>
                <w:rFonts w:ascii="Calibri" w:hAnsi="Calibri"/>
                <w:b w:val="0"/>
                <w:i w:val="0"/>
                <w:color w:val="333333"/>
                <w:sz w:val="18"/>
              </w:rPr>
              <w:t>Coût en temps</w:t>
            </w:r>
          </w:p>
        </w:tc>
        <w:tc>
          <w:tcPr>
            <w:tcW w:type="dxa" w:w="3742"/>
          </w:tcPr>
          <w:p>
            <w:pPr>
              <w:spacing w:after="0" w:line="252" w:lineRule="auto"/>
            </w:pPr>
            <w:r>
              <w:rPr>
                <w:rFonts w:ascii="Calibri" w:hAnsi="Calibri"/>
                <w:b w:val="0"/>
                <w:i w:val="0"/>
                <w:color w:val="333333"/>
                <w:sz w:val="18"/>
              </w:rPr>
              <w:t>Temps d'exécution et temps d'apprentissage</w:t>
            </w:r>
          </w:p>
        </w:tc>
        <w:tc>
          <w:tcPr>
            <w:tcW w:type="dxa" w:w="3628"/>
          </w:tcPr>
          <w:p>
            <w:pPr>
              <w:spacing w:after="0" w:line="252" w:lineRule="auto"/>
            </w:pPr>
            <w:r>
              <w:rPr>
                <w:rFonts w:ascii="Calibri" w:hAnsi="Calibri"/>
                <w:b w:val="0"/>
                <w:i w:val="0"/>
                <w:color w:val="333333"/>
                <w:sz w:val="18"/>
              </w:rPr>
              <w:t>Mesure chronométrée et estimation de la prise en main</w:t>
            </w:r>
          </w:p>
        </w:tc>
      </w:tr>
      <w:tr>
        <w:trPr>
          <w:cantSplit/>
        </w:trPr>
        <w:tc>
          <w:tcPr>
            <w:tcW w:type="dxa" w:w="1928"/>
            <w:shd w:val="clear" w:color="auto" w:fill="F1F5F9"/>
          </w:tcPr>
          <w:p>
            <w:pPr>
              <w:spacing w:after="0" w:line="252" w:lineRule="auto"/>
            </w:pPr>
            <w:r>
              <w:rPr>
                <w:rFonts w:ascii="Calibri" w:hAnsi="Calibri"/>
                <w:b w:val="0"/>
                <w:i w:val="0"/>
                <w:color w:val="333333"/>
                <w:sz w:val="18"/>
              </w:rPr>
              <w:t>Reproductibilité</w:t>
            </w:r>
          </w:p>
        </w:tc>
        <w:tc>
          <w:tcPr>
            <w:tcW w:type="dxa" w:w="3742"/>
            <w:shd w:val="clear" w:color="auto" w:fill="F1F5F9"/>
          </w:tcPr>
          <w:p>
            <w:pPr>
              <w:spacing w:after="0" w:line="252" w:lineRule="auto"/>
            </w:pPr>
            <w:r>
              <w:rPr>
                <w:rFonts w:ascii="Calibri" w:hAnsi="Calibri"/>
                <w:b w:val="0"/>
                <w:i w:val="0"/>
                <w:color w:val="333333"/>
                <w:sz w:val="18"/>
              </w:rPr>
              <w:t>Capacité à rejouer à l'identique</w:t>
            </w:r>
          </w:p>
        </w:tc>
        <w:tc>
          <w:tcPr>
            <w:tcW w:type="dxa" w:w="3628"/>
            <w:shd w:val="clear" w:color="auto" w:fill="F1F5F9"/>
          </w:tcPr>
          <w:p>
            <w:pPr>
              <w:spacing w:after="0" w:line="252" w:lineRule="auto"/>
            </w:pPr>
            <w:r>
              <w:rPr>
                <w:rFonts w:ascii="Calibri" w:hAnsi="Calibri"/>
                <w:b w:val="0"/>
                <w:i w:val="0"/>
                <w:color w:val="333333"/>
                <w:sz w:val="18"/>
              </w:rPr>
              <w:t>Versions figées, graine aléatoire, absence de dépendance à l'environnement</w:t>
            </w:r>
          </w:p>
        </w:tc>
      </w:tr>
      <w:tr>
        <w:trPr>
          <w:cantSplit/>
        </w:trPr>
        <w:tc>
          <w:tcPr>
            <w:tcW w:type="dxa" w:w="1928"/>
          </w:tcPr>
          <w:p>
            <w:pPr>
              <w:spacing w:after="0" w:line="252" w:lineRule="auto"/>
            </w:pPr>
            <w:r>
              <w:rPr>
                <w:rFonts w:ascii="Calibri" w:hAnsi="Calibri"/>
                <w:b w:val="0"/>
                <w:i w:val="0"/>
                <w:color w:val="333333"/>
                <w:sz w:val="18"/>
              </w:rPr>
              <w:t>Sécurité et conformité</w:t>
            </w:r>
          </w:p>
        </w:tc>
        <w:tc>
          <w:tcPr>
            <w:tcW w:type="dxa" w:w="3742"/>
          </w:tcPr>
          <w:p>
            <w:pPr>
              <w:spacing w:after="0" w:line="252" w:lineRule="auto"/>
            </w:pPr>
            <w:r>
              <w:rPr>
                <w:rFonts w:ascii="Calibri" w:hAnsi="Calibri"/>
                <w:b w:val="0"/>
                <w:i w:val="0"/>
                <w:color w:val="333333"/>
                <w:sz w:val="18"/>
              </w:rPr>
              <w:t>Protection des données, RGPD, absence de fuite</w:t>
            </w:r>
          </w:p>
        </w:tc>
        <w:tc>
          <w:tcPr>
            <w:tcW w:type="dxa" w:w="3628"/>
          </w:tcPr>
          <w:p>
            <w:pPr>
              <w:spacing w:after="0" w:line="252" w:lineRule="auto"/>
            </w:pPr>
            <w:r>
              <w:rPr>
                <w:rFonts w:ascii="Calibri" w:hAnsi="Calibri"/>
                <w:b w:val="0"/>
                <w:i w:val="0"/>
                <w:color w:val="333333"/>
                <w:sz w:val="18"/>
              </w:rPr>
              <w:t>Nature des données transmises à un service tiers</w:t>
            </w:r>
          </w:p>
        </w:tc>
      </w:tr>
      <w:tr>
        <w:trPr>
          <w:cantSplit/>
        </w:trPr>
        <w:tc>
          <w:tcPr>
            <w:tcW w:type="dxa" w:w="1928"/>
            <w:shd w:val="clear" w:color="auto" w:fill="F1F5F9"/>
          </w:tcPr>
          <w:p>
            <w:pPr>
              <w:spacing w:after="0" w:line="252" w:lineRule="auto"/>
            </w:pPr>
            <w:r>
              <w:rPr>
                <w:rFonts w:ascii="Calibri" w:hAnsi="Calibri"/>
                <w:b w:val="0"/>
                <w:i w:val="0"/>
                <w:color w:val="333333"/>
                <w:sz w:val="18"/>
              </w:rPr>
              <w:t>Maintenabilité</w:t>
            </w:r>
          </w:p>
        </w:tc>
        <w:tc>
          <w:tcPr>
            <w:tcW w:type="dxa" w:w="3742"/>
            <w:shd w:val="clear" w:color="auto" w:fill="F1F5F9"/>
          </w:tcPr>
          <w:p>
            <w:pPr>
              <w:spacing w:after="0" w:line="252" w:lineRule="auto"/>
            </w:pPr>
            <w:r>
              <w:rPr>
                <w:rFonts w:ascii="Calibri" w:hAnsi="Calibri"/>
                <w:b w:val="0"/>
                <w:i w:val="0"/>
                <w:color w:val="333333"/>
                <w:sz w:val="18"/>
              </w:rPr>
              <w:t>Lisibilité, intégration, dette technique induite</w:t>
            </w:r>
          </w:p>
        </w:tc>
        <w:tc>
          <w:tcPr>
            <w:tcW w:type="dxa" w:w="3628"/>
            <w:shd w:val="clear" w:color="auto" w:fill="F1F5F9"/>
          </w:tcPr>
          <w:p>
            <w:pPr>
              <w:spacing w:after="0" w:line="252" w:lineRule="auto"/>
            </w:pPr>
            <w:r>
              <w:rPr>
                <w:rFonts w:ascii="Calibri" w:hAnsi="Calibri"/>
                <w:b w:val="0"/>
                <w:i w:val="0"/>
                <w:color w:val="333333"/>
                <w:sz w:val="18"/>
              </w:rPr>
              <w:t>Nombre de lignes, dépendances ajoutées, lisibilité pour un tiers</w:t>
            </w:r>
          </w:p>
        </w:tc>
      </w:tr>
      <w:tr>
        <w:trPr>
          <w:cantSplit/>
        </w:trPr>
        <w:tc>
          <w:tcPr>
            <w:tcW w:type="dxa" w:w="1928"/>
          </w:tcPr>
          <w:p>
            <w:pPr>
              <w:spacing w:after="0" w:line="252" w:lineRule="auto"/>
            </w:pPr>
            <w:r>
              <w:rPr>
                <w:rFonts w:ascii="Calibri" w:hAnsi="Calibri"/>
                <w:b w:val="0"/>
                <w:i w:val="0"/>
                <w:color w:val="333333"/>
                <w:sz w:val="18"/>
              </w:rPr>
              <w:t>Sobriété et impact</w:t>
            </w:r>
          </w:p>
        </w:tc>
        <w:tc>
          <w:tcPr>
            <w:tcW w:type="dxa" w:w="3742"/>
          </w:tcPr>
          <w:p>
            <w:pPr>
              <w:spacing w:after="0" w:line="252" w:lineRule="auto"/>
            </w:pPr>
            <w:r>
              <w:rPr>
                <w:rFonts w:ascii="Calibri" w:hAnsi="Calibri"/>
                <w:b w:val="0"/>
                <w:i w:val="0"/>
                <w:color w:val="333333"/>
                <w:sz w:val="18"/>
              </w:rPr>
              <w:t>Empreinte mémoire et calcul, proportion au besoin</w:t>
            </w:r>
          </w:p>
        </w:tc>
        <w:tc>
          <w:tcPr>
            <w:tcW w:type="dxa" w:w="3628"/>
          </w:tcPr>
          <w:p>
            <w:pPr>
              <w:spacing w:after="0" w:line="252" w:lineRule="auto"/>
            </w:pPr>
            <w:r>
              <w:rPr>
                <w:rFonts w:ascii="Calibri" w:hAnsi="Calibri"/>
                <w:b w:val="0"/>
                <w:i w:val="0"/>
                <w:color w:val="333333"/>
                <w:sz w:val="18"/>
              </w:rPr>
              <w:t>Consommation observée et utilité réelle à la volumétrie actuelle</w:t>
            </w:r>
          </w:p>
        </w:tc>
      </w:tr>
    </w:tbl>
    <w:p>
      <w:pPr>
        <w:spacing w:after="40"/>
      </w:pPr>
    </w:p>
    <w:p>
      <w:pPr>
        <w:pStyle w:val="Heading2"/>
      </w:pPr>
      <w:bookmarkStart w:id="7005" w:name="_TocP130005"/>
      <w:r>
        <w:t>2.2 Sources et automatisation</w:t>
      </w:r>
      <w:bookmarkEnd w:id="7005"/>
    </w:p>
    <w:p>
      <w:r>
        <w:rPr>
          <w:rFonts w:ascii="Calibri" w:hAnsi="Calibri"/>
          <w:b w:val="0"/>
          <w:i w:val="0"/>
          <w:color w:val="333333"/>
          <w:sz w:val="21"/>
        </w:rPr>
        <w:t xml:space="preserve">Quatre dispositifs font la collecte à ma place, sans recherche quotidienne. Un lecteur de flux, Feedly, qui regroupe les blogs de Polars et de DuckDB et les notes de version de pandas, pandera, polars, duckdb, scikit-learn et shap. Trois lettres d'information : Data Elixir et Python Weekly chaque semaine, TLDR Data deux fois par semaine. Le suivi des publications de versions sur GitHub pour pandera, polars, duckdb et shap. Deux alertes Google Scholar, sur la validation de données et sur l'interprétabilité des modèles. Ensemble, ces dispositifs forment l'élément d'automatisation demandé par la grille.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494"/>
            <w:shd w:val="clear" w:color="auto" w:fill="1F2937"/>
          </w:tcPr>
          <w:p>
            <w:pPr>
              <w:spacing w:after="0"/>
            </w:pPr>
            <w:r>
              <w:rPr>
                <w:rFonts w:ascii="Calibri" w:hAnsi="Calibri"/>
                <w:b/>
                <w:color w:val="FFFFFF"/>
                <w:sz w:val="18"/>
              </w:rPr>
              <w:t>Dispositif</w:t>
            </w:r>
          </w:p>
        </w:tc>
        <w:tc>
          <w:tcPr>
            <w:tcW w:type="dxa" w:w="4535"/>
            <w:shd w:val="clear" w:color="auto" w:fill="1F2937"/>
          </w:tcPr>
          <w:p>
            <w:pPr>
              <w:spacing w:after="0"/>
            </w:pPr>
            <w:r>
              <w:rPr>
                <w:rFonts w:ascii="Calibri" w:hAnsi="Calibri"/>
                <w:b/>
                <w:color w:val="FFFFFF"/>
                <w:sz w:val="18"/>
              </w:rPr>
              <w:t>Contenu suivi</w:t>
            </w:r>
          </w:p>
        </w:tc>
        <w:tc>
          <w:tcPr>
            <w:tcW w:type="dxa" w:w="2268"/>
            <w:shd w:val="clear" w:color="auto" w:fill="1F2937"/>
          </w:tcPr>
          <w:p>
            <w:pPr>
              <w:spacing w:after="0"/>
            </w:pPr>
            <w:r>
              <w:rPr>
                <w:rFonts w:ascii="Calibri" w:hAnsi="Calibri"/>
                <w:b/>
                <w:color w:val="FFFFFF"/>
                <w:sz w:val="18"/>
              </w:rPr>
              <w:t>Fréquence</w:t>
            </w:r>
          </w:p>
        </w:tc>
      </w:tr>
      <w:tr>
        <w:trPr>
          <w:cantSplit/>
        </w:trPr>
        <w:tc>
          <w:tcPr>
            <w:tcW w:type="dxa" w:w="2494"/>
          </w:tcPr>
          <w:p>
            <w:pPr>
              <w:spacing w:after="0" w:line="252" w:lineRule="auto"/>
            </w:pPr>
            <w:r>
              <w:rPr>
                <w:rFonts w:ascii="Calibri" w:hAnsi="Calibri"/>
                <w:b w:val="0"/>
                <w:i w:val="0"/>
                <w:color w:val="333333"/>
                <w:sz w:val="18"/>
              </w:rPr>
              <w:t>Lecteur de flux RSS agrégés</w:t>
            </w:r>
          </w:p>
        </w:tc>
        <w:tc>
          <w:tcPr>
            <w:tcW w:type="dxa" w:w="4535"/>
          </w:tcPr>
          <w:p>
            <w:pPr>
              <w:spacing w:after="0" w:line="252" w:lineRule="auto"/>
            </w:pPr>
            <w:r>
              <w:rPr>
                <w:rFonts w:ascii="Calibri" w:hAnsi="Calibri"/>
                <w:b w:val="0"/>
                <w:i w:val="0"/>
                <w:color w:val="333333"/>
                <w:sz w:val="18"/>
              </w:rPr>
              <w:t>Blogs officiels de Polars et de DuckDB, notes de version des six bibliothèques suivies</w:t>
            </w:r>
          </w:p>
        </w:tc>
        <w:tc>
          <w:tcPr>
            <w:tcW w:type="dxa" w:w="2268"/>
          </w:tcPr>
          <w:p>
            <w:pPr>
              <w:spacing w:after="0" w:line="252" w:lineRule="auto"/>
            </w:pPr>
            <w:r>
              <w:rPr>
                <w:rFonts w:ascii="Calibri" w:hAnsi="Calibri"/>
                <w:b w:val="0"/>
                <w:i w:val="0"/>
                <w:color w:val="333333"/>
                <w:sz w:val="18"/>
              </w:rPr>
              <w:t>Consultation quotidienne, dix minutes</w:t>
            </w:r>
          </w:p>
        </w:tc>
      </w:tr>
      <w:tr>
        <w:trPr>
          <w:cantSplit/>
        </w:trPr>
        <w:tc>
          <w:tcPr>
            <w:tcW w:type="dxa" w:w="2494"/>
            <w:shd w:val="clear" w:color="auto" w:fill="F1F5F9"/>
          </w:tcPr>
          <w:p>
            <w:pPr>
              <w:spacing w:after="0" w:line="252" w:lineRule="auto"/>
            </w:pPr>
            <w:r>
              <w:rPr>
                <w:rFonts w:ascii="Calibri" w:hAnsi="Calibri"/>
                <w:b w:val="0"/>
                <w:i w:val="0"/>
                <w:color w:val="333333"/>
                <w:sz w:val="18"/>
              </w:rPr>
              <w:t xml:space="preserve">Lettres d'information spécialisées</w:t>
            </w:r>
          </w:p>
        </w:tc>
        <w:tc>
          <w:tcPr>
            <w:tcW w:type="dxa" w:w="4535"/>
            <w:shd w:val="clear" w:color="auto" w:fill="F1F5F9"/>
          </w:tcPr>
          <w:p>
            <w:pPr>
              <w:spacing w:after="0" w:line="252" w:lineRule="auto"/>
            </w:pPr>
            <w:r>
              <w:rPr>
                <w:rFonts w:ascii="Calibri" w:hAnsi="Calibri"/>
                <w:b w:val="0"/>
                <w:i w:val="0"/>
                <w:color w:val="333333"/>
                <w:sz w:val="18"/>
              </w:rPr>
              <w:t>Tendances de l'outillage data et retours d'expérience</w:t>
            </w:r>
          </w:p>
        </w:tc>
        <w:tc>
          <w:tcPr>
            <w:tcW w:type="dxa" w:w="2268"/>
            <w:shd w:val="clear" w:color="auto" w:fill="F1F5F9"/>
          </w:tcPr>
          <w:p>
            <w:pPr>
              <w:spacing w:after="0" w:line="252" w:lineRule="auto"/>
            </w:pPr>
            <w:r>
              <w:rPr>
                <w:rFonts w:ascii="Calibri" w:hAnsi="Calibri"/>
                <w:b w:val="0"/>
                <w:i w:val="0"/>
                <w:color w:val="333333"/>
                <w:sz w:val="18"/>
              </w:rPr>
              <w:t xml:space="preserve">Réception une ou deux fois par semaine, tri par thème</w:t>
            </w:r>
          </w:p>
        </w:tc>
      </w:tr>
      <w:tr>
        <w:trPr>
          <w:cantSplit/>
        </w:trPr>
        <w:tc>
          <w:tcPr>
            <w:tcW w:type="dxa" w:w="2494"/>
          </w:tcPr>
          <w:p>
            <w:pPr>
              <w:spacing w:after="0" w:line="252" w:lineRule="auto"/>
            </w:pPr>
            <w:r>
              <w:rPr>
                <w:rFonts w:ascii="Calibri" w:hAnsi="Calibri"/>
                <w:b w:val="0"/>
                <w:i w:val="0"/>
                <w:color w:val="333333"/>
                <w:sz w:val="18"/>
              </w:rPr>
              <w:t>Suivi des publications de versions sur GitHub</w:t>
            </w:r>
          </w:p>
        </w:tc>
        <w:tc>
          <w:tcPr>
            <w:tcW w:type="dxa" w:w="4535"/>
          </w:tcPr>
          <w:p>
            <w:pPr>
              <w:spacing w:after="0" w:line="252" w:lineRule="auto"/>
            </w:pPr>
            <w:r>
              <w:rPr>
                <w:rFonts w:ascii="Calibri" w:hAnsi="Calibri"/>
                <w:b w:val="0"/>
                <w:i w:val="0"/>
                <w:color w:val="333333"/>
                <w:sz w:val="18"/>
              </w:rPr>
              <w:t>Nouvelles versions des dépôts des bibliothèques retenues et de leurs concurrentes</w:t>
            </w:r>
          </w:p>
        </w:tc>
        <w:tc>
          <w:tcPr>
            <w:tcW w:type="dxa" w:w="2268"/>
          </w:tcPr>
          <w:p>
            <w:pPr>
              <w:spacing w:after="0" w:line="252" w:lineRule="auto"/>
            </w:pPr>
            <w:r>
              <w:rPr>
                <w:rFonts w:ascii="Calibri" w:hAnsi="Calibri"/>
                <w:b w:val="0"/>
                <w:i w:val="0"/>
                <w:color w:val="333333"/>
                <w:sz w:val="18"/>
              </w:rPr>
              <w:t>Notification à chaque publication</w:t>
            </w:r>
          </w:p>
        </w:tc>
      </w:tr>
      <w:tr>
        <w:trPr>
          <w:cantSplit/>
        </w:trPr>
        <w:tc>
          <w:tcPr>
            <w:tcW w:type="dxa" w:w="2494"/>
            <w:shd w:val="clear" w:color="auto" w:fill="F1F5F9"/>
          </w:tcPr>
          <w:p>
            <w:pPr>
              <w:spacing w:after="0" w:line="252" w:lineRule="auto"/>
            </w:pPr>
            <w:r>
              <w:rPr>
                <w:rFonts w:ascii="Calibri" w:hAnsi="Calibri"/>
                <w:b w:val="0"/>
                <w:i w:val="0"/>
                <w:color w:val="333333"/>
                <w:sz w:val="18"/>
              </w:rPr>
              <w:t>Alertes Google Scholar sur mots-clés méthodologiques</w:t>
            </w:r>
          </w:p>
        </w:tc>
        <w:tc>
          <w:tcPr>
            <w:tcW w:type="dxa" w:w="4535"/>
            <w:shd w:val="clear" w:color="auto" w:fill="F1F5F9"/>
          </w:tcPr>
          <w:p>
            <w:pPr>
              <w:spacing w:after="0" w:line="252" w:lineRule="auto"/>
            </w:pPr>
            <w:r>
              <w:rPr>
                <w:rFonts w:ascii="Calibri" w:hAnsi="Calibri"/>
                <w:b w:val="0"/>
                <w:i w:val="0"/>
                <w:color w:val="333333"/>
                <w:sz w:val="18"/>
              </w:rPr>
              <w:t>Publications sur la validation de données et l'interprétabilité des modèles</w:t>
            </w:r>
          </w:p>
        </w:tc>
        <w:tc>
          <w:tcPr>
            <w:tcW w:type="dxa" w:w="2268"/>
            <w:shd w:val="clear" w:color="auto" w:fill="F1F5F9"/>
          </w:tcPr>
          <w:p>
            <w:pPr>
              <w:spacing w:after="0" w:line="252" w:lineRule="auto"/>
            </w:pPr>
            <w:r>
              <w:rPr>
                <w:rFonts w:ascii="Calibri" w:hAnsi="Calibri"/>
                <w:b w:val="0"/>
                <w:i w:val="0"/>
                <w:color w:val="333333"/>
                <w:sz w:val="18"/>
              </w:rPr>
              <w:t>Notification hebdomadaire</w:t>
            </w:r>
          </w:p>
        </w:tc>
      </w:tr>
    </w:tbl>
    <w:p>
      <w:pPr>
        <w:spacing w:after="40"/>
      </w:pPr>
    </w:p>
    <w:p>
      <w:pPr>
        <w:spacing w:before="60" w:after="160"/>
      </w:pPr>
      <w:r>
        <w:rPr>
          <w:rFonts w:ascii="Calibri" w:hAnsi="Calibri"/>
          <w:b/>
          <w:i w:val="0"/>
          <w:color w:val="333333"/>
          <w:sz w:val="20"/>
        </w:rPr>
        <w:t xml:space="preserve">Un choix sur l'automatisation.</w:t>
      </w:r>
      <w:r>
        <w:rPr>
          <w:rFonts w:ascii="Calibri" w:hAnsi="Calibri"/>
          <w:b w:val="0"/>
          <w:i w:val="0"/>
          <w:color w:val="333333"/>
          <w:sz w:val="20"/>
        </w:rPr>
        <w:t xml:space="preserve"> J'automatise surtout la collecte de sources déjà évaluées. Des alertes larges rapporteraient trop de résultats à trier : les deux alertes Google Scholar se limitent donc à deux requêtes précises.</w:t>
      </w:r>
    </w:p>
    <w:p>
      <w:r>
        <w:rPr>
          <w:rFonts w:ascii="Calibri" w:hAnsi="Calibri"/>
          <w:b w:val="0"/>
          <w:i w:val="0"/>
          <w:color w:val="333333"/>
          <w:sz w:val="21"/>
        </w:rPr>
        <w:t xml:space="preserve">Le dispositif est installé et fonctionne : un dossier « Veille data, projet 13 » dans Feedly, avec huit flux ; le suivi des versions activé sur les quatre dépôts GitHub ; deux alertes Google Scholar hebdomadaires. Les captures du 17 septembre 2026 sont en annexe A.</w:t>
      </w:r>
    </w:p>
    <w:p>
      <w:pPr>
        <w:spacing w:after="40"/>
      </w:pPr>
    </w:p>
    <w:p>
      <w:pPr>
        <w:pStyle w:val="Heading1"/>
      </w:pPr>
      <w:bookmarkStart w:id="7006" w:name="_TocP130006"/>
      <w:r>
        <w:t>3. Cartographie des solutions, axe par axe</w:t>
      </w:r>
      <w:bookmarkEnd w:id="7006"/>
    </w:p>
    <w:p>
      <w:r>
        <w:rPr>
          <w:rFonts w:ascii="Calibri" w:hAnsi="Calibri"/>
          <w:b w:val="0"/>
          <w:i w:val="0"/>
          <w:color w:val="333333"/>
          <w:sz w:val="21"/>
        </w:rPr>
        <w:t xml:space="preserve">Chaque axe compare au moins deux options. Le détail des essais est dans la documentation de la démarche ; j'en donne ici la synthèse et la décision.</w:t>
      </w:r>
    </w:p>
    <w:p>
      <w:pPr>
        <w:pStyle w:val="Heading2"/>
      </w:pPr>
      <w:bookmarkStart w:id="7007" w:name="_TocP130007"/>
      <w:r>
        <w:t>3.1 Axe 1, qualité des données</w:t>
      </w:r>
      <w:bookmarkEnd w:id="7007"/>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860"/>
        <w:gridCol w:w="1860"/>
        <w:gridCol w:w="1860"/>
        <w:gridCol w:w="1860"/>
        <w:gridCol w:w="1860"/>
      </w:tblGrid>
      <w:tr>
        <w:trPr>
          <w:cantSplit/>
          <w:tblHeader w:val="true"/>
        </w:trPr>
        <w:tc>
          <w:tcPr>
            <w:tcW w:type="dxa" w:w="1814"/>
            <w:shd w:val="clear" w:color="auto" w:fill="1F2937"/>
          </w:tcPr>
          <w:p>
            <w:pPr>
              <w:spacing w:after="0"/>
            </w:pPr>
            <w:r>
              <w:rPr>
                <w:rFonts w:ascii="Calibri" w:hAnsi="Calibri"/>
                <w:b/>
                <w:color w:val="FFFFFF"/>
                <w:sz w:val="17"/>
              </w:rPr>
              <w:t>Solution</w:t>
            </w:r>
          </w:p>
        </w:tc>
        <w:tc>
          <w:tcPr>
            <w:tcW w:type="dxa" w:w="1247"/>
            <w:shd w:val="clear" w:color="auto" w:fill="1F2937"/>
          </w:tcPr>
          <w:p>
            <w:pPr>
              <w:spacing w:after="0"/>
            </w:pPr>
            <w:r>
              <w:rPr>
                <w:rFonts w:ascii="Calibri" w:hAnsi="Calibri"/>
                <w:b/>
                <w:color w:val="FFFFFF"/>
                <w:sz w:val="17"/>
              </w:rPr>
              <w:t>Type</w:t>
            </w:r>
          </w:p>
        </w:tc>
        <w:tc>
          <w:tcPr>
            <w:tcW w:type="dxa" w:w="2494"/>
            <w:shd w:val="clear" w:color="auto" w:fill="1F2937"/>
          </w:tcPr>
          <w:p>
            <w:pPr>
              <w:spacing w:after="0"/>
            </w:pPr>
            <w:r>
              <w:rPr>
                <w:rFonts w:ascii="Calibri" w:hAnsi="Calibri"/>
                <w:b/>
                <w:color w:val="FFFFFF"/>
                <w:sz w:val="17"/>
              </w:rPr>
              <w:t>Forces</w:t>
            </w:r>
          </w:p>
        </w:tc>
        <w:tc>
          <w:tcPr>
            <w:tcW w:type="dxa" w:w="2494"/>
            <w:shd w:val="clear" w:color="auto" w:fill="1F2937"/>
          </w:tcPr>
          <w:p>
            <w:pPr>
              <w:spacing w:after="0"/>
            </w:pPr>
            <w:r>
              <w:rPr>
                <w:rFonts w:ascii="Calibri" w:hAnsi="Calibri"/>
                <w:b/>
                <w:color w:val="FFFFFF"/>
                <w:sz w:val="17"/>
              </w:rPr>
              <w:t>Limites</w:t>
            </w:r>
          </w:p>
        </w:tc>
        <w:tc>
          <w:tcPr>
            <w:tcW w:type="dxa" w:w="1247"/>
            <w:shd w:val="clear" w:color="auto" w:fill="1F2937"/>
          </w:tcPr>
          <w:p>
            <w:pPr>
              <w:spacing w:after="0"/>
            </w:pPr>
            <w:r>
              <w:rPr>
                <w:rFonts w:ascii="Calibri" w:hAnsi="Calibri"/>
                <w:b/>
                <w:color w:val="FFFFFF"/>
                <w:sz w:val="17"/>
              </w:rPr>
              <w:t>Décision</w:t>
            </w:r>
          </w:p>
        </w:tc>
      </w:tr>
      <w:tr>
        <w:trPr>
          <w:cantSplit/>
        </w:trPr>
        <w:tc>
          <w:tcPr>
            <w:tcW w:type="dxa" w:w="1814"/>
          </w:tcPr>
          <w:p>
            <w:pPr>
              <w:spacing w:after="0" w:line="252" w:lineRule="auto"/>
            </w:pPr>
            <w:r>
              <w:rPr>
                <w:rFonts w:ascii="Calibri" w:hAnsi="Calibri"/>
                <w:b w:val="0"/>
                <w:i w:val="0"/>
                <w:color w:val="333333"/>
                <w:sz w:val="17"/>
              </w:rPr>
              <w:t>Contrôles écrits à la main</w:t>
            </w:r>
          </w:p>
        </w:tc>
        <w:tc>
          <w:tcPr>
            <w:tcW w:type="dxa" w:w="1247"/>
          </w:tcPr>
          <w:p>
            <w:pPr>
              <w:spacing w:after="0" w:line="252" w:lineRule="auto"/>
            </w:pPr>
            <w:r>
              <w:rPr>
                <w:rFonts w:ascii="Calibri" w:hAnsi="Calibri"/>
                <w:b w:val="0"/>
                <w:i w:val="0"/>
                <w:color w:val="333333"/>
                <w:sz w:val="17"/>
              </w:rPr>
              <w:t>Existant</w:t>
            </w:r>
          </w:p>
        </w:tc>
        <w:tc>
          <w:tcPr>
            <w:tcW w:type="dxa" w:w="2494"/>
          </w:tcPr>
          <w:p>
            <w:pPr>
              <w:spacing w:after="0" w:line="252" w:lineRule="auto"/>
            </w:pPr>
            <w:r>
              <w:rPr>
                <w:rFonts w:ascii="Calibri" w:hAnsi="Calibri"/>
                <w:b w:val="0"/>
                <w:i w:val="0"/>
                <w:color w:val="333333"/>
                <w:sz w:val="17"/>
              </w:rPr>
              <w:t>Aucune dépendance ajoutée</w:t>
            </w:r>
          </w:p>
        </w:tc>
        <w:tc>
          <w:tcPr>
            <w:tcW w:type="dxa" w:w="2494"/>
          </w:tcPr>
          <w:p>
            <w:pPr>
              <w:spacing w:after="0" w:line="252" w:lineRule="auto"/>
            </w:pPr>
            <w:r>
              <w:rPr>
                <w:rFonts w:ascii="Calibri" w:hAnsi="Calibri"/>
                <w:b w:val="0"/>
                <w:i w:val="0"/>
                <w:color w:val="333333"/>
                <w:sz w:val="17"/>
              </w:rPr>
              <w:t xml:space="preserve">Environ 55 lignes pour neuf contrôles, non réutilisables, sans rapport d'anomalies</w:t>
            </w:r>
          </w:p>
        </w:tc>
        <w:tc>
          <w:tcPr>
            <w:tcW w:type="dxa" w:w="1247"/>
          </w:tcPr>
          <w:p>
            <w:pPr>
              <w:spacing w:after="0" w:line="252" w:lineRule="auto"/>
            </w:pPr>
            <w:r>
              <w:rPr>
                <w:rFonts w:ascii="Calibri" w:hAnsi="Calibri"/>
                <w:b w:val="0"/>
                <w:i w:val="0"/>
                <w:color w:val="333333"/>
                <w:sz w:val="17"/>
              </w:rPr>
              <w:t>Écartée</w:t>
            </w:r>
          </w:p>
        </w:tc>
      </w:tr>
      <w:tr>
        <w:trPr>
          <w:cantSplit/>
        </w:trPr>
        <w:tc>
          <w:tcPr>
            <w:tcW w:type="dxa" w:w="1814"/>
            <w:shd w:val="clear" w:color="auto" w:fill="F1F5F9"/>
          </w:tcPr>
          <w:p>
            <w:pPr>
              <w:spacing w:after="0" w:line="252" w:lineRule="auto"/>
            </w:pPr>
            <w:r>
              <w:rPr>
                <w:rFonts w:ascii="Calibri" w:hAnsi="Calibri"/>
                <w:b w:val="0"/>
                <w:i w:val="0"/>
                <w:color w:val="333333"/>
                <w:sz w:val="17"/>
              </w:rPr>
              <w:t>Pandera</w:t>
            </w:r>
          </w:p>
        </w:tc>
        <w:tc>
          <w:tcPr>
            <w:tcW w:type="dxa" w:w="1247"/>
            <w:shd w:val="clear" w:color="auto" w:fill="F1F5F9"/>
          </w:tcPr>
          <w:p>
            <w:pPr>
              <w:spacing w:after="0" w:line="252" w:lineRule="auto"/>
            </w:pPr>
            <w:r>
              <w:rPr>
                <w:rFonts w:ascii="Calibri" w:hAnsi="Calibri"/>
                <w:b w:val="0"/>
                <w:i w:val="0"/>
                <w:color w:val="333333"/>
                <w:sz w:val="17"/>
              </w:rPr>
              <w:t>Bibliothèque</w:t>
            </w:r>
          </w:p>
        </w:tc>
        <w:tc>
          <w:tcPr>
            <w:tcW w:type="dxa" w:w="2494"/>
            <w:shd w:val="clear" w:color="auto" w:fill="F1F5F9"/>
          </w:tcPr>
          <w:p>
            <w:pPr>
              <w:spacing w:after="0" w:line="252" w:lineRule="auto"/>
            </w:pPr>
            <w:r>
              <w:rPr>
                <w:rFonts w:ascii="Calibri" w:hAnsi="Calibri"/>
                <w:b w:val="0"/>
                <w:i w:val="0"/>
                <w:color w:val="333333"/>
                <w:sz w:val="17"/>
              </w:rPr>
              <w:t>Schéma typé de 14 lignes, rapport automatique, contrat versionnable</w:t>
            </w:r>
          </w:p>
        </w:tc>
        <w:tc>
          <w:tcPr>
            <w:tcW w:type="dxa" w:w="2494"/>
            <w:shd w:val="clear" w:color="auto" w:fill="F1F5F9"/>
          </w:tcPr>
          <w:p>
            <w:pPr>
              <w:spacing w:after="0" w:line="252" w:lineRule="auto"/>
            </w:pPr>
            <w:r>
              <w:rPr>
                <w:rFonts w:ascii="Calibri" w:hAnsi="Calibri"/>
                <w:b w:val="0"/>
                <w:i w:val="0"/>
                <w:color w:val="333333"/>
                <w:sz w:val="17"/>
              </w:rPr>
              <w:t>Moins de gouvernance qu'un cadre complet</w:t>
            </w:r>
          </w:p>
        </w:tc>
        <w:tc>
          <w:tcPr>
            <w:tcW w:type="dxa" w:w="1247"/>
            <w:shd w:val="clear" w:color="auto" w:fill="F1F5F9"/>
          </w:tcPr>
          <w:p>
            <w:pPr>
              <w:spacing w:after="0" w:line="252" w:lineRule="auto"/>
            </w:pPr>
            <w:r>
              <w:rPr>
                <w:rFonts w:ascii="Calibri" w:hAnsi="Calibri"/>
                <w:b w:val="0"/>
                <w:i w:val="0"/>
                <w:color w:val="333333"/>
                <w:sz w:val="17"/>
              </w:rPr>
              <w:t>Retenue</w:t>
            </w:r>
          </w:p>
        </w:tc>
      </w:tr>
      <w:tr>
        <w:trPr>
          <w:cantSplit/>
        </w:trPr>
        <w:tc>
          <w:tcPr>
            <w:tcW w:type="dxa" w:w="1814"/>
          </w:tcPr>
          <w:p>
            <w:pPr>
              <w:spacing w:after="0" w:line="252" w:lineRule="auto"/>
            </w:pPr>
            <w:r>
              <w:rPr>
                <w:rFonts w:ascii="Calibri" w:hAnsi="Calibri"/>
                <w:b w:val="0"/>
                <w:i w:val="0"/>
                <w:color w:val="333333"/>
                <w:sz w:val="17"/>
              </w:rPr>
              <w:t>Great Expectations</w:t>
            </w:r>
          </w:p>
        </w:tc>
        <w:tc>
          <w:tcPr>
            <w:tcW w:type="dxa" w:w="1247"/>
          </w:tcPr>
          <w:p>
            <w:pPr>
              <w:spacing w:after="0" w:line="252" w:lineRule="auto"/>
            </w:pPr>
            <w:r>
              <w:rPr>
                <w:rFonts w:ascii="Calibri" w:hAnsi="Calibri"/>
                <w:b w:val="0"/>
                <w:i w:val="0"/>
                <w:color w:val="333333"/>
                <w:sz w:val="17"/>
              </w:rPr>
              <w:t>Cadre complet</w:t>
            </w:r>
          </w:p>
        </w:tc>
        <w:tc>
          <w:tcPr>
            <w:tcW w:type="dxa" w:w="2494"/>
          </w:tcPr>
          <w:p>
            <w:pPr>
              <w:spacing w:after="0" w:line="252" w:lineRule="auto"/>
            </w:pPr>
            <w:r>
              <w:rPr>
                <w:rFonts w:ascii="Calibri" w:hAnsi="Calibri"/>
                <w:b w:val="0"/>
                <w:i w:val="0"/>
                <w:color w:val="333333"/>
                <w:sz w:val="17"/>
              </w:rPr>
              <w:t>Documentation générée, entrepôt de résultats, gouvernance</w:t>
            </w:r>
          </w:p>
        </w:tc>
        <w:tc>
          <w:tcPr>
            <w:tcW w:type="dxa" w:w="2494"/>
          </w:tcPr>
          <w:p>
            <w:pPr>
              <w:spacing w:after="0" w:line="252" w:lineRule="auto"/>
            </w:pPr>
            <w:r>
              <w:rPr>
                <w:rFonts w:ascii="Calibri" w:hAnsi="Calibri"/>
                <w:b w:val="0"/>
                <w:i w:val="0"/>
                <w:color w:val="333333"/>
                <w:sz w:val="17"/>
              </w:rPr>
              <w:t>Installation et configuration lourdes pour un notebook</w:t>
            </w:r>
          </w:p>
        </w:tc>
        <w:tc>
          <w:tcPr>
            <w:tcW w:type="dxa" w:w="1247"/>
          </w:tcPr>
          <w:p>
            <w:pPr>
              <w:spacing w:after="0" w:line="252" w:lineRule="auto"/>
            </w:pPr>
            <w:r>
              <w:rPr>
                <w:rFonts w:ascii="Calibri" w:hAnsi="Calibri"/>
                <w:b w:val="0"/>
                <w:i w:val="0"/>
                <w:color w:val="333333"/>
                <w:sz w:val="17"/>
              </w:rPr>
              <w:t>Gardée en réserve</w:t>
            </w:r>
          </w:p>
        </w:tc>
      </w:tr>
    </w:tbl>
    <w:p>
      <w:pPr>
        <w:spacing w:after="40"/>
      </w:pPr>
    </w:p>
    <w:p>
      <w:r>
        <w:rPr>
          <w:rFonts w:ascii="Calibri" w:hAnsi="Calibri"/>
          <w:b/>
          <w:i w:val="0"/>
          <w:color w:val="333333"/>
          <w:sz w:val="21"/>
        </w:rPr>
        <w:t xml:space="preserve">Justification.</w:t>
      </w:r>
      <w:r>
        <w:rPr>
          <w:rFonts w:ascii="Calibri" w:hAnsi="Calibri"/>
          <w:b w:val="0"/>
          <w:i w:val="0"/>
          <w:color w:val="333333"/>
          <w:sz w:val="21"/>
        </w:rPr>
        <w:t xml:space="preserve"> Pour un seul notebook, Pandera apporte le plus pour le moins de complexité : un contrat de qualité versionné, rejoué à chaque extraction de l'ERP, avec son propre rapport. Great Expectations se justifierait dans une chaîne industrielle, où la gouvernance et la documentation générée rentabilisent son installation : je le garde en réserve pour ce cas.</w:t>
      </w:r>
    </w:p>
    <w:p>
      <w:pPr>
        <w:spacing w:after="60"/>
        <w:jc w:val="center"/>
      </w:pPr>
      <w:r>
        <w:drawing>
          <wp:inline xmlns:a="http://schemas.openxmlformats.org/drawingml/2006/main" xmlns:pic="http://schemas.openxmlformats.org/drawingml/2006/picture">
            <wp:extent cx="5220000" cy="2460908"/>
            <wp:docPr id="1" name="Picture 1"/>
            <wp:cNvGraphicFramePr>
              <a:graphicFrameLocks noChangeAspect="1"/>
            </wp:cNvGraphicFramePr>
            <a:graphic>
              <a:graphicData uri="http://schemas.openxmlformats.org/drawingml/2006/picture">
                <pic:pic>
                  <pic:nvPicPr>
                    <pic:cNvPr id="0" name="fig_qualite.png"/>
                    <pic:cNvPicPr/>
                  </pic:nvPicPr>
                  <pic:blipFill>
                    <a:blip r:embed="rId10"/>
                    <a:stretch>
                      <a:fillRect/>
                    </a:stretch>
                  </pic:blipFill>
                  <pic:spPr>
                    <a:xfrm>
                      <a:off x="0" y="0"/>
                      <a:ext cx="5220000" cy="2460908"/>
                    </a:xfrm>
                    <a:prstGeom prst="rect"/>
                  </pic:spPr>
                </pic:pic>
              </a:graphicData>
            </a:graphic>
          </wp:inline>
        </w:drawing>
      </w:r>
    </w:p>
    <w:p>
      <w:pPr>
        <w:spacing w:after="200"/>
        <w:jc w:val="center"/>
      </w:pPr>
      <w:r>
        <w:rPr>
          <w:rFonts w:ascii="Calibri" w:hAnsi="Calibri"/>
          <w:b w:val="0"/>
          <w:i/>
          <w:color w:val="64748B"/>
          <w:sz w:val="17"/>
        </w:rPr>
        <w:t xml:space="preserve">Figure 1. Les neuf types d'anomalies relevés lors de l'audit initial des trois fichiers sources. Figure redessinée à partir des sorties du notebook (mêmes données).</w:t>
      </w:r>
    </w:p>
    <w:p>
      <w:pPr>
        <w:pStyle w:val="Heading2"/>
      </w:pPr>
      <w:bookmarkStart w:id="7008" w:name="_TocP130008"/>
      <w:r>
        <w:t>3.2 Axe 2, performance et reproductibilité</w:t>
      </w:r>
      <w:bookmarkEnd w:id="7008"/>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1474"/>
            <w:shd w:val="clear" w:color="auto" w:fill="1F2937"/>
          </w:tcPr>
          <w:p>
            <w:pPr>
              <w:spacing w:after="0"/>
            </w:pPr>
            <w:r>
              <w:rPr>
                <w:rFonts w:ascii="Calibri" w:hAnsi="Calibri"/>
                <w:b/>
                <w:color w:val="FFFFFF"/>
                <w:sz w:val="17"/>
              </w:rPr>
              <w:t>Solution</w:t>
            </w:r>
          </w:p>
        </w:tc>
        <w:tc>
          <w:tcPr>
            <w:tcW w:type="dxa" w:w="3175"/>
            <w:shd w:val="clear" w:color="auto" w:fill="1F2937"/>
          </w:tcPr>
          <w:p>
            <w:pPr>
              <w:spacing w:after="0"/>
            </w:pPr>
            <w:r>
              <w:rPr>
                <w:rFonts w:ascii="Calibri" w:hAnsi="Calibri"/>
                <w:b/>
                <w:color w:val="FFFFFF"/>
                <w:sz w:val="17"/>
              </w:rPr>
              <w:t>Forces</w:t>
            </w:r>
          </w:p>
        </w:tc>
        <w:tc>
          <w:tcPr>
            <w:tcW w:type="dxa" w:w="2608"/>
            <w:shd w:val="clear" w:color="auto" w:fill="1F2937"/>
          </w:tcPr>
          <w:p>
            <w:pPr>
              <w:spacing w:after="0"/>
            </w:pPr>
            <w:r>
              <w:rPr>
                <w:rFonts w:ascii="Calibri" w:hAnsi="Calibri"/>
                <w:b/>
                <w:color w:val="FFFFFF"/>
                <w:sz w:val="17"/>
              </w:rPr>
              <w:t>Limites</w:t>
            </w:r>
          </w:p>
        </w:tc>
        <w:tc>
          <w:tcPr>
            <w:tcW w:type="dxa" w:w="2041"/>
            <w:shd w:val="clear" w:color="auto" w:fill="1F2937"/>
          </w:tcPr>
          <w:p>
            <w:pPr>
              <w:spacing w:after="0"/>
            </w:pPr>
            <w:r>
              <w:rPr>
                <w:rFonts w:ascii="Calibri" w:hAnsi="Calibri"/>
                <w:b/>
                <w:color w:val="FFFFFF"/>
                <w:sz w:val="17"/>
              </w:rPr>
              <w:t>Décision</w:t>
            </w:r>
          </w:p>
        </w:tc>
      </w:tr>
      <w:tr>
        <w:trPr>
          <w:cantSplit/>
        </w:trPr>
        <w:tc>
          <w:tcPr>
            <w:tcW w:type="dxa" w:w="1474"/>
          </w:tcPr>
          <w:p>
            <w:pPr>
              <w:spacing w:after="0" w:line="252" w:lineRule="auto"/>
            </w:pPr>
            <w:r>
              <w:rPr>
                <w:rFonts w:ascii="Calibri" w:hAnsi="Calibri"/>
                <w:b w:val="0"/>
                <w:i w:val="0"/>
                <w:color w:val="333333"/>
                <w:sz w:val="17"/>
              </w:rPr>
              <w:t>pandas</w:t>
            </w:r>
          </w:p>
        </w:tc>
        <w:tc>
          <w:tcPr>
            <w:tcW w:type="dxa" w:w="3175"/>
          </w:tcPr>
          <w:p>
            <w:pPr>
              <w:spacing w:after="0" w:line="252" w:lineRule="auto"/>
            </w:pPr>
            <w:r>
              <w:rPr>
                <w:rFonts w:ascii="Calibri" w:hAnsi="Calibri"/>
                <w:b w:val="0"/>
                <w:i w:val="0"/>
                <w:color w:val="333333"/>
                <w:sz w:val="17"/>
              </w:rPr>
              <w:t>Standard du marché, écosystème riche, lisible par tout analyste</w:t>
            </w:r>
          </w:p>
        </w:tc>
        <w:tc>
          <w:tcPr>
            <w:tcW w:type="dxa" w:w="2608"/>
          </w:tcPr>
          <w:p>
            <w:pPr>
              <w:spacing w:after="0" w:line="252" w:lineRule="auto"/>
            </w:pPr>
            <w:r>
              <w:rPr>
                <w:rFonts w:ascii="Calibri" w:hAnsi="Calibri"/>
                <w:b w:val="0"/>
                <w:i w:val="0"/>
                <w:color w:val="333333"/>
                <w:sz w:val="17"/>
              </w:rPr>
              <w:t>Traitement sur un seul cœur, consommation mémoire élevée</w:t>
            </w:r>
          </w:p>
        </w:tc>
        <w:tc>
          <w:tcPr>
            <w:tcW w:type="dxa" w:w="2041"/>
          </w:tcPr>
          <w:p>
            <w:pPr>
              <w:spacing w:after="0" w:line="252" w:lineRule="auto"/>
            </w:pPr>
            <w:r>
              <w:rPr>
                <w:rFonts w:ascii="Calibri" w:hAnsi="Calibri"/>
                <w:b w:val="0"/>
                <w:i w:val="0"/>
                <w:color w:val="333333"/>
                <w:sz w:val="17"/>
              </w:rPr>
              <w:t>Retenue à la volumétrie actuelle</w:t>
            </w:r>
          </w:p>
        </w:tc>
      </w:tr>
      <w:tr>
        <w:trPr>
          <w:cantSplit/>
        </w:trPr>
        <w:tc>
          <w:tcPr>
            <w:tcW w:type="dxa" w:w="1474"/>
            <w:shd w:val="clear" w:color="auto" w:fill="F1F5F9"/>
          </w:tcPr>
          <w:p>
            <w:pPr>
              <w:spacing w:after="0" w:line="252" w:lineRule="auto"/>
            </w:pPr>
            <w:r>
              <w:rPr>
                <w:rFonts w:ascii="Calibri" w:hAnsi="Calibri"/>
                <w:b w:val="0"/>
                <w:i w:val="0"/>
                <w:color w:val="333333"/>
                <w:sz w:val="17"/>
              </w:rPr>
              <w:t>Polars</w:t>
            </w:r>
          </w:p>
        </w:tc>
        <w:tc>
          <w:tcPr>
            <w:tcW w:type="dxa" w:w="3175"/>
            <w:shd w:val="clear" w:color="auto" w:fill="F1F5F9"/>
          </w:tcPr>
          <w:p>
            <w:pPr>
              <w:spacing w:after="0" w:line="252" w:lineRule="auto"/>
            </w:pPr>
            <w:r>
              <w:rPr>
                <w:rFonts w:ascii="Calibri" w:hAnsi="Calibri"/>
                <w:b w:val="0"/>
                <w:i w:val="0"/>
                <w:color w:val="333333"/>
                <w:sz w:val="17"/>
              </w:rPr>
              <w:t>Traitement multicœur, évaluation différée, sobriété mémoire</w:t>
            </w:r>
          </w:p>
        </w:tc>
        <w:tc>
          <w:tcPr>
            <w:tcW w:type="dxa" w:w="2608"/>
            <w:shd w:val="clear" w:color="auto" w:fill="F1F5F9"/>
          </w:tcPr>
          <w:p>
            <w:pPr>
              <w:spacing w:after="0" w:line="252" w:lineRule="auto"/>
            </w:pPr>
            <w:r>
              <w:rPr>
                <w:rFonts w:ascii="Calibri" w:hAnsi="Calibri"/>
                <w:b w:val="0"/>
                <w:i w:val="0"/>
                <w:color w:val="333333"/>
                <w:sz w:val="17"/>
              </w:rPr>
              <w:t>Interface différente, temps d'apprentissage</w:t>
            </w:r>
          </w:p>
        </w:tc>
        <w:tc>
          <w:tcPr>
            <w:tcW w:type="dxa" w:w="2041"/>
            <w:shd w:val="clear" w:color="auto" w:fill="F1F5F9"/>
          </w:tcPr>
          <w:p>
            <w:pPr>
              <w:spacing w:after="0" w:line="252" w:lineRule="auto"/>
            </w:pPr>
            <w:r>
              <w:rPr>
                <w:rFonts w:ascii="Calibri" w:hAnsi="Calibri"/>
                <w:b w:val="0"/>
                <w:i w:val="0"/>
                <w:color w:val="333333"/>
                <w:sz w:val="17"/>
              </w:rPr>
              <w:t>Retenue en réserve, si montée en charge</w:t>
            </w:r>
          </w:p>
        </w:tc>
      </w:tr>
      <w:tr>
        <w:trPr>
          <w:cantSplit/>
        </w:trPr>
        <w:tc>
          <w:tcPr>
            <w:tcW w:type="dxa" w:w="1474"/>
          </w:tcPr>
          <w:p>
            <w:pPr>
              <w:spacing w:after="0" w:line="252" w:lineRule="auto"/>
            </w:pPr>
            <w:r>
              <w:rPr>
                <w:rFonts w:ascii="Calibri" w:hAnsi="Calibri"/>
                <w:b w:val="0"/>
                <w:i w:val="0"/>
                <w:color w:val="333333"/>
                <w:sz w:val="17"/>
              </w:rPr>
              <w:t>DuckDB</w:t>
            </w:r>
          </w:p>
        </w:tc>
        <w:tc>
          <w:tcPr>
            <w:tcW w:type="dxa" w:w="3175"/>
          </w:tcPr>
          <w:p>
            <w:pPr>
              <w:spacing w:after="0" w:line="252" w:lineRule="auto"/>
            </w:pPr>
            <w:r>
              <w:rPr>
                <w:rFonts w:ascii="Calibri" w:hAnsi="Calibri"/>
                <w:b w:val="0"/>
                <w:i w:val="0"/>
                <w:color w:val="333333"/>
                <w:sz w:val="17"/>
              </w:rPr>
              <w:t>SQL analytique, traitement hors mémoire, lecture directe de fichiers</w:t>
            </w:r>
          </w:p>
        </w:tc>
        <w:tc>
          <w:tcPr>
            <w:tcW w:type="dxa" w:w="2608"/>
          </w:tcPr>
          <w:p>
            <w:pPr>
              <w:spacing w:after="0" w:line="252" w:lineRule="auto"/>
            </w:pPr>
            <w:r>
              <w:rPr>
                <w:rFonts w:ascii="Calibri" w:hAnsi="Calibri"/>
                <w:b w:val="0"/>
                <w:i w:val="0"/>
                <w:color w:val="333333"/>
                <w:sz w:val="17"/>
              </w:rPr>
              <w:t>Temps d'initialisation pénalisant sur les petits volumes</w:t>
            </w:r>
          </w:p>
        </w:tc>
        <w:tc>
          <w:tcPr>
            <w:tcW w:type="dxa" w:w="2041"/>
          </w:tcPr>
          <w:p>
            <w:pPr>
              <w:spacing w:after="0" w:line="252" w:lineRule="auto"/>
            </w:pPr>
            <w:r>
              <w:rPr>
                <w:rFonts w:ascii="Calibri" w:hAnsi="Calibri"/>
                <w:b w:val="0"/>
                <w:i w:val="0"/>
                <w:color w:val="333333"/>
                <w:sz w:val="17"/>
              </w:rPr>
              <w:t>Retenue en réserve, si gros fichiers</w:t>
            </w:r>
          </w:p>
        </w:tc>
      </w:tr>
    </w:tbl>
    <w:p>
      <w:pPr>
        <w:spacing w:after="40"/>
      </w:pPr>
    </w:p>
    <w:p>
      <w:r>
        <w:rPr>
          <w:rFonts w:ascii="Calibri" w:hAnsi="Calibri"/>
          <w:b/>
          <w:i w:val="0"/>
          <w:color w:val="333333"/>
          <w:sz w:val="21"/>
        </w:rPr>
        <w:t xml:space="preserve">Justification.</w:t>
      </w:r>
      <w:r>
        <w:rPr>
          <w:rFonts w:ascii="Calibri" w:hAnsi="Calibri"/>
          <w:b w:val="0"/>
          <w:i w:val="0"/>
          <w:color w:val="333333"/>
          <w:sz w:val="21"/>
        </w:rPr>
        <w:t xml:space="preserve"> Au volume réel, 825 lignes, les trois moteurs répondent en moins de 40 millisecondes : l'écart ne change rien, et DuckDB est même le plus lent, à cause de son démarrage. À deux millions de lignes, Polars et DuckDB sont 4,1 fois et 2,9 fois plus rapides que pandas dans l'exécution livrée ; 8,1 et 5,7 fois sur mon poste le 25 septembre. Le gain dépend de la machine ; la décision ne change pas.</w:t>
      </w:r>
    </w:p>
    <w:p>
      <w:pPr>
        <w:spacing w:before="60" w:after="160"/>
      </w:pPr>
      <w:r>
        <w:rPr>
          <w:rFonts w:ascii="Calibri" w:hAnsi="Calibri"/>
          <w:b/>
          <w:i w:val="0"/>
          <w:color w:val="333333"/>
          <w:sz w:val="20"/>
        </w:rPr>
        <w:t xml:space="preserve">Précision méthodologique.</w:t>
      </w:r>
      <w:r>
        <w:rPr>
          <w:rFonts w:ascii="Calibri" w:hAnsi="Calibri"/>
          <w:b w:val="0"/>
          <w:i w:val="0"/>
          <w:color w:val="333333"/>
          <w:sz w:val="20"/>
        </w:rPr>
        <w:t xml:space="preserve"> Ce facteur dépend du matériel : 5,9 et 3,7 à la première ébauche, 3,5 et 2,9 à la première version complète, 4,1 et 2,9 dans l'exécution livrée, 8,1 et 5,7 le 25 septembre sur mon poste. L'ordre de grandeur suffit pour décider : ne pas suréquiper aujourd'hui, basculer quand le volume le justifiera.</w:t>
      </w:r>
    </w:p>
    <w:p>
      <w:pPr>
        <w:spacing w:after="40"/>
      </w:pPr>
    </w:p>
    <w:p>
      <w:pPr>
        <w:spacing w:after="60"/>
        <w:jc w:val="center"/>
      </w:pPr>
      <w:r>
        <w:drawing>
          <wp:inline xmlns:a="http://schemas.openxmlformats.org/drawingml/2006/main" xmlns:pic="http://schemas.openxmlformats.org/drawingml/2006/picture">
            <wp:extent cx="5220000" cy="2041215"/>
            <wp:docPr id="2" name="Picture 2"/>
            <wp:cNvGraphicFramePr>
              <a:graphicFrameLocks noChangeAspect="1"/>
            </wp:cNvGraphicFramePr>
            <a:graphic>
              <a:graphicData uri="http://schemas.openxmlformats.org/drawingml/2006/picture">
                <pic:pic>
                  <pic:nvPicPr>
                    <pic:cNvPr id="0" name="fig_performance.png"/>
                    <pic:cNvPicPr/>
                  </pic:nvPicPr>
                  <pic:blipFill>
                    <a:blip r:embed="rId11"/>
                    <a:stretch>
                      <a:fillRect/>
                    </a:stretch>
                  </pic:blipFill>
                  <pic:spPr>
                    <a:xfrm>
                      <a:off x="0" y="0"/>
                      <a:ext cx="5220000" cy="2041215"/>
                    </a:xfrm>
                    <a:prstGeom prst="rect"/>
                  </pic:spPr>
                </pic:pic>
              </a:graphicData>
            </a:graphic>
          </wp:inline>
        </w:drawing>
      </w:r>
    </w:p>
    <w:p>
      <w:pPr>
        <w:spacing w:after="200"/>
        <w:jc w:val="center"/>
      </w:pPr>
      <w:r>
        <w:rPr>
          <w:rFonts w:ascii="Calibri" w:hAnsi="Calibri"/>
          <w:b w:val="0"/>
          <w:i/>
          <w:color w:val="64748B"/>
          <w:sz w:val="17"/>
        </w:rPr>
        <w:t xml:space="preserve">Figure 2. Temps médian des trois moteurs au volume réel, puis sur deux millions de lignes (exécution livrée). Figure redessinée à partir des sorties du notebook (mêmes données).</w:t>
      </w:r>
    </w:p>
    <w:p>
      <w:pPr>
        <w:pStyle w:val="Heading2"/>
      </w:pPr>
      <w:bookmarkStart w:id="7009" w:name="_TocP130009"/>
      <w:r>
        <w:t>3.3 Axe 3, détection d'anomalies</w:t>
      </w:r>
      <w:bookmarkEnd w:id="7009"/>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1814"/>
            <w:shd w:val="clear" w:color="auto" w:fill="1F2937"/>
          </w:tcPr>
          <w:p>
            <w:pPr>
              <w:spacing w:after="0"/>
            </w:pPr>
            <w:r>
              <w:rPr>
                <w:rFonts w:ascii="Calibri" w:hAnsi="Calibri"/>
                <w:b/>
                <w:color w:val="FFFFFF"/>
                <w:sz w:val="17"/>
              </w:rPr>
              <w:t>Solution</w:t>
            </w:r>
          </w:p>
        </w:tc>
        <w:tc>
          <w:tcPr>
            <w:tcW w:type="dxa" w:w="3175"/>
            <w:shd w:val="clear" w:color="auto" w:fill="1F2937"/>
          </w:tcPr>
          <w:p>
            <w:pPr>
              <w:spacing w:after="0"/>
            </w:pPr>
            <w:r>
              <w:rPr>
                <w:rFonts w:ascii="Calibri" w:hAnsi="Calibri"/>
                <w:b/>
                <w:color w:val="FFFFFF"/>
                <w:sz w:val="17"/>
              </w:rPr>
              <w:t>Forces</w:t>
            </w:r>
          </w:p>
        </w:tc>
        <w:tc>
          <w:tcPr>
            <w:tcW w:type="dxa" w:w="3061"/>
            <w:shd w:val="clear" w:color="auto" w:fill="1F2937"/>
          </w:tcPr>
          <w:p>
            <w:pPr>
              <w:spacing w:after="0"/>
            </w:pPr>
            <w:r>
              <w:rPr>
                <w:rFonts w:ascii="Calibri" w:hAnsi="Calibri"/>
                <w:b/>
                <w:color w:val="FFFFFF"/>
                <w:sz w:val="17"/>
              </w:rPr>
              <w:t>Limites</w:t>
            </w:r>
          </w:p>
        </w:tc>
        <w:tc>
          <w:tcPr>
            <w:tcW w:type="dxa" w:w="1247"/>
            <w:shd w:val="clear" w:color="auto" w:fill="1F2937"/>
          </w:tcPr>
          <w:p>
            <w:pPr>
              <w:spacing w:after="0"/>
            </w:pPr>
            <w:r>
              <w:rPr>
                <w:rFonts w:ascii="Calibri" w:hAnsi="Calibri"/>
                <w:b/>
                <w:color w:val="FFFFFF"/>
                <w:sz w:val="17"/>
              </w:rPr>
              <w:t>Décision</w:t>
            </w:r>
          </w:p>
        </w:tc>
      </w:tr>
      <w:tr>
        <w:trPr>
          <w:cantSplit/>
        </w:trPr>
        <w:tc>
          <w:tcPr>
            <w:tcW w:type="dxa" w:w="1814"/>
          </w:tcPr>
          <w:p>
            <w:pPr>
              <w:spacing w:after="0" w:line="252" w:lineRule="auto"/>
            </w:pPr>
            <w:r>
              <w:rPr>
                <w:rFonts w:ascii="Calibri" w:hAnsi="Calibri"/>
                <w:b w:val="0"/>
                <w:i w:val="0"/>
                <w:color w:val="333333"/>
                <w:sz w:val="17"/>
              </w:rPr>
              <w:t xml:space="preserve">Score z sur le prix (écart type)</w:t>
            </w:r>
          </w:p>
        </w:tc>
        <w:tc>
          <w:tcPr>
            <w:tcW w:type="dxa" w:w="3175"/>
          </w:tcPr>
          <w:p>
            <w:pPr>
              <w:spacing w:after="0" w:line="252" w:lineRule="auto"/>
            </w:pPr>
            <w:r>
              <w:rPr>
                <w:rFonts w:ascii="Calibri" w:hAnsi="Calibri"/>
                <w:b w:val="0"/>
                <w:i w:val="0"/>
                <w:color w:val="333333"/>
                <w:sz w:val="17"/>
              </w:rPr>
              <w:t>Simple, explicable au métier en une phrase</w:t>
            </w:r>
          </w:p>
        </w:tc>
        <w:tc>
          <w:tcPr>
            <w:tcW w:type="dxa" w:w="3061"/>
          </w:tcPr>
          <w:p>
            <w:pPr>
              <w:spacing w:after="0" w:line="252" w:lineRule="auto"/>
            </w:pPr>
            <w:r>
              <w:rPr>
                <w:rFonts w:ascii="Calibri" w:hAnsi="Calibri"/>
                <w:b w:val="0"/>
                <w:i w:val="0"/>
                <w:color w:val="333333"/>
                <w:sz w:val="17"/>
              </w:rPr>
              <w:t>Ne regarde qu'une variable, rate les anomalies croisées</w:t>
            </w:r>
          </w:p>
        </w:tc>
        <w:tc>
          <w:tcPr>
            <w:tcW w:type="dxa" w:w="1247"/>
          </w:tcPr>
          <w:p>
            <w:pPr>
              <w:spacing w:after="0" w:line="252" w:lineRule="auto"/>
            </w:pPr>
            <w:r>
              <w:rPr>
                <w:rFonts w:ascii="Calibri" w:hAnsi="Calibri"/>
                <w:b w:val="0"/>
                <w:i w:val="0"/>
                <w:color w:val="333333"/>
                <w:sz w:val="17"/>
              </w:rPr>
              <w:t>Conservée</w:t>
            </w:r>
          </w:p>
        </w:tc>
      </w:tr>
      <w:tr>
        <w:trPr>
          <w:cantSplit/>
        </w:trPr>
        <w:tc>
          <w:tcPr>
            <w:tcW w:type="dxa" w:w="1814"/>
            <w:shd w:val="clear" w:color="auto" w:fill="F1F5F9"/>
          </w:tcPr>
          <w:p>
            <w:pPr>
              <w:spacing w:after="0" w:line="252" w:lineRule="auto"/>
            </w:pPr>
            <w:r>
              <w:rPr>
                <w:rFonts w:ascii="Calibri" w:hAnsi="Calibri"/>
                <w:b w:val="0"/>
                <w:i w:val="0"/>
                <w:color w:val="333333"/>
                <w:sz w:val="17"/>
              </w:rPr>
              <w:t>Isolation Forest</w:t>
            </w:r>
          </w:p>
        </w:tc>
        <w:tc>
          <w:tcPr>
            <w:tcW w:type="dxa" w:w="3175"/>
            <w:shd w:val="clear" w:color="auto" w:fill="F1F5F9"/>
          </w:tcPr>
          <w:p>
            <w:pPr>
              <w:spacing w:after="0" w:line="252" w:lineRule="auto"/>
            </w:pPr>
            <w:r>
              <w:rPr>
                <w:rFonts w:ascii="Calibri" w:hAnsi="Calibri"/>
                <w:b w:val="0"/>
                <w:i w:val="0"/>
                <w:color w:val="333333"/>
                <w:sz w:val="17"/>
              </w:rPr>
              <w:t xml:space="preserve">Regarde plusieurs variables ensemble, stable, rapide, peu de réglages</w:t>
            </w:r>
          </w:p>
        </w:tc>
        <w:tc>
          <w:tcPr>
            <w:tcW w:type="dxa" w:w="3061"/>
            <w:shd w:val="clear" w:color="auto" w:fill="F1F5F9"/>
          </w:tcPr>
          <w:p>
            <w:pPr>
              <w:spacing w:after="0" w:line="252" w:lineRule="auto"/>
            </w:pPr>
            <w:r>
              <w:rPr>
                <w:rFonts w:ascii="Calibri" w:hAnsi="Calibri"/>
                <w:b w:val="0"/>
                <w:i w:val="0"/>
                <w:color w:val="333333"/>
                <w:sz w:val="17"/>
              </w:rPr>
              <w:t>Le taux d'anomalies attendu est un réglage à valider avec le métier</w:t>
            </w:r>
          </w:p>
        </w:tc>
        <w:tc>
          <w:tcPr>
            <w:tcW w:type="dxa" w:w="1247"/>
            <w:shd w:val="clear" w:color="auto" w:fill="F1F5F9"/>
          </w:tcPr>
          <w:p>
            <w:pPr>
              <w:spacing w:after="0" w:line="252" w:lineRule="auto"/>
            </w:pPr>
            <w:r>
              <w:rPr>
                <w:rFonts w:ascii="Calibri" w:hAnsi="Calibri"/>
                <w:b w:val="0"/>
                <w:i w:val="0"/>
                <w:color w:val="333333"/>
                <w:sz w:val="17"/>
              </w:rPr>
              <w:t>Ajoutée</w:t>
            </w:r>
          </w:p>
        </w:tc>
      </w:tr>
      <w:tr>
        <w:trPr>
          <w:cantSplit/>
        </w:trPr>
        <w:tc>
          <w:tcPr>
            <w:tcW w:type="dxa" w:w="1814"/>
          </w:tcPr>
          <w:p>
            <w:pPr>
              <w:spacing w:after="0" w:line="252" w:lineRule="auto"/>
            </w:pPr>
            <w:r>
              <w:rPr>
                <w:rFonts w:ascii="Calibri" w:hAnsi="Calibri"/>
                <w:b w:val="0"/>
                <w:i w:val="0"/>
                <w:color w:val="333333"/>
                <w:sz w:val="17"/>
              </w:rPr>
              <w:t>Local Outlier Factor</w:t>
            </w:r>
          </w:p>
        </w:tc>
        <w:tc>
          <w:tcPr>
            <w:tcW w:type="dxa" w:w="3175"/>
          </w:tcPr>
          <w:p>
            <w:pPr>
              <w:spacing w:after="0" w:line="252" w:lineRule="auto"/>
            </w:pPr>
            <w:r>
              <w:rPr>
                <w:rFonts w:ascii="Calibri" w:hAnsi="Calibri"/>
                <w:b w:val="0"/>
                <w:i w:val="0"/>
                <w:color w:val="333333"/>
                <w:sz w:val="17"/>
              </w:rPr>
              <w:t>Détecte les anomalies relatives au voisinage local</w:t>
            </w:r>
          </w:p>
        </w:tc>
        <w:tc>
          <w:tcPr>
            <w:tcW w:type="dxa" w:w="3061"/>
          </w:tcPr>
          <w:p>
            <w:pPr>
              <w:spacing w:after="0" w:line="252" w:lineRule="auto"/>
            </w:pPr>
            <w:r>
              <w:rPr>
                <w:rFonts w:ascii="Calibri" w:hAnsi="Calibri"/>
                <w:b w:val="0"/>
                <w:i w:val="0"/>
                <w:color w:val="333333"/>
                <w:sz w:val="17"/>
              </w:rPr>
              <w:t>Très sensible au paramètre de voisinage, résultat instable sur ce jeu</w:t>
            </w:r>
          </w:p>
        </w:tc>
        <w:tc>
          <w:tcPr>
            <w:tcW w:type="dxa" w:w="1247"/>
          </w:tcPr>
          <w:p>
            <w:pPr>
              <w:spacing w:after="0" w:line="252" w:lineRule="auto"/>
            </w:pPr>
            <w:r>
              <w:rPr>
                <w:rFonts w:ascii="Calibri" w:hAnsi="Calibri"/>
                <w:b w:val="0"/>
                <w:i w:val="0"/>
                <w:color w:val="333333"/>
                <w:sz w:val="17"/>
              </w:rPr>
              <w:t>Écartée</w:t>
            </w:r>
          </w:p>
        </w:tc>
      </w:tr>
    </w:tbl>
    <w:p>
      <w:pPr>
        <w:spacing w:after="40"/>
      </w:pPr>
    </w:p>
    <w:p>
      <w:r>
        <w:rPr>
          <w:rFonts w:ascii="Calibri" w:hAnsi="Calibri"/>
          <w:b/>
          <w:i w:val="0"/>
          <w:color w:val="333333"/>
          <w:sz w:val="21"/>
        </w:rPr>
        <w:t xml:space="preserve">Justification.</w:t>
      </w:r>
      <w:r>
        <w:rPr>
          <w:rFonts w:ascii="Calibri" w:hAnsi="Calibri"/>
          <w:b w:val="0"/>
          <w:i w:val="0"/>
          <w:color w:val="333333"/>
          <w:sz w:val="21"/>
        </w:rPr>
        <w:t xml:space="preserve"> Je garde le score z pour sa transparence : un acheteur voit tout de suite pourquoi une référence est signalée. Isolation Forest repère ce que le score z laisse passer, par exemple un prix normal avec une marge négative. J'écarte Local Outlier Factor : sa liste change avec le réglage du voisinage.</w:t>
      </w:r>
    </w:p>
    <w:p>
      <w:pPr>
        <w:spacing w:after="60"/>
        <w:jc w:val="center"/>
      </w:pPr>
      <w:r>
        <w:drawing>
          <wp:inline xmlns:a="http://schemas.openxmlformats.org/drawingml/2006/main" xmlns:pic="http://schemas.openxmlformats.org/drawingml/2006/picture">
            <wp:extent cx="5400000" cy="2102683"/>
            <wp:docPr id="3" name="Picture 3"/>
            <wp:cNvGraphicFramePr>
              <a:graphicFrameLocks noChangeAspect="1"/>
            </wp:cNvGraphicFramePr>
            <a:graphic>
              <a:graphicData uri="http://schemas.openxmlformats.org/drawingml/2006/picture">
                <pic:pic>
                  <pic:nvPicPr>
                    <pic:cNvPr id="0" name="fig_anomalies.png"/>
                    <pic:cNvPicPr/>
                  </pic:nvPicPr>
                  <pic:blipFill>
                    <a:blip r:embed="rId12"/>
                    <a:stretch>
                      <a:fillRect/>
                    </a:stretch>
                  </pic:blipFill>
                  <pic:spPr>
                    <a:xfrm>
                      <a:off x="0" y="0"/>
                      <a:ext cx="5400000" cy="2102683"/>
                    </a:xfrm>
                    <a:prstGeom prst="rect"/>
                  </pic:spPr>
                </pic:pic>
              </a:graphicData>
            </a:graphic>
          </wp:inline>
        </w:drawing>
      </w:r>
    </w:p>
    <w:p>
      <w:pPr>
        <w:spacing w:after="200"/>
        <w:jc w:val="center"/>
      </w:pPr>
      <w:r>
        <w:rPr>
          <w:rFonts w:ascii="Calibri" w:hAnsi="Calibri"/>
          <w:b w:val="0"/>
          <w:i/>
          <w:color w:val="64748B"/>
          <w:sz w:val="17"/>
        </w:rPr>
        <w:t xml:space="preserve">Figure 3. À gauche, la détection sur le seul prix. À droite, la détection multivariée, qui signale 26 références supplémentaires. Figure redessinée à partir des sorties du notebook (mêmes données).</w:t>
      </w:r>
    </w:p>
    <w:p>
      <w:pPr>
        <w:pStyle w:val="Heading2"/>
      </w:pPr>
      <w:bookmarkStart w:id="7010" w:name="_TocP130010"/>
      <w:r>
        <w:t>3.4 Axe 4, interprétabilité et documentation assistée</w:t>
      </w:r>
      <w:bookmarkEnd w:id="7010"/>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2041"/>
            <w:shd w:val="clear" w:color="auto" w:fill="1F2937"/>
          </w:tcPr>
          <w:p>
            <w:pPr>
              <w:spacing w:after="0"/>
            </w:pPr>
            <w:r>
              <w:rPr>
                <w:rFonts w:ascii="Calibri" w:hAnsi="Calibri"/>
                <w:b/>
                <w:color w:val="FFFFFF"/>
                <w:sz w:val="17"/>
              </w:rPr>
              <w:t>Solution</w:t>
            </w:r>
          </w:p>
        </w:tc>
        <w:tc>
          <w:tcPr>
            <w:tcW w:type="dxa" w:w="3061"/>
            <w:shd w:val="clear" w:color="auto" w:fill="1F2937"/>
          </w:tcPr>
          <w:p>
            <w:pPr>
              <w:spacing w:after="0"/>
            </w:pPr>
            <w:r>
              <w:rPr>
                <w:rFonts w:ascii="Calibri" w:hAnsi="Calibri"/>
                <w:b/>
                <w:color w:val="FFFFFF"/>
                <w:sz w:val="17"/>
              </w:rPr>
              <w:t>Forces</w:t>
            </w:r>
          </w:p>
        </w:tc>
        <w:tc>
          <w:tcPr>
            <w:tcW w:type="dxa" w:w="2835"/>
            <w:shd w:val="clear" w:color="auto" w:fill="1F2937"/>
          </w:tcPr>
          <w:p>
            <w:pPr>
              <w:spacing w:after="0"/>
            </w:pPr>
            <w:r>
              <w:rPr>
                <w:rFonts w:ascii="Calibri" w:hAnsi="Calibri"/>
                <w:b/>
                <w:color w:val="FFFFFF"/>
                <w:sz w:val="17"/>
              </w:rPr>
              <w:t>Limites</w:t>
            </w:r>
          </w:p>
        </w:tc>
        <w:tc>
          <w:tcPr>
            <w:tcW w:type="dxa" w:w="1361"/>
            <w:shd w:val="clear" w:color="auto" w:fill="1F2937"/>
          </w:tcPr>
          <w:p>
            <w:pPr>
              <w:spacing w:after="0"/>
            </w:pPr>
            <w:r>
              <w:rPr>
                <w:rFonts w:ascii="Calibri" w:hAnsi="Calibri"/>
                <w:b/>
                <w:color w:val="FFFFFF"/>
                <w:sz w:val="17"/>
              </w:rPr>
              <w:t>Décision</w:t>
            </w:r>
          </w:p>
        </w:tc>
      </w:tr>
      <w:tr>
        <w:trPr>
          <w:cantSplit/>
        </w:trPr>
        <w:tc>
          <w:tcPr>
            <w:tcW w:type="dxa" w:w="2041"/>
          </w:tcPr>
          <w:p>
            <w:pPr>
              <w:spacing w:after="0" w:line="252" w:lineRule="auto"/>
            </w:pPr>
            <w:r>
              <w:rPr>
                <w:rFonts w:ascii="Calibri" w:hAnsi="Calibri"/>
                <w:b w:val="0"/>
                <w:i w:val="0"/>
                <w:color w:val="333333"/>
                <w:sz w:val="17"/>
              </w:rPr>
              <w:t>Importances globales d'un modèle d'arbres</w:t>
            </w:r>
          </w:p>
        </w:tc>
        <w:tc>
          <w:tcPr>
            <w:tcW w:type="dxa" w:w="3061"/>
          </w:tcPr>
          <w:p>
            <w:pPr>
              <w:spacing w:after="0" w:line="252" w:lineRule="auto"/>
            </w:pPr>
            <w:r>
              <w:rPr>
                <w:rFonts w:ascii="Calibri" w:hAnsi="Calibri"/>
                <w:b w:val="0"/>
                <w:i w:val="0"/>
                <w:color w:val="333333"/>
                <w:sz w:val="17"/>
              </w:rPr>
              <w:t>Simple, disponible sans dépendance supplémentaire</w:t>
            </w:r>
          </w:p>
        </w:tc>
        <w:tc>
          <w:tcPr>
            <w:tcW w:type="dxa" w:w="2835"/>
          </w:tcPr>
          <w:p>
            <w:pPr>
              <w:spacing w:after="0" w:line="252" w:lineRule="auto"/>
            </w:pPr>
            <w:r>
              <w:rPr>
                <w:rFonts w:ascii="Calibri" w:hAnsi="Calibri"/>
                <w:b w:val="0"/>
                <w:i w:val="0"/>
                <w:color w:val="333333"/>
                <w:sz w:val="17"/>
              </w:rPr>
              <w:t>Uniquement globales, parfois trompeuses sur des variables corrélées</w:t>
            </w:r>
          </w:p>
        </w:tc>
        <w:tc>
          <w:tcPr>
            <w:tcW w:type="dxa" w:w="1361"/>
          </w:tcPr>
          <w:p>
            <w:pPr>
              <w:spacing w:after="0" w:line="252" w:lineRule="auto"/>
            </w:pPr>
            <w:r>
              <w:rPr>
                <w:rFonts w:ascii="Calibri" w:hAnsi="Calibri"/>
                <w:b w:val="0"/>
                <w:i w:val="0"/>
                <w:color w:val="333333"/>
                <w:sz w:val="17"/>
              </w:rPr>
              <w:t>Jugée insuffisante</w:t>
            </w:r>
          </w:p>
        </w:tc>
      </w:tr>
      <w:tr>
        <w:trPr>
          <w:cantSplit/>
        </w:trPr>
        <w:tc>
          <w:tcPr>
            <w:tcW w:type="dxa" w:w="2041"/>
            <w:shd w:val="clear" w:color="auto" w:fill="F1F5F9"/>
          </w:tcPr>
          <w:p>
            <w:pPr>
              <w:spacing w:after="0" w:line="252" w:lineRule="auto"/>
            </w:pPr>
            <w:r>
              <w:rPr>
                <w:rFonts w:ascii="Calibri" w:hAnsi="Calibri"/>
                <w:b w:val="0"/>
                <w:i w:val="0"/>
                <w:color w:val="333333"/>
                <w:sz w:val="17"/>
              </w:rPr>
              <w:t>SHAP</w:t>
            </w:r>
          </w:p>
        </w:tc>
        <w:tc>
          <w:tcPr>
            <w:tcW w:type="dxa" w:w="3061"/>
            <w:shd w:val="clear" w:color="auto" w:fill="F1F5F9"/>
          </w:tcPr>
          <w:p>
            <w:pPr>
              <w:spacing w:after="0" w:line="252" w:lineRule="auto"/>
            </w:pPr>
            <w:r>
              <w:rPr>
                <w:rFonts w:ascii="Calibri" w:hAnsi="Calibri"/>
                <w:b w:val="0"/>
                <w:i w:val="0"/>
                <w:color w:val="333333"/>
                <w:sz w:val="17"/>
              </w:rPr>
              <w:t>Explication locale et globale, fondement théorique établi, résultat auditable</w:t>
            </w:r>
          </w:p>
        </w:tc>
        <w:tc>
          <w:tcPr>
            <w:tcW w:type="dxa" w:w="2835"/>
            <w:shd w:val="clear" w:color="auto" w:fill="F1F5F9"/>
          </w:tcPr>
          <w:p>
            <w:pPr>
              <w:spacing w:after="0" w:line="252" w:lineRule="auto"/>
            </w:pPr>
            <w:r>
              <w:rPr>
                <w:rFonts w:ascii="Calibri" w:hAnsi="Calibri"/>
                <w:b w:val="0"/>
                <w:i w:val="0"/>
                <w:color w:val="333333"/>
                <w:sz w:val="17"/>
              </w:rPr>
              <w:t>Coût de calcul sur de gros volumes</w:t>
            </w:r>
          </w:p>
        </w:tc>
        <w:tc>
          <w:tcPr>
            <w:tcW w:type="dxa" w:w="1361"/>
            <w:shd w:val="clear" w:color="auto" w:fill="F1F5F9"/>
          </w:tcPr>
          <w:p>
            <w:pPr>
              <w:spacing w:after="0" w:line="252" w:lineRule="auto"/>
            </w:pPr>
            <w:r>
              <w:rPr>
                <w:rFonts w:ascii="Calibri" w:hAnsi="Calibri"/>
                <w:b w:val="0"/>
                <w:i w:val="0"/>
                <w:color w:val="333333"/>
                <w:sz w:val="17"/>
              </w:rPr>
              <w:t>Retenue</w:t>
            </w:r>
          </w:p>
        </w:tc>
      </w:tr>
      <w:tr>
        <w:trPr>
          <w:cantSplit/>
        </w:trPr>
        <w:tc>
          <w:tcPr>
            <w:tcW w:type="dxa" w:w="2041"/>
          </w:tcPr>
          <w:p>
            <w:pPr>
              <w:spacing w:after="0" w:line="252" w:lineRule="auto"/>
            </w:pPr>
            <w:r>
              <w:rPr>
                <w:rFonts w:ascii="Calibri" w:hAnsi="Calibri"/>
                <w:b w:val="0"/>
                <w:i w:val="0"/>
                <w:color w:val="333333"/>
                <w:sz w:val="17"/>
              </w:rPr>
              <w:t xml:space="preserve">Assistants d'IA générative (Claude, ChatGPT)</w:t>
            </w:r>
          </w:p>
        </w:tc>
        <w:tc>
          <w:tcPr>
            <w:tcW w:type="dxa" w:w="3061"/>
          </w:tcPr>
          <w:p>
            <w:pPr>
              <w:spacing w:after="0" w:line="252" w:lineRule="auto"/>
            </w:pPr>
            <w:r>
              <w:rPr>
                <w:rFonts w:ascii="Calibri" w:hAnsi="Calibri"/>
                <w:b w:val="0"/>
                <w:i w:val="0"/>
                <w:color w:val="333333"/>
                <w:sz w:val="17"/>
              </w:rPr>
              <w:t>Génération de variantes, rédaction de documentation, proposition de tests</w:t>
            </w:r>
          </w:p>
        </w:tc>
        <w:tc>
          <w:tcPr>
            <w:tcW w:type="dxa" w:w="2835"/>
          </w:tcPr>
          <w:p>
            <w:pPr>
              <w:spacing w:after="0" w:line="252" w:lineRule="auto"/>
            </w:pPr>
            <w:r>
              <w:rPr>
                <w:rFonts w:ascii="Calibri" w:hAnsi="Calibri"/>
                <w:b w:val="0"/>
                <w:i w:val="0"/>
                <w:color w:val="333333"/>
                <w:sz w:val="17"/>
              </w:rPr>
              <w:t>Sorties à relire et à exécuter, risque de fuite de données</w:t>
            </w:r>
          </w:p>
        </w:tc>
        <w:tc>
          <w:tcPr>
            <w:tcW w:type="dxa" w:w="1361"/>
          </w:tcPr>
          <w:p>
            <w:pPr>
              <w:spacing w:after="0" w:line="252" w:lineRule="auto"/>
            </w:pPr>
            <w:r>
              <w:rPr>
                <w:rFonts w:ascii="Calibri" w:hAnsi="Calibri"/>
                <w:b w:val="0"/>
                <w:i w:val="0"/>
                <w:color w:val="333333"/>
                <w:sz w:val="17"/>
              </w:rPr>
              <w:t>Retenus, sous conditions</w:t>
            </w:r>
          </w:p>
        </w:tc>
      </w:tr>
    </w:tbl>
    <w:p>
      <w:pPr>
        <w:spacing w:after="40"/>
      </w:pPr>
    </w:p>
    <w:p>
      <w:r>
        <w:rPr>
          <w:rFonts w:ascii="Calibri" w:hAnsi="Calibri"/>
          <w:b/>
          <w:i w:val="0"/>
          <w:color w:val="333333"/>
          <w:sz w:val="21"/>
        </w:rPr>
        <w:t xml:space="preserve">Justification.</w:t>
      </w:r>
      <w:r>
        <w:rPr>
          <w:rFonts w:ascii="Calibri" w:hAnsi="Calibri"/>
          <w:b w:val="0"/>
          <w:i w:val="0"/>
          <w:color w:val="333333"/>
          <w:sz w:val="21"/>
        </w:rPr>
        <w:t xml:space="preserve"> SHAP donne deux lectures : globale (le facteur qui pèse le plus) et locale (ce qui explique les ventes d'une référence donnée). Le métier peut donc discuter chaque résultat. Les assistants d'IA m'aident pour le code et la documentation, à deux conditions : relire et exécuter chaque proposition ; limiter les demandes au code, aux schémas et aux noms de colonnes. Chaque accès de l'assistant aux fichiers est noté au journal (section 5).</w:t>
      </w:r>
    </w:p>
    <w:p>
      <w:pPr>
        <w:spacing w:after="60"/>
        <w:jc w:val="center"/>
      </w:pPr>
      <w:r>
        <w:drawing>
          <wp:inline xmlns:a="http://schemas.openxmlformats.org/drawingml/2006/main" xmlns:pic="http://schemas.openxmlformats.org/drawingml/2006/picture">
            <wp:extent cx="5220000" cy="2690431"/>
            <wp:docPr id="4" name="Picture 4"/>
            <wp:cNvGraphicFramePr>
              <a:graphicFrameLocks noChangeAspect="1"/>
            </wp:cNvGraphicFramePr>
            <a:graphic>
              <a:graphicData uri="http://schemas.openxmlformats.org/drawingml/2006/picture">
                <pic:pic>
                  <pic:nvPicPr>
                    <pic:cNvPr id="0" name="fig_interpretabilite.png"/>
                    <pic:cNvPicPr/>
                  </pic:nvPicPr>
                  <pic:blipFill>
                    <a:blip r:embed="rId13"/>
                    <a:stretch>
                      <a:fillRect/>
                    </a:stretch>
                  </pic:blipFill>
                  <pic:spPr>
                    <a:xfrm>
                      <a:off x="0" y="0"/>
                      <a:ext cx="5220000" cy="2690431"/>
                    </a:xfrm>
                    <a:prstGeom prst="rect"/>
                  </pic:spPr>
                </pic:pic>
              </a:graphicData>
            </a:graphic>
          </wp:inline>
        </w:drawing>
      </w:r>
    </w:p>
    <w:p>
      <w:pPr>
        <w:spacing w:after="200"/>
        <w:jc w:val="center"/>
      </w:pPr>
      <w:r>
        <w:rPr>
          <w:rFonts w:ascii="Calibri" w:hAnsi="Calibri"/>
          <w:b w:val="0"/>
          <w:i/>
          <w:color w:val="64748B"/>
          <w:sz w:val="17"/>
        </w:rPr>
        <w:t xml:space="preserve">Figure 4. Contribution de chaque variable au volume de ventes, référence par référence (valeurs de Shapley ; couleur : valeur de la variable, de faible à élevée). Figure redessinée à partir des sorties du notebook (mêmes données).</w:t>
      </w:r>
    </w:p>
    <w:p>
      <w:pPr>
        <w:pStyle w:val="Heading2"/>
      </w:pPr>
      <w:bookmarkStart w:id="7011" w:name="_TocP130011"/>
      <w:r>
        <w:t xml:space="preserve">3.5 La matrice des options sur les sept critères</w:t>
      </w:r>
      <w:bookmarkEnd w:id="7011"/>
    </w:p>
    <w:p>
      <w:r>
        <w:rPr>
          <w:rFonts w:ascii="Calibri" w:hAnsi="Calibri"/>
          <w:b w:val="0"/>
          <w:i w:val="0"/>
          <w:color w:val="333333"/>
          <w:sz w:val="21"/>
        </w:rPr>
        <w:t xml:space="preserve">Pour chaque axe, les options sont comparées critère par critère, avec la mesure quand elle existe (notebook amélioré, exécution livrée, et notebook complémentaire). La dernière ligne rappelle la décision ; le critère qui a tranché figure en section 6 de ce document.</w:t>
      </w:r>
    </w:p>
    <w:p>
      <w:pPr>
        <w:spacing w:after="60"/>
      </w:pPr>
      <w:r>
        <w:rPr>
          <w:rFonts w:ascii="Calibri" w:hAnsi="Calibri"/>
          <w:b/>
          <w:i w:val="0"/>
          <w:color w:val="333333"/>
          <w:sz w:val="21"/>
        </w:rPr>
        <w:t xml:space="preserve">Axe 1, qualité des données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700"/>
        <w:gridCol w:w="2530"/>
        <w:gridCol w:w="2530"/>
        <w:gridCol w:w="2538"/>
      </w:tblGrid>
      <w:tr>
        <w:trPr>
          <w:cantSplit/>
          <w:tblHeader w:val="true"/>
        </w:trPr>
        <w:tc>
          <w:tcPr>
            <w:tcW w:type="dxa" w:w="1700"/>
            <w:shd w:val="clear" w:color="auto" w:fill="1F2937"/>
          </w:tcPr>
          <w:p>
            <w:pPr>
              <w:spacing w:after="0"/>
            </w:pPr>
            <w:r>
              <w:rPr>
                <w:rFonts w:ascii="Calibri" w:hAnsi="Calibri"/>
                <w:b/>
                <w:color w:val="FFFFFF"/>
                <w:sz w:val="16"/>
              </w:rPr>
              <w:t xml:space="preserve">Critère</w:t>
            </w:r>
          </w:p>
        </w:tc>
        <w:tc>
          <w:tcPr>
            <w:tcW w:type="dxa" w:w="2530"/>
            <w:shd w:val="clear" w:color="auto" w:fill="1F2937"/>
          </w:tcPr>
          <w:p>
            <w:pPr>
              <w:spacing w:after="0"/>
            </w:pPr>
            <w:r>
              <w:rPr>
                <w:rFonts w:ascii="Calibri" w:hAnsi="Calibri"/>
                <w:b/>
                <w:color w:val="FFFFFF"/>
                <w:sz w:val="16"/>
              </w:rPr>
              <w:t xml:space="preserve">Contrôles écrits à la main</w:t>
            </w:r>
          </w:p>
        </w:tc>
        <w:tc>
          <w:tcPr>
            <w:tcW w:type="dxa" w:w="2530"/>
            <w:shd w:val="clear" w:color="auto" w:fill="1F2937"/>
          </w:tcPr>
          <w:p>
            <w:pPr>
              <w:spacing w:after="0"/>
            </w:pPr>
            <w:r>
              <w:rPr>
                <w:rFonts w:ascii="Calibri" w:hAnsi="Calibri"/>
                <w:b/>
                <w:color w:val="FFFFFF"/>
                <w:sz w:val="16"/>
              </w:rPr>
              <w:t xml:space="preserve">Pandera</w:t>
            </w:r>
          </w:p>
        </w:tc>
        <w:tc>
          <w:tcPr>
            <w:tcW w:type="dxa" w:w="2538"/>
            <w:shd w:val="clear" w:color="auto" w:fill="1F2937"/>
          </w:tcPr>
          <w:p>
            <w:pPr>
              <w:spacing w:after="0"/>
            </w:pPr>
            <w:r>
              <w:rPr>
                <w:rFonts w:ascii="Calibri" w:hAnsi="Calibri"/>
                <w:b/>
                <w:color w:val="FFFFFF"/>
                <w:sz w:val="16"/>
              </w:rPr>
              <w:t xml:space="preserve">Great Expectations</w:t>
            </w:r>
          </w:p>
        </w:tc>
      </w:tr>
      <w:tr>
        <w:trPr>
          <w:cantSplit/>
        </w:trPr>
        <w:tc>
          <w:tcPr>
            <w:tcW w:type="dxa" w:w="1700"/>
          </w:tcPr>
          <w:p>
            <w:pPr>
              <w:spacing w:after="0" w:line="252" w:lineRule="auto"/>
            </w:pPr>
            <w:r>
              <w:rPr>
                <w:rFonts w:ascii="Calibri" w:hAnsi="Calibri"/>
                <w:b w:val="0"/>
                <w:i w:val="0"/>
                <w:color w:val="333333"/>
                <w:sz w:val="16"/>
              </w:rPr>
              <w:t xml:space="preserve">Qualité et robustesse</w:t>
            </w:r>
          </w:p>
        </w:tc>
        <w:tc>
          <w:tcPr>
            <w:tcW w:type="dxa" w:w="2530"/>
          </w:tcPr>
          <w:p>
            <w:pPr>
              <w:spacing w:after="0" w:line="252" w:lineRule="auto"/>
            </w:pPr>
            <w:r>
              <w:rPr>
                <w:rFonts w:ascii="Calibri" w:hAnsi="Calibri"/>
                <w:b w:val="0"/>
                <w:i w:val="0"/>
                <w:color w:val="333333"/>
                <w:sz w:val="16"/>
              </w:rPr>
              <w:t xml:space="preserve">Des comptes par type, sans la liste des lignes en faute</w:t>
            </w:r>
          </w:p>
        </w:tc>
        <w:tc>
          <w:tcPr>
            <w:tcW w:type="dxa" w:w="2530"/>
          </w:tcPr>
          <w:p>
            <w:pPr>
              <w:spacing w:after="0" w:line="252" w:lineRule="auto"/>
            </w:pPr>
            <w:r>
              <w:rPr>
                <w:rFonts w:ascii="Calibri" w:hAnsi="Calibri"/>
                <w:b w:val="0"/>
                <w:i w:val="0"/>
                <w:color w:val="333333"/>
                <w:sz w:val="16"/>
              </w:rPr>
              <w:t xml:space="preserve">Les 9 lignes en faute sur 825, règle par règle</w:t>
            </w:r>
          </w:p>
        </w:tc>
        <w:tc>
          <w:tcPr>
            <w:tcW w:type="dxa" w:w="2538"/>
          </w:tcPr>
          <w:p>
            <w:pPr>
              <w:spacing w:after="0" w:line="252" w:lineRule="auto"/>
            </w:pPr>
            <w:r>
              <w:rPr>
                <w:rFonts w:ascii="Calibri" w:hAnsi="Calibri"/>
                <w:b w:val="0"/>
                <w:i w:val="0"/>
                <w:color w:val="333333"/>
                <w:sz w:val="16"/>
              </w:rPr>
              <w:t xml:space="preserve">Même couverture possible ; non exécuté ici</w:t>
            </w:r>
          </w:p>
        </w:tc>
      </w:tr>
      <w:tr>
        <w:trPr>
          <w:cantSplit/>
        </w:trPr>
        <w:tc>
          <w:tcPr>
            <w:tcW w:type="dxa" w:w="1700"/>
          </w:tcPr>
          <w:p>
            <w:pPr>
              <w:spacing w:after="0" w:line="252" w:lineRule="auto"/>
            </w:pPr>
            <w:r>
              <w:rPr>
                <w:rFonts w:ascii="Calibri" w:hAnsi="Calibri"/>
                <w:b w:val="0"/>
                <w:i w:val="0"/>
                <w:color w:val="333333"/>
                <w:sz w:val="16"/>
              </w:rPr>
              <w:t xml:space="preserve">Biais</w:t>
            </w:r>
          </w:p>
        </w:tc>
        <w:tc>
          <w:tcPr>
            <w:tcW w:type="dxa" w:w="2530"/>
          </w:tcPr>
          <w:p>
            <w:pPr>
              <w:spacing w:after="0" w:line="252" w:lineRule="auto"/>
            </w:pPr>
            <w:r>
              <w:rPr>
                <w:rFonts w:ascii="Calibri" w:hAnsi="Calibri"/>
                <w:b w:val="0"/>
                <w:i w:val="0"/>
                <w:color w:val="333333"/>
                <w:sz w:val="16"/>
              </w:rPr>
              <w:t xml:space="preserve">Règles métier explicites</w:t>
            </w:r>
          </w:p>
        </w:tc>
        <w:tc>
          <w:tcPr>
            <w:tcW w:type="dxa" w:w="2530"/>
          </w:tcPr>
          <w:p>
            <w:pPr>
              <w:spacing w:after="0" w:line="252" w:lineRule="auto"/>
            </w:pPr>
            <w:r>
              <w:rPr>
                <w:rFonts w:ascii="Calibri" w:hAnsi="Calibri"/>
                <w:b w:val="0"/>
                <w:i w:val="0"/>
                <w:color w:val="333333"/>
                <w:sz w:val="16"/>
              </w:rPr>
              <w:t xml:space="preserve">Règles métier explicites</w:t>
            </w:r>
          </w:p>
        </w:tc>
        <w:tc>
          <w:tcPr>
            <w:tcW w:type="dxa" w:w="2538"/>
          </w:tcPr>
          <w:p>
            <w:pPr>
              <w:spacing w:after="0" w:line="252" w:lineRule="auto"/>
            </w:pPr>
            <w:r>
              <w:rPr>
                <w:rFonts w:ascii="Calibri" w:hAnsi="Calibri"/>
                <w:b w:val="0"/>
                <w:i w:val="0"/>
                <w:color w:val="333333"/>
                <w:sz w:val="16"/>
              </w:rPr>
              <w:t xml:space="preserve">Règles métier explicites</w:t>
            </w:r>
          </w:p>
        </w:tc>
      </w:tr>
      <w:tr>
        <w:trPr>
          <w:cantSplit/>
        </w:trPr>
        <w:tc>
          <w:tcPr>
            <w:tcW w:type="dxa" w:w="1700"/>
          </w:tcPr>
          <w:p>
            <w:pPr>
              <w:spacing w:after="0" w:line="252" w:lineRule="auto"/>
            </w:pPr>
            <w:r>
              <w:rPr>
                <w:rFonts w:ascii="Calibri" w:hAnsi="Calibri"/>
                <w:b w:val="0"/>
                <w:i w:val="0"/>
                <w:color w:val="333333"/>
                <w:sz w:val="16"/>
              </w:rPr>
              <w:t xml:space="preserve">Coût en temps</w:t>
            </w:r>
          </w:p>
        </w:tc>
        <w:tc>
          <w:tcPr>
            <w:tcW w:type="dxa" w:w="2530"/>
          </w:tcPr>
          <w:p>
            <w:pPr>
              <w:spacing w:after="0" w:line="252" w:lineRule="auto"/>
            </w:pPr>
            <w:r>
              <w:rPr>
                <w:rFonts w:ascii="Calibri" w:hAnsi="Calibri"/>
                <w:b w:val="0"/>
                <w:i w:val="0"/>
                <w:color w:val="333333"/>
                <w:sz w:val="16"/>
              </w:rPr>
              <w:t xml:space="preserve">Aucun apprentissage, relecture longue</w:t>
            </w:r>
          </w:p>
        </w:tc>
        <w:tc>
          <w:tcPr>
            <w:tcW w:type="dxa" w:w="2530"/>
          </w:tcPr>
          <w:p>
            <w:pPr>
              <w:spacing w:after="0" w:line="252" w:lineRule="auto"/>
            </w:pPr>
            <w:r>
              <w:rPr>
                <w:rFonts w:ascii="Calibri" w:hAnsi="Calibri"/>
                <w:b w:val="0"/>
                <w:i w:val="0"/>
                <w:color w:val="333333"/>
                <w:sz w:val="16"/>
              </w:rPr>
              <w:t xml:space="preserve">Une cellule, prise en main courte</w:t>
            </w:r>
          </w:p>
        </w:tc>
        <w:tc>
          <w:tcPr>
            <w:tcW w:type="dxa" w:w="2538"/>
          </w:tcPr>
          <w:p>
            <w:pPr>
              <w:spacing w:after="0" w:line="252" w:lineRule="auto"/>
            </w:pPr>
            <w:r>
              <w:rPr>
                <w:rFonts w:ascii="Calibri" w:hAnsi="Calibri"/>
                <w:b w:val="0"/>
                <w:i w:val="0"/>
                <w:color w:val="333333"/>
                <w:sz w:val="16"/>
              </w:rPr>
              <w:t xml:space="preserve">Mise en place longue : contexte, suites d'attentes, points de contrôle</w:t>
            </w:r>
          </w:p>
        </w:tc>
      </w:tr>
      <w:tr>
        <w:trPr>
          <w:cantSplit/>
        </w:trPr>
        <w:tc>
          <w:tcPr>
            <w:tcW w:type="dxa" w:w="1700"/>
          </w:tcPr>
          <w:p>
            <w:pPr>
              <w:spacing w:after="0" w:line="252" w:lineRule="auto"/>
            </w:pPr>
            <w:r>
              <w:rPr>
                <w:rFonts w:ascii="Calibri" w:hAnsi="Calibri"/>
                <w:b w:val="0"/>
                <w:i w:val="0"/>
                <w:color w:val="333333"/>
                <w:sz w:val="16"/>
              </w:rPr>
              <w:t xml:space="preserve">Reproductibilité</w:t>
            </w:r>
          </w:p>
        </w:tc>
        <w:tc>
          <w:tcPr>
            <w:tcW w:type="dxa" w:w="2530"/>
          </w:tcPr>
          <w:p>
            <w:pPr>
              <w:spacing w:after="0" w:line="252" w:lineRule="auto"/>
            </w:pPr>
            <w:r>
              <w:rPr>
                <w:rFonts w:ascii="Calibri" w:hAnsi="Calibri"/>
                <w:b w:val="0"/>
                <w:i w:val="0"/>
                <w:color w:val="333333"/>
                <w:sz w:val="16"/>
              </w:rPr>
              <w:t xml:space="preserve">Se relance, résultats dispersés</w:t>
            </w:r>
          </w:p>
        </w:tc>
        <w:tc>
          <w:tcPr>
            <w:tcW w:type="dxa" w:w="2530"/>
          </w:tcPr>
          <w:p>
            <w:pPr>
              <w:spacing w:after="0" w:line="252" w:lineRule="auto"/>
            </w:pPr>
            <w:r>
              <w:rPr>
                <w:rFonts w:ascii="Calibri" w:hAnsi="Calibri"/>
                <w:b w:val="0"/>
                <w:i w:val="0"/>
                <w:color w:val="333333"/>
                <w:sz w:val="16"/>
              </w:rPr>
              <w:t xml:space="preserve">Contrat versionné, rejoué à chaque extraction</w:t>
            </w:r>
          </w:p>
        </w:tc>
        <w:tc>
          <w:tcPr>
            <w:tcW w:type="dxa" w:w="2538"/>
          </w:tcPr>
          <w:p>
            <w:pPr>
              <w:spacing w:after="0" w:line="252" w:lineRule="auto"/>
            </w:pPr>
            <w:r>
              <w:rPr>
                <w:rFonts w:ascii="Calibri" w:hAnsi="Calibri"/>
                <w:b w:val="0"/>
                <w:i w:val="0"/>
                <w:color w:val="333333"/>
                <w:sz w:val="16"/>
              </w:rPr>
              <w:t xml:space="preserve">Historique des validations</w:t>
            </w:r>
          </w:p>
        </w:tc>
      </w:tr>
      <w:tr>
        <w:trPr>
          <w:cantSplit/>
        </w:trPr>
        <w:tc>
          <w:tcPr>
            <w:tcW w:type="dxa" w:w="1700"/>
          </w:tcPr>
          <w:p>
            <w:pPr>
              <w:spacing w:after="0" w:line="252" w:lineRule="auto"/>
            </w:pPr>
            <w:r>
              <w:rPr>
                <w:rFonts w:ascii="Calibri" w:hAnsi="Calibri"/>
                <w:b w:val="0"/>
                <w:i w:val="0"/>
                <w:color w:val="333333"/>
                <w:sz w:val="16"/>
              </w:rPr>
              <w:t xml:space="preserve">Sécurité et conformité</w:t>
            </w:r>
          </w:p>
        </w:tc>
        <w:tc>
          <w:tcPr>
            <w:tcW w:type="dxa" w:w="2530"/>
          </w:tcPr>
          <w:p>
            <w:pPr>
              <w:spacing w:after="0" w:line="252" w:lineRule="auto"/>
            </w:pPr>
            <w:r>
              <w:rPr>
                <w:rFonts w:ascii="Calibri" w:hAnsi="Calibri"/>
                <w:b w:val="0"/>
                <w:i w:val="0"/>
                <w:color w:val="333333"/>
                <w:sz w:val="16"/>
              </w:rPr>
              <w:t xml:space="preserve">Exécution locale</w:t>
            </w:r>
          </w:p>
        </w:tc>
        <w:tc>
          <w:tcPr>
            <w:tcW w:type="dxa" w:w="2530"/>
          </w:tcPr>
          <w:p>
            <w:pPr>
              <w:spacing w:after="0" w:line="252" w:lineRule="auto"/>
            </w:pPr>
            <w:r>
              <w:rPr>
                <w:rFonts w:ascii="Calibri" w:hAnsi="Calibri"/>
                <w:b w:val="0"/>
                <w:i w:val="0"/>
                <w:color w:val="333333"/>
                <w:sz w:val="16"/>
              </w:rPr>
              <w:t xml:space="preserve">Exécution locale</w:t>
            </w:r>
          </w:p>
        </w:tc>
        <w:tc>
          <w:tcPr>
            <w:tcW w:type="dxa" w:w="2538"/>
          </w:tcPr>
          <w:p>
            <w:pPr>
              <w:spacing w:after="0" w:line="252" w:lineRule="auto"/>
            </w:pPr>
            <w:r>
              <w:rPr>
                <w:rFonts w:ascii="Calibri" w:hAnsi="Calibri"/>
                <w:b w:val="0"/>
                <w:i w:val="0"/>
                <w:color w:val="333333"/>
                <w:sz w:val="16"/>
              </w:rPr>
              <w:t xml:space="preserve">Exécution locale</w:t>
            </w:r>
          </w:p>
        </w:tc>
      </w:tr>
      <w:tr>
        <w:trPr>
          <w:cantSplit/>
        </w:trPr>
        <w:tc>
          <w:tcPr>
            <w:tcW w:type="dxa" w:w="1700"/>
          </w:tcPr>
          <w:p>
            <w:pPr>
              <w:spacing w:after="0" w:line="252" w:lineRule="auto"/>
            </w:pPr>
            <w:r>
              <w:rPr>
                <w:rFonts w:ascii="Calibri" w:hAnsi="Calibri"/>
                <w:b w:val="0"/>
                <w:i w:val="0"/>
                <w:color w:val="333333"/>
                <w:sz w:val="16"/>
              </w:rPr>
              <w:t xml:space="preserve">Maintenabilité</w:t>
            </w:r>
          </w:p>
        </w:tc>
        <w:tc>
          <w:tcPr>
            <w:tcW w:type="dxa" w:w="2530"/>
          </w:tcPr>
          <w:p>
            <w:pPr>
              <w:spacing w:after="0" w:line="252" w:lineRule="auto"/>
            </w:pPr>
            <w:r>
              <w:rPr>
                <w:rFonts w:ascii="Calibri" w:hAnsi="Calibri"/>
                <w:b w:val="0"/>
                <w:i w:val="0"/>
                <w:color w:val="333333"/>
                <w:sz w:val="16"/>
              </w:rPr>
              <w:t xml:space="preserve">Environ 55 lignes pour neuf contrôles</w:t>
            </w:r>
          </w:p>
        </w:tc>
        <w:tc>
          <w:tcPr>
            <w:tcW w:type="dxa" w:w="2530"/>
          </w:tcPr>
          <w:p>
            <w:pPr>
              <w:spacing w:after="0" w:line="252" w:lineRule="auto"/>
            </w:pPr>
            <w:r>
              <w:rPr>
                <w:rFonts w:ascii="Calibri" w:hAnsi="Calibri"/>
                <w:b w:val="0"/>
                <w:i w:val="0"/>
                <w:color w:val="333333"/>
                <w:sz w:val="16"/>
              </w:rPr>
              <w:t xml:space="preserve">14 lignes pour les règles de l'ERP</w:t>
            </w:r>
          </w:p>
        </w:tc>
        <w:tc>
          <w:tcPr>
            <w:tcW w:type="dxa" w:w="2538"/>
          </w:tcPr>
          <w:p>
            <w:pPr>
              <w:spacing w:after="0" w:line="252" w:lineRule="auto"/>
            </w:pPr>
            <w:r>
              <w:rPr>
                <w:rFonts w:ascii="Calibri" w:hAnsi="Calibri"/>
                <w:b w:val="0"/>
                <w:i w:val="0"/>
                <w:color w:val="333333"/>
                <w:sz w:val="16"/>
              </w:rPr>
              <w:t xml:space="preserve">Configuration lourde, 18 dépendances directes</w:t>
            </w:r>
          </w:p>
        </w:tc>
      </w:tr>
      <w:tr>
        <w:trPr>
          <w:cantSplit/>
        </w:trPr>
        <w:tc>
          <w:tcPr>
            <w:tcW w:type="dxa" w:w="1700"/>
          </w:tcPr>
          <w:p>
            <w:pPr>
              <w:spacing w:after="0" w:line="252" w:lineRule="auto"/>
            </w:pPr>
            <w:r>
              <w:rPr>
                <w:rFonts w:ascii="Calibri" w:hAnsi="Calibri"/>
                <w:b w:val="0"/>
                <w:i w:val="0"/>
                <w:color w:val="333333"/>
                <w:sz w:val="16"/>
              </w:rPr>
              <w:t xml:space="preserve">Sobriété et impact</w:t>
            </w:r>
          </w:p>
        </w:tc>
        <w:tc>
          <w:tcPr>
            <w:tcW w:type="dxa" w:w="2530"/>
          </w:tcPr>
          <w:p>
            <w:pPr>
              <w:spacing w:after="0" w:line="252" w:lineRule="auto"/>
            </w:pPr>
            <w:r>
              <w:rPr>
                <w:rFonts w:ascii="Calibri" w:hAnsi="Calibri"/>
                <w:b w:val="0"/>
                <w:i w:val="0"/>
                <w:color w:val="333333"/>
                <w:sz w:val="16"/>
              </w:rPr>
              <w:t xml:space="preserve">Aucune dépendance</w:t>
            </w:r>
          </w:p>
        </w:tc>
        <w:tc>
          <w:tcPr>
            <w:tcW w:type="dxa" w:w="2530"/>
          </w:tcPr>
          <w:p>
            <w:pPr>
              <w:spacing w:after="0" w:line="252" w:lineRule="auto"/>
            </w:pPr>
            <w:r>
              <w:rPr>
                <w:rFonts w:ascii="Calibri" w:hAnsi="Calibri"/>
                <w:b w:val="0"/>
                <w:i w:val="0"/>
                <w:color w:val="333333"/>
                <w:sz w:val="16"/>
              </w:rPr>
              <w:t xml:space="preserve">Une bibliothèque légère</w:t>
            </w:r>
          </w:p>
        </w:tc>
        <w:tc>
          <w:tcPr>
            <w:tcW w:type="dxa" w:w="2538"/>
          </w:tcPr>
          <w:p>
            <w:pPr>
              <w:spacing w:after="0" w:line="252" w:lineRule="auto"/>
            </w:pPr>
            <w:r>
              <w:rPr>
                <w:rFonts w:ascii="Calibri" w:hAnsi="Calibri"/>
                <w:b w:val="0"/>
                <w:i w:val="0"/>
                <w:color w:val="333333"/>
                <w:sz w:val="16"/>
              </w:rPr>
              <w:t xml:space="preserve">Un cadre complet, surdimensionné pour un notebook</w:t>
            </w:r>
          </w:p>
        </w:tc>
      </w:tr>
      <w:tr>
        <w:trPr>
          <w:cantSplit/>
        </w:trPr>
        <w:tc>
          <w:tcPr>
            <w:tcW w:type="dxa" w:w="1700"/>
          </w:tcPr>
          <w:p>
            <w:pPr>
              <w:spacing w:after="0" w:line="252" w:lineRule="auto"/>
            </w:pPr>
            <w:r>
              <w:rPr>
                <w:rFonts w:ascii="Calibri" w:hAnsi="Calibri"/>
                <w:b/>
                <w:i w:val="0"/>
                <w:color w:val="333333"/>
                <w:sz w:val="16"/>
              </w:rPr>
              <w:t xml:space="preserve">Décision</w:t>
            </w:r>
          </w:p>
        </w:tc>
        <w:tc>
          <w:tcPr>
            <w:tcW w:type="dxa" w:w="2530"/>
          </w:tcPr>
          <w:p>
            <w:pPr>
              <w:spacing w:after="0" w:line="252" w:lineRule="auto"/>
            </w:pPr>
            <w:r>
              <w:rPr>
                <w:rFonts w:ascii="Calibri" w:hAnsi="Calibri"/>
                <w:b w:val="0"/>
                <w:i w:val="0"/>
                <w:color w:val="333333"/>
                <w:sz w:val="16"/>
              </w:rPr>
              <w:t xml:space="preserve">Écartés</w:t>
            </w:r>
          </w:p>
        </w:tc>
        <w:tc>
          <w:tcPr>
            <w:tcW w:type="dxa" w:w="2530"/>
          </w:tcPr>
          <w:p>
            <w:pPr>
              <w:spacing w:after="0" w:line="252" w:lineRule="auto"/>
            </w:pPr>
            <w:r>
              <w:rPr>
                <w:rFonts w:ascii="Calibri" w:hAnsi="Calibri"/>
                <w:b/>
                <w:i w:val="0"/>
                <w:color w:val="333333"/>
                <w:sz w:val="16"/>
              </w:rPr>
              <w:t xml:space="preserve">Retenu</w:t>
            </w:r>
          </w:p>
        </w:tc>
        <w:tc>
          <w:tcPr>
            <w:tcW w:type="dxa" w:w="2538"/>
          </w:tcPr>
          <w:p>
            <w:pPr>
              <w:spacing w:after="0" w:line="252" w:lineRule="auto"/>
            </w:pPr>
            <w:r>
              <w:rPr>
                <w:rFonts w:ascii="Calibri" w:hAnsi="Calibri"/>
                <w:b w:val="0"/>
                <w:i w:val="0"/>
                <w:color w:val="333333"/>
                <w:sz w:val="16"/>
              </w:rPr>
              <w:t xml:space="preserve">En réserve</w:t>
            </w:r>
          </w:p>
        </w:tc>
      </w:tr>
    </w:tbl>
    <w:p>
      <w:pPr>
        <w:spacing w:after="60"/>
      </w:pPr>
      <w:r>
        <w:rPr>
          <w:rFonts w:ascii="Calibri" w:hAnsi="Calibri"/>
          <w:b/>
          <w:i w:val="0"/>
          <w:color w:val="333333"/>
          <w:sz w:val="21"/>
        </w:rPr>
        <w:t xml:space="preserve">Axe 2, performance et reproductibilité</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700"/>
        <w:gridCol w:w="2530"/>
        <w:gridCol w:w="2530"/>
        <w:gridCol w:w="2538"/>
      </w:tblGrid>
      <w:tr>
        <w:trPr>
          <w:cantSplit/>
          <w:tblHeader w:val="true"/>
        </w:trPr>
        <w:tc>
          <w:tcPr>
            <w:tcW w:type="dxa" w:w="1700"/>
            <w:shd w:val="clear" w:color="auto" w:fill="1F2937"/>
          </w:tcPr>
          <w:p>
            <w:pPr>
              <w:spacing w:after="0"/>
            </w:pPr>
            <w:r>
              <w:rPr>
                <w:rFonts w:ascii="Calibri" w:hAnsi="Calibri"/>
                <w:b/>
                <w:color w:val="FFFFFF"/>
                <w:sz w:val="16"/>
              </w:rPr>
              <w:t xml:space="preserve">Critère</w:t>
            </w:r>
          </w:p>
        </w:tc>
        <w:tc>
          <w:tcPr>
            <w:tcW w:type="dxa" w:w="2530"/>
            <w:shd w:val="clear" w:color="auto" w:fill="1F2937"/>
          </w:tcPr>
          <w:p>
            <w:pPr>
              <w:spacing w:after="0"/>
            </w:pPr>
            <w:r>
              <w:rPr>
                <w:rFonts w:ascii="Calibri" w:hAnsi="Calibri"/>
                <w:b/>
                <w:color w:val="FFFFFF"/>
                <w:sz w:val="16"/>
              </w:rPr>
              <w:t xml:space="preserve">pandas</w:t>
            </w:r>
          </w:p>
        </w:tc>
        <w:tc>
          <w:tcPr>
            <w:tcW w:type="dxa" w:w="2530"/>
            <w:shd w:val="clear" w:color="auto" w:fill="1F2937"/>
          </w:tcPr>
          <w:p>
            <w:pPr>
              <w:spacing w:after="0"/>
            </w:pPr>
            <w:r>
              <w:rPr>
                <w:rFonts w:ascii="Calibri" w:hAnsi="Calibri"/>
                <w:b/>
                <w:color w:val="FFFFFF"/>
                <w:sz w:val="16"/>
              </w:rPr>
              <w:t xml:space="preserve">Polars</w:t>
            </w:r>
          </w:p>
        </w:tc>
        <w:tc>
          <w:tcPr>
            <w:tcW w:type="dxa" w:w="2538"/>
            <w:shd w:val="clear" w:color="auto" w:fill="1F2937"/>
          </w:tcPr>
          <w:p>
            <w:pPr>
              <w:spacing w:after="0"/>
            </w:pPr>
            <w:r>
              <w:rPr>
                <w:rFonts w:ascii="Calibri" w:hAnsi="Calibri"/>
                <w:b/>
                <w:color w:val="FFFFFF"/>
                <w:sz w:val="16"/>
              </w:rPr>
              <w:t xml:space="preserve">DuckDB</w:t>
            </w:r>
          </w:p>
        </w:tc>
      </w:tr>
      <w:tr>
        <w:trPr>
          <w:cantSplit/>
        </w:trPr>
        <w:tc>
          <w:tcPr>
            <w:tcW w:type="dxa" w:w="1700"/>
          </w:tcPr>
          <w:p>
            <w:pPr>
              <w:spacing w:after="0" w:line="252" w:lineRule="auto"/>
            </w:pPr>
            <w:r>
              <w:rPr>
                <w:rFonts w:ascii="Calibri" w:hAnsi="Calibri"/>
                <w:b w:val="0"/>
                <w:i w:val="0"/>
                <w:color w:val="333333"/>
                <w:sz w:val="16"/>
              </w:rPr>
              <w:t xml:space="preserve">Qualité et robustesse</w:t>
            </w:r>
          </w:p>
        </w:tc>
        <w:tc>
          <w:tcPr>
            <w:tcW w:type="dxa" w:w="2530"/>
          </w:tcPr>
          <w:p>
            <w:pPr>
              <w:spacing w:after="0" w:line="252" w:lineRule="auto"/>
            </w:pPr>
            <w:r>
              <w:rPr>
                <w:rFonts w:ascii="Calibri" w:hAnsi="Calibri"/>
                <w:b w:val="0"/>
                <w:i w:val="0"/>
                <w:color w:val="333333"/>
                <w:sz w:val="16"/>
              </w:rPr>
              <w:t xml:space="preserve">Résultats identiques, vérifiés avant la mesure</w:t>
            </w:r>
          </w:p>
        </w:tc>
        <w:tc>
          <w:tcPr>
            <w:tcW w:type="dxa" w:w="2530"/>
          </w:tcPr>
          <w:p>
            <w:pPr>
              <w:spacing w:after="0" w:line="252" w:lineRule="auto"/>
            </w:pPr>
            <w:r>
              <w:rPr>
                <w:rFonts w:ascii="Calibri" w:hAnsi="Calibri"/>
                <w:b w:val="0"/>
                <w:i w:val="0"/>
                <w:color w:val="333333"/>
                <w:sz w:val="16"/>
              </w:rPr>
              <w:t xml:space="preserve">Identiques</w:t>
            </w:r>
          </w:p>
        </w:tc>
        <w:tc>
          <w:tcPr>
            <w:tcW w:type="dxa" w:w="2538"/>
          </w:tcPr>
          <w:p>
            <w:pPr>
              <w:spacing w:after="0" w:line="252" w:lineRule="auto"/>
            </w:pPr>
            <w:r>
              <w:rPr>
                <w:rFonts w:ascii="Calibri" w:hAnsi="Calibri"/>
                <w:b w:val="0"/>
                <w:i w:val="0"/>
                <w:color w:val="333333"/>
                <w:sz w:val="16"/>
              </w:rPr>
              <w:t xml:space="preserve">Identiques</w:t>
            </w:r>
          </w:p>
        </w:tc>
      </w:tr>
      <w:tr>
        <w:trPr>
          <w:cantSplit/>
        </w:trPr>
        <w:tc>
          <w:tcPr>
            <w:tcW w:type="dxa" w:w="1700"/>
          </w:tcPr>
          <w:p>
            <w:pPr>
              <w:spacing w:after="0" w:line="252" w:lineRule="auto"/>
            </w:pPr>
            <w:r>
              <w:rPr>
                <w:rFonts w:ascii="Calibri" w:hAnsi="Calibri"/>
                <w:b w:val="0"/>
                <w:i w:val="0"/>
                <w:color w:val="333333"/>
                <w:sz w:val="16"/>
              </w:rPr>
              <w:t xml:space="preserve">Biais</w:t>
            </w:r>
          </w:p>
        </w:tc>
        <w:tc>
          <w:tcPr>
            <w:tcW w:type="dxa" w:w="2530"/>
          </w:tcPr>
          <w:p>
            <w:pPr>
              <w:spacing w:after="0" w:line="252" w:lineRule="auto"/>
            </w:pPr>
            <w:r>
              <w:rPr>
                <w:rFonts w:ascii="Calibri" w:hAnsi="Calibri"/>
                <w:b w:val="0"/>
                <w:i w:val="0"/>
                <w:color w:val="333333"/>
                <w:sz w:val="16"/>
              </w:rPr>
              <w:t xml:space="preserve">Sans objet</w:t>
            </w:r>
          </w:p>
        </w:tc>
        <w:tc>
          <w:tcPr>
            <w:tcW w:type="dxa" w:w="2530"/>
          </w:tcPr>
          <w:p>
            <w:pPr>
              <w:spacing w:after="0" w:line="252" w:lineRule="auto"/>
            </w:pPr>
            <w:r>
              <w:rPr>
                <w:rFonts w:ascii="Calibri" w:hAnsi="Calibri"/>
                <w:b w:val="0"/>
                <w:i w:val="0"/>
                <w:color w:val="333333"/>
                <w:sz w:val="16"/>
              </w:rPr>
              <w:t xml:space="preserve">Sans objet</w:t>
            </w:r>
          </w:p>
        </w:tc>
        <w:tc>
          <w:tcPr>
            <w:tcW w:type="dxa" w:w="2538"/>
          </w:tcPr>
          <w:p>
            <w:pPr>
              <w:spacing w:after="0" w:line="252" w:lineRule="auto"/>
            </w:pPr>
            <w:r>
              <w:rPr>
                <w:rFonts w:ascii="Calibri" w:hAnsi="Calibri"/>
                <w:b w:val="0"/>
                <w:i w:val="0"/>
                <w:color w:val="333333"/>
                <w:sz w:val="16"/>
              </w:rPr>
              <w:t xml:space="preserve">Sans objet</w:t>
            </w:r>
          </w:p>
        </w:tc>
      </w:tr>
      <w:tr>
        <w:trPr>
          <w:cantSplit/>
        </w:trPr>
        <w:tc>
          <w:tcPr>
            <w:tcW w:type="dxa" w:w="1700"/>
          </w:tcPr>
          <w:p>
            <w:pPr>
              <w:spacing w:after="0" w:line="252" w:lineRule="auto"/>
            </w:pPr>
            <w:r>
              <w:rPr>
                <w:rFonts w:ascii="Calibri" w:hAnsi="Calibri"/>
                <w:b w:val="0"/>
                <w:i w:val="0"/>
                <w:color w:val="333333"/>
                <w:sz w:val="16"/>
              </w:rPr>
              <w:t xml:space="preserve">Coût en temps (mesuré)</w:t>
            </w:r>
          </w:p>
        </w:tc>
        <w:tc>
          <w:tcPr>
            <w:tcW w:type="dxa" w:w="2530"/>
          </w:tcPr>
          <w:p>
            <w:pPr>
              <w:spacing w:after="0" w:line="252" w:lineRule="auto"/>
            </w:pPr>
            <w:r>
              <w:rPr>
                <w:rFonts w:ascii="Calibri" w:hAnsi="Calibri"/>
                <w:b w:val="0"/>
                <w:i w:val="0"/>
                <w:color w:val="333333"/>
                <w:sz w:val="16"/>
              </w:rPr>
              <w:t xml:space="preserve">9,9 ms au volume réel ; 240 ms à deux millions de ventes</w:t>
            </w:r>
          </w:p>
        </w:tc>
        <w:tc>
          <w:tcPr>
            <w:tcW w:type="dxa" w:w="2530"/>
          </w:tcPr>
          <w:p>
            <w:pPr>
              <w:spacing w:after="0" w:line="252" w:lineRule="auto"/>
            </w:pPr>
            <w:r>
              <w:rPr>
                <w:rFonts w:ascii="Calibri" w:hAnsi="Calibri"/>
                <w:b w:val="0"/>
                <w:i w:val="0"/>
                <w:color w:val="333333"/>
                <w:sz w:val="16"/>
              </w:rPr>
              <w:t xml:space="preserve">2,5 ms ; 59 ms, soit 4,1 fois plus rapide (8,1 fois sur mon poste le 25 septembre)</w:t>
            </w:r>
          </w:p>
        </w:tc>
        <w:tc>
          <w:tcPr>
            <w:tcW w:type="dxa" w:w="2538"/>
          </w:tcPr>
          <w:p>
            <w:pPr>
              <w:spacing w:after="0" w:line="252" w:lineRule="auto"/>
            </w:pPr>
            <w:r>
              <w:rPr>
                <w:rFonts w:ascii="Calibri" w:hAnsi="Calibri"/>
                <w:b w:val="0"/>
                <w:i w:val="0"/>
                <w:color w:val="333333"/>
                <w:sz w:val="16"/>
              </w:rPr>
              <w:t xml:space="preserve">32,3 ms ; 82 ms, soit 2,9 fois plus rapide (5,7 fois sur mon poste)</w:t>
            </w:r>
          </w:p>
        </w:tc>
      </w:tr>
      <w:tr>
        <w:trPr>
          <w:cantSplit/>
        </w:trPr>
        <w:tc>
          <w:tcPr>
            <w:tcW w:type="dxa" w:w="1700"/>
          </w:tcPr>
          <w:p>
            <w:pPr>
              <w:spacing w:after="0" w:line="252" w:lineRule="auto"/>
            </w:pPr>
            <w:r>
              <w:rPr>
                <w:rFonts w:ascii="Calibri" w:hAnsi="Calibri"/>
                <w:b w:val="0"/>
                <w:i w:val="0"/>
                <w:color w:val="333333"/>
                <w:sz w:val="16"/>
              </w:rPr>
              <w:t xml:space="preserve">Reproductibilité</w:t>
            </w:r>
          </w:p>
        </w:tc>
        <w:tc>
          <w:tcPr>
            <w:tcW w:type="dxa" w:w="2530"/>
          </w:tcPr>
          <w:p>
            <w:pPr>
              <w:spacing w:after="0" w:line="252" w:lineRule="auto"/>
            </w:pPr>
            <w:r>
              <w:rPr>
                <w:rFonts w:ascii="Calibri" w:hAnsi="Calibri"/>
                <w:b w:val="0"/>
                <w:i w:val="0"/>
                <w:color w:val="333333"/>
                <w:sz w:val="16"/>
              </w:rPr>
              <w:t xml:space="preserve">Versions figées</w:t>
            </w:r>
          </w:p>
        </w:tc>
        <w:tc>
          <w:tcPr>
            <w:tcW w:type="dxa" w:w="2530"/>
          </w:tcPr>
          <w:p>
            <w:pPr>
              <w:spacing w:after="0" w:line="252" w:lineRule="auto"/>
            </w:pPr>
            <w:r>
              <w:rPr>
                <w:rFonts w:ascii="Calibri" w:hAnsi="Calibri"/>
                <w:b w:val="0"/>
                <w:i w:val="0"/>
                <w:color w:val="333333"/>
                <w:sz w:val="16"/>
              </w:rPr>
              <w:t xml:space="preserve">Versions à figer : Polars 2.0 change des comportements par défaut</w:t>
            </w:r>
          </w:p>
        </w:tc>
        <w:tc>
          <w:tcPr>
            <w:tcW w:type="dxa" w:w="2538"/>
          </w:tcPr>
          <w:p>
            <w:pPr>
              <w:spacing w:after="0" w:line="252" w:lineRule="auto"/>
            </w:pPr>
            <w:r>
              <w:rPr>
                <w:rFonts w:ascii="Calibri" w:hAnsi="Calibri"/>
                <w:b w:val="0"/>
                <w:i w:val="0"/>
                <w:color w:val="333333"/>
                <w:sz w:val="16"/>
              </w:rPr>
              <w:t xml:space="preserve">Versions figées ; version 1.4 maintenue à long terme</w:t>
            </w:r>
          </w:p>
        </w:tc>
      </w:tr>
      <w:tr>
        <w:trPr>
          <w:cantSplit/>
        </w:trPr>
        <w:tc>
          <w:tcPr>
            <w:tcW w:type="dxa" w:w="1700"/>
          </w:tcPr>
          <w:p>
            <w:pPr>
              <w:spacing w:after="0" w:line="252" w:lineRule="auto"/>
            </w:pPr>
            <w:r>
              <w:rPr>
                <w:rFonts w:ascii="Calibri" w:hAnsi="Calibri"/>
                <w:b w:val="0"/>
                <w:i w:val="0"/>
                <w:color w:val="333333"/>
                <w:sz w:val="16"/>
              </w:rPr>
              <w:t xml:space="preserve">Sécurité et conformité</w:t>
            </w:r>
          </w:p>
        </w:tc>
        <w:tc>
          <w:tcPr>
            <w:tcW w:type="dxa" w:w="2530"/>
          </w:tcPr>
          <w:p>
            <w:pPr>
              <w:spacing w:after="0" w:line="252" w:lineRule="auto"/>
            </w:pPr>
            <w:r>
              <w:rPr>
                <w:rFonts w:ascii="Calibri" w:hAnsi="Calibri"/>
                <w:b w:val="0"/>
                <w:i w:val="0"/>
                <w:color w:val="333333"/>
                <w:sz w:val="16"/>
              </w:rPr>
              <w:t xml:space="preserve">Exécution locale</w:t>
            </w:r>
          </w:p>
        </w:tc>
        <w:tc>
          <w:tcPr>
            <w:tcW w:type="dxa" w:w="2530"/>
          </w:tcPr>
          <w:p>
            <w:pPr>
              <w:spacing w:after="0" w:line="252" w:lineRule="auto"/>
            </w:pPr>
            <w:r>
              <w:rPr>
                <w:rFonts w:ascii="Calibri" w:hAnsi="Calibri"/>
                <w:b w:val="0"/>
                <w:i w:val="0"/>
                <w:color w:val="333333"/>
                <w:sz w:val="16"/>
              </w:rPr>
              <w:t xml:space="preserve">Exécution locale</w:t>
            </w:r>
          </w:p>
        </w:tc>
        <w:tc>
          <w:tcPr>
            <w:tcW w:type="dxa" w:w="2538"/>
          </w:tcPr>
          <w:p>
            <w:pPr>
              <w:spacing w:after="0" w:line="252" w:lineRule="auto"/>
            </w:pPr>
            <w:r>
              <w:rPr>
                <w:rFonts w:ascii="Calibri" w:hAnsi="Calibri"/>
                <w:b w:val="0"/>
                <w:i w:val="0"/>
                <w:color w:val="333333"/>
                <w:sz w:val="16"/>
              </w:rPr>
              <w:t xml:space="preserve">Exécution locale</w:t>
            </w:r>
          </w:p>
        </w:tc>
      </w:tr>
      <w:tr>
        <w:trPr>
          <w:cantSplit/>
        </w:trPr>
        <w:tc>
          <w:tcPr>
            <w:tcW w:type="dxa" w:w="1700"/>
          </w:tcPr>
          <w:p>
            <w:pPr>
              <w:spacing w:after="0" w:line="252" w:lineRule="auto"/>
            </w:pPr>
            <w:r>
              <w:rPr>
                <w:rFonts w:ascii="Calibri" w:hAnsi="Calibri"/>
                <w:b w:val="0"/>
                <w:i w:val="0"/>
                <w:color w:val="333333"/>
                <w:sz w:val="16"/>
              </w:rPr>
              <w:t xml:space="preserve">Maintenabilité</w:t>
            </w:r>
          </w:p>
        </w:tc>
        <w:tc>
          <w:tcPr>
            <w:tcW w:type="dxa" w:w="2530"/>
          </w:tcPr>
          <w:p>
            <w:pPr>
              <w:spacing w:after="0" w:line="252" w:lineRule="auto"/>
            </w:pPr>
            <w:r>
              <w:rPr>
                <w:rFonts w:ascii="Calibri" w:hAnsi="Calibri"/>
                <w:b w:val="0"/>
                <w:i w:val="0"/>
                <w:color w:val="333333"/>
                <w:sz w:val="16"/>
              </w:rPr>
              <w:t xml:space="preserve">Connu de tout analyste</w:t>
            </w:r>
          </w:p>
        </w:tc>
        <w:tc>
          <w:tcPr>
            <w:tcW w:type="dxa" w:w="2530"/>
          </w:tcPr>
          <w:p>
            <w:pPr>
              <w:spacing w:after="0" w:line="252" w:lineRule="auto"/>
            </w:pPr>
            <w:r>
              <w:rPr>
                <w:rFonts w:ascii="Calibri" w:hAnsi="Calibri"/>
                <w:b w:val="0"/>
                <w:i w:val="0"/>
                <w:color w:val="333333"/>
                <w:sz w:val="16"/>
              </w:rPr>
              <w:t xml:space="preserve">Autre syntaxe : expressions, exécution différée</w:t>
            </w:r>
          </w:p>
        </w:tc>
        <w:tc>
          <w:tcPr>
            <w:tcW w:type="dxa" w:w="2538"/>
          </w:tcPr>
          <w:p>
            <w:pPr>
              <w:spacing w:after="0" w:line="252" w:lineRule="auto"/>
            </w:pPr>
            <w:r>
              <w:rPr>
                <w:rFonts w:ascii="Calibri" w:hAnsi="Calibri"/>
                <w:b w:val="0"/>
                <w:i w:val="0"/>
                <w:color w:val="333333"/>
                <w:sz w:val="16"/>
              </w:rPr>
              <w:t xml:space="preserve">SQL, lisible par un profil BI</w:t>
            </w:r>
          </w:p>
        </w:tc>
      </w:tr>
      <w:tr>
        <w:trPr>
          <w:cantSplit/>
        </w:trPr>
        <w:tc>
          <w:tcPr>
            <w:tcW w:type="dxa" w:w="1700"/>
          </w:tcPr>
          <w:p>
            <w:pPr>
              <w:spacing w:after="0" w:line="252" w:lineRule="auto"/>
            </w:pPr>
            <w:r>
              <w:rPr>
                <w:rFonts w:ascii="Calibri" w:hAnsi="Calibri"/>
                <w:b w:val="0"/>
                <w:i w:val="0"/>
                <w:color w:val="333333"/>
                <w:sz w:val="16"/>
              </w:rPr>
              <w:t xml:space="preserve">Sobriété et impact</w:t>
            </w:r>
          </w:p>
        </w:tc>
        <w:tc>
          <w:tcPr>
            <w:tcW w:type="dxa" w:w="2530"/>
          </w:tcPr>
          <w:p>
            <w:pPr>
              <w:spacing w:after="0" w:line="252" w:lineRule="auto"/>
            </w:pPr>
            <w:r>
              <w:rPr>
                <w:rFonts w:ascii="Calibri" w:hAnsi="Calibri"/>
                <w:b w:val="0"/>
                <w:i w:val="0"/>
                <w:color w:val="333333"/>
                <w:sz w:val="16"/>
              </w:rPr>
              <w:t xml:space="preserve">Aucune dépendance ajoutée</w:t>
            </w:r>
          </w:p>
        </w:tc>
        <w:tc>
          <w:tcPr>
            <w:tcW w:type="dxa" w:w="2530"/>
          </w:tcPr>
          <w:p>
            <w:pPr>
              <w:spacing w:after="0" w:line="252" w:lineRule="auto"/>
            </w:pPr>
            <w:r>
              <w:rPr>
                <w:rFonts w:ascii="Calibri" w:hAnsi="Calibri"/>
                <w:b w:val="0"/>
                <w:i w:val="0"/>
                <w:color w:val="333333"/>
                <w:sz w:val="16"/>
              </w:rPr>
              <w:t xml:space="preserve">Utile seulement à gros volume</w:t>
            </w:r>
          </w:p>
        </w:tc>
        <w:tc>
          <w:tcPr>
            <w:tcW w:type="dxa" w:w="2538"/>
          </w:tcPr>
          <w:p>
            <w:pPr>
              <w:spacing w:after="0" w:line="252" w:lineRule="auto"/>
            </w:pPr>
            <w:r>
              <w:rPr>
                <w:rFonts w:ascii="Calibri" w:hAnsi="Calibri"/>
                <w:b w:val="0"/>
                <w:i w:val="0"/>
                <w:color w:val="333333"/>
                <w:sz w:val="16"/>
              </w:rPr>
              <w:t xml:space="preserve">Démarrage coûteux sur un petit volume</w:t>
            </w:r>
          </w:p>
        </w:tc>
      </w:tr>
      <w:tr>
        <w:trPr>
          <w:cantSplit/>
        </w:trPr>
        <w:tc>
          <w:tcPr>
            <w:tcW w:type="dxa" w:w="1700"/>
          </w:tcPr>
          <w:p>
            <w:pPr>
              <w:spacing w:after="0" w:line="252" w:lineRule="auto"/>
            </w:pPr>
            <w:r>
              <w:rPr>
                <w:rFonts w:ascii="Calibri" w:hAnsi="Calibri"/>
                <w:b/>
                <w:i w:val="0"/>
                <w:color w:val="333333"/>
                <w:sz w:val="16"/>
              </w:rPr>
              <w:t xml:space="preserve">Décision</w:t>
            </w:r>
          </w:p>
        </w:tc>
        <w:tc>
          <w:tcPr>
            <w:tcW w:type="dxa" w:w="2530"/>
          </w:tcPr>
          <w:p>
            <w:pPr>
              <w:spacing w:after="0" w:line="252" w:lineRule="auto"/>
            </w:pPr>
            <w:r>
              <w:rPr>
                <w:rFonts w:ascii="Calibri" w:hAnsi="Calibri"/>
                <w:b/>
                <w:i w:val="0"/>
                <w:color w:val="333333"/>
                <w:sz w:val="16"/>
              </w:rPr>
              <w:t xml:space="preserve">Gardé</w:t>
            </w:r>
          </w:p>
        </w:tc>
        <w:tc>
          <w:tcPr>
            <w:tcW w:type="dxa" w:w="2530"/>
          </w:tcPr>
          <w:p>
            <w:pPr>
              <w:spacing w:after="0" w:line="252" w:lineRule="auto"/>
            </w:pPr>
            <w:r>
              <w:rPr>
                <w:rFonts w:ascii="Calibri" w:hAnsi="Calibri"/>
                <w:b w:val="0"/>
                <w:i w:val="0"/>
                <w:color w:val="333333"/>
                <w:sz w:val="16"/>
              </w:rPr>
              <w:t xml:space="preserve">En réserve</w:t>
            </w:r>
          </w:p>
        </w:tc>
        <w:tc>
          <w:tcPr>
            <w:tcW w:type="dxa" w:w="2538"/>
          </w:tcPr>
          <w:p>
            <w:pPr>
              <w:spacing w:after="0" w:line="252" w:lineRule="auto"/>
            </w:pPr>
            <w:r>
              <w:rPr>
                <w:rFonts w:ascii="Calibri" w:hAnsi="Calibri"/>
                <w:b w:val="0"/>
                <w:i w:val="0"/>
                <w:color w:val="333333"/>
                <w:sz w:val="16"/>
              </w:rPr>
              <w:t xml:space="preserve">En réserve</w:t>
            </w:r>
          </w:p>
        </w:tc>
      </w:tr>
    </w:tbl>
    <w:p>
      <w:pPr>
        <w:spacing w:after="60"/>
      </w:pPr>
      <w:r>
        <w:rPr>
          <w:rFonts w:ascii="Calibri" w:hAnsi="Calibri"/>
          <w:b/>
          <w:i w:val="0"/>
          <w:color w:val="333333"/>
          <w:sz w:val="21"/>
        </w:rPr>
        <w:t xml:space="preserve">Axe 3, détection d'anomalies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700"/>
        <w:gridCol w:w="2530"/>
        <w:gridCol w:w="2530"/>
        <w:gridCol w:w="2538"/>
      </w:tblGrid>
      <w:tr>
        <w:trPr>
          <w:cantSplit/>
          <w:tblHeader w:val="true"/>
        </w:trPr>
        <w:tc>
          <w:tcPr>
            <w:tcW w:type="dxa" w:w="1700"/>
            <w:shd w:val="clear" w:color="auto" w:fill="1F2937"/>
          </w:tcPr>
          <w:p>
            <w:pPr>
              <w:spacing w:after="0"/>
            </w:pPr>
            <w:r>
              <w:rPr>
                <w:rFonts w:ascii="Calibri" w:hAnsi="Calibri"/>
                <w:b/>
                <w:color w:val="FFFFFF"/>
                <w:sz w:val="16"/>
              </w:rPr>
              <w:t xml:space="preserve">Critère</w:t>
            </w:r>
          </w:p>
        </w:tc>
        <w:tc>
          <w:tcPr>
            <w:tcW w:type="dxa" w:w="2530"/>
            <w:shd w:val="clear" w:color="auto" w:fill="1F2937"/>
          </w:tcPr>
          <w:p>
            <w:pPr>
              <w:spacing w:after="0"/>
            </w:pPr>
            <w:r>
              <w:rPr>
                <w:rFonts w:ascii="Calibri" w:hAnsi="Calibri"/>
                <w:b/>
                <w:color w:val="FFFFFF"/>
                <w:sz w:val="16"/>
              </w:rPr>
              <w:t xml:space="preserve">Score z sur le prix</w:t>
            </w:r>
          </w:p>
        </w:tc>
        <w:tc>
          <w:tcPr>
            <w:tcW w:type="dxa" w:w="2530"/>
            <w:shd w:val="clear" w:color="auto" w:fill="1F2937"/>
          </w:tcPr>
          <w:p>
            <w:pPr>
              <w:spacing w:after="0"/>
            </w:pPr>
            <w:r>
              <w:rPr>
                <w:rFonts w:ascii="Calibri" w:hAnsi="Calibri"/>
                <w:b/>
                <w:color w:val="FFFFFF"/>
                <w:sz w:val="16"/>
              </w:rPr>
              <w:t xml:space="preserve">Isolation Forest</w:t>
            </w:r>
          </w:p>
        </w:tc>
        <w:tc>
          <w:tcPr>
            <w:tcW w:type="dxa" w:w="2538"/>
            <w:shd w:val="clear" w:color="auto" w:fill="1F2937"/>
          </w:tcPr>
          <w:p>
            <w:pPr>
              <w:spacing w:after="0"/>
            </w:pPr>
            <w:r>
              <w:rPr>
                <w:rFonts w:ascii="Calibri" w:hAnsi="Calibri"/>
                <w:b/>
                <w:color w:val="FFFFFF"/>
                <w:sz w:val="16"/>
              </w:rPr>
              <w:t xml:space="preserve">Local Outlier Factor</w:t>
            </w:r>
          </w:p>
        </w:tc>
      </w:tr>
      <w:tr>
        <w:trPr>
          <w:cantSplit/>
        </w:trPr>
        <w:tc>
          <w:tcPr>
            <w:tcW w:type="dxa" w:w="1700"/>
          </w:tcPr>
          <w:p>
            <w:pPr>
              <w:spacing w:after="0" w:line="252" w:lineRule="auto"/>
            </w:pPr>
            <w:r>
              <w:rPr>
                <w:rFonts w:ascii="Calibri" w:hAnsi="Calibri"/>
                <w:b w:val="0"/>
                <w:i w:val="0"/>
                <w:color w:val="333333"/>
                <w:sz w:val="16"/>
              </w:rPr>
              <w:t xml:space="preserve">Qualité et robustesse</w:t>
            </w:r>
          </w:p>
        </w:tc>
        <w:tc>
          <w:tcPr>
            <w:tcW w:type="dxa" w:w="2530"/>
          </w:tcPr>
          <w:p>
            <w:pPr>
              <w:spacing w:after="0" w:line="252" w:lineRule="auto"/>
            </w:pPr>
            <w:r>
              <w:rPr>
                <w:rFonts w:ascii="Calibri" w:hAnsi="Calibri"/>
                <w:b w:val="0"/>
                <w:i w:val="0"/>
                <w:color w:val="333333"/>
                <w:sz w:val="16"/>
              </w:rPr>
              <w:t xml:space="preserve">13 alertes, sur le prix seul</w:t>
            </w:r>
          </w:p>
        </w:tc>
        <w:tc>
          <w:tcPr>
            <w:tcW w:type="dxa" w:w="2530"/>
          </w:tcPr>
          <w:p>
            <w:pPr>
              <w:spacing w:after="0" w:line="252" w:lineRule="auto"/>
            </w:pPr>
            <w:r>
              <w:rPr>
                <w:rFonts w:ascii="Calibri" w:hAnsi="Calibri"/>
                <w:b w:val="0"/>
                <w:i w:val="0"/>
                <w:color w:val="333333"/>
                <w:sz w:val="16"/>
              </w:rPr>
              <w:t xml:space="preserve">36 alertes, dont 26 que le score z ne voit pas</w:t>
            </w:r>
          </w:p>
        </w:tc>
        <w:tc>
          <w:tcPr>
            <w:tcW w:type="dxa" w:w="2538"/>
          </w:tcPr>
          <w:p>
            <w:pPr>
              <w:spacing w:after="0" w:line="252" w:lineRule="auto"/>
            </w:pPr>
            <w:r>
              <w:rPr>
                <w:rFonts w:ascii="Calibri" w:hAnsi="Calibri"/>
                <w:b w:val="0"/>
                <w:i w:val="0"/>
                <w:color w:val="333333"/>
                <w:sz w:val="16"/>
              </w:rPr>
              <w:t xml:space="preserve">36 alertes, dont 11 à 22 en commun avec Isolation Forest selon le réglage</w:t>
            </w:r>
          </w:p>
        </w:tc>
      </w:tr>
      <w:tr>
        <w:trPr>
          <w:cantSplit/>
        </w:trPr>
        <w:tc>
          <w:tcPr>
            <w:tcW w:type="dxa" w:w="1700"/>
          </w:tcPr>
          <w:p>
            <w:pPr>
              <w:spacing w:after="0" w:line="252" w:lineRule="auto"/>
            </w:pPr>
            <w:r>
              <w:rPr>
                <w:rFonts w:ascii="Calibri" w:hAnsi="Calibri"/>
                <w:b w:val="0"/>
                <w:i w:val="0"/>
                <w:color w:val="333333"/>
                <w:sz w:val="16"/>
              </w:rPr>
              <w:t xml:space="preserve">Biais</w:t>
            </w:r>
          </w:p>
        </w:tc>
        <w:tc>
          <w:tcPr>
            <w:tcW w:type="dxa" w:w="2530"/>
          </w:tcPr>
          <w:p>
            <w:pPr>
              <w:spacing w:after="0" w:line="252" w:lineRule="auto"/>
            </w:pPr>
            <w:r>
              <w:rPr>
                <w:rFonts w:ascii="Calibri" w:hAnsi="Calibri"/>
                <w:b w:val="0"/>
                <w:i w:val="0"/>
                <w:color w:val="333333"/>
                <w:sz w:val="16"/>
              </w:rPr>
              <w:t xml:space="preserve">Rate les anomalies croisées</w:t>
            </w:r>
          </w:p>
        </w:tc>
        <w:tc>
          <w:tcPr>
            <w:tcW w:type="dxa" w:w="2530"/>
          </w:tcPr>
          <w:p>
            <w:pPr>
              <w:spacing w:after="0" w:line="252" w:lineRule="auto"/>
            </w:pPr>
            <w:r>
              <w:rPr>
                <w:rFonts w:ascii="Calibri" w:hAnsi="Calibri"/>
                <w:b w:val="0"/>
                <w:i w:val="0"/>
                <w:color w:val="333333"/>
                <w:sz w:val="16"/>
              </w:rPr>
              <w:t xml:space="preserve">Nombre d'alertes fixé d'avance (5 %) : des faux positifs à attendre</w:t>
            </w:r>
          </w:p>
        </w:tc>
        <w:tc>
          <w:tcPr>
            <w:tcW w:type="dxa" w:w="2538"/>
          </w:tcPr>
          <w:p>
            <w:pPr>
              <w:spacing w:after="0" w:line="252" w:lineRule="auto"/>
            </w:pPr>
            <w:r>
              <w:rPr>
                <w:rFonts w:ascii="Calibri" w:hAnsi="Calibri"/>
                <w:b w:val="0"/>
                <w:i w:val="0"/>
                <w:color w:val="333333"/>
                <w:sz w:val="16"/>
              </w:rPr>
              <w:t xml:space="preserve">Dépend du nombre de voisins et de la mise à l'échelle</w:t>
            </w:r>
          </w:p>
        </w:tc>
      </w:tr>
      <w:tr>
        <w:trPr>
          <w:cantSplit/>
        </w:trPr>
        <w:tc>
          <w:tcPr>
            <w:tcW w:type="dxa" w:w="1700"/>
          </w:tcPr>
          <w:p>
            <w:pPr>
              <w:spacing w:after="0" w:line="252" w:lineRule="auto"/>
            </w:pPr>
            <w:r>
              <w:rPr>
                <w:rFonts w:ascii="Calibri" w:hAnsi="Calibri"/>
                <w:b w:val="0"/>
                <w:i w:val="0"/>
                <w:color w:val="333333"/>
                <w:sz w:val="16"/>
              </w:rPr>
              <w:t xml:space="preserve">Coût en temps</w:t>
            </w:r>
          </w:p>
        </w:tc>
        <w:tc>
          <w:tcPr>
            <w:tcW w:type="dxa" w:w="2530"/>
          </w:tcPr>
          <w:p>
            <w:pPr>
              <w:spacing w:after="0" w:line="252" w:lineRule="auto"/>
            </w:pPr>
            <w:r>
              <w:rPr>
                <w:rFonts w:ascii="Calibri" w:hAnsi="Calibri"/>
                <w:b w:val="0"/>
                <w:i w:val="0"/>
                <w:color w:val="333333"/>
                <w:sz w:val="16"/>
              </w:rPr>
              <w:t xml:space="preserve">Instantané à 714 produits</w:t>
            </w:r>
          </w:p>
        </w:tc>
        <w:tc>
          <w:tcPr>
            <w:tcW w:type="dxa" w:w="2530"/>
          </w:tcPr>
          <w:p>
            <w:pPr>
              <w:spacing w:after="0" w:line="252" w:lineRule="auto"/>
            </w:pPr>
            <w:r>
              <w:rPr>
                <w:rFonts w:ascii="Calibri" w:hAnsi="Calibri"/>
                <w:b w:val="0"/>
                <w:i w:val="0"/>
                <w:color w:val="333333"/>
                <w:sz w:val="16"/>
              </w:rPr>
              <w:t xml:space="preserve">Moins d'une seconde</w:t>
            </w:r>
          </w:p>
        </w:tc>
        <w:tc>
          <w:tcPr>
            <w:tcW w:type="dxa" w:w="2538"/>
          </w:tcPr>
          <w:p>
            <w:pPr>
              <w:spacing w:after="0" w:line="252" w:lineRule="auto"/>
            </w:pPr>
            <w:r>
              <w:rPr>
                <w:rFonts w:ascii="Calibri" w:hAnsi="Calibri"/>
                <w:b w:val="0"/>
                <w:i w:val="0"/>
                <w:color w:val="333333"/>
                <w:sz w:val="16"/>
              </w:rPr>
              <w:t xml:space="preserve">Moins d'une seconde</w:t>
            </w:r>
          </w:p>
        </w:tc>
      </w:tr>
      <w:tr>
        <w:trPr>
          <w:cantSplit/>
        </w:trPr>
        <w:tc>
          <w:tcPr>
            <w:tcW w:type="dxa" w:w="1700"/>
          </w:tcPr>
          <w:p>
            <w:pPr>
              <w:spacing w:after="0" w:line="252" w:lineRule="auto"/>
            </w:pPr>
            <w:r>
              <w:rPr>
                <w:rFonts w:ascii="Calibri" w:hAnsi="Calibri"/>
                <w:b w:val="0"/>
                <w:i w:val="0"/>
                <w:color w:val="333333"/>
                <w:sz w:val="16"/>
              </w:rPr>
              <w:t xml:space="preserve">Reproductibilité</w:t>
            </w:r>
          </w:p>
        </w:tc>
        <w:tc>
          <w:tcPr>
            <w:tcW w:type="dxa" w:w="2530"/>
          </w:tcPr>
          <w:p>
            <w:pPr>
              <w:spacing w:after="0" w:line="252" w:lineRule="auto"/>
            </w:pPr>
            <w:r>
              <w:rPr>
                <w:rFonts w:ascii="Calibri" w:hAnsi="Calibri"/>
                <w:b w:val="0"/>
                <w:i w:val="0"/>
                <w:color w:val="333333"/>
                <w:sz w:val="16"/>
              </w:rPr>
              <w:t xml:space="preserve">Déterministe</w:t>
            </w:r>
          </w:p>
        </w:tc>
        <w:tc>
          <w:tcPr>
            <w:tcW w:type="dxa" w:w="2530"/>
          </w:tcPr>
          <w:p>
            <w:pPr>
              <w:spacing w:after="0" w:line="252" w:lineRule="auto"/>
            </w:pPr>
            <w:r>
              <w:rPr>
                <w:rFonts w:ascii="Calibri" w:hAnsi="Calibri"/>
                <w:b w:val="0"/>
                <w:i w:val="0"/>
                <w:color w:val="333333"/>
                <w:sz w:val="16"/>
              </w:rPr>
              <w:t xml:space="preserve">Graine fixée ; indice de 0,80 à 0,85 si elle change</w:t>
            </w:r>
          </w:p>
        </w:tc>
        <w:tc>
          <w:tcPr>
            <w:tcW w:type="dxa" w:w="2538"/>
          </w:tcPr>
          <w:p>
            <w:pPr>
              <w:spacing w:after="0" w:line="252" w:lineRule="auto"/>
            </w:pPr>
            <w:r>
              <w:rPr>
                <w:rFonts w:ascii="Calibri" w:hAnsi="Calibri"/>
                <w:b w:val="0"/>
                <w:i w:val="0"/>
                <w:color w:val="333333"/>
                <w:sz w:val="16"/>
              </w:rPr>
              <w:t xml:space="preserve">Liste qui change avec le réglage : indice de 0,41 à 1</w:t>
            </w:r>
          </w:p>
        </w:tc>
      </w:tr>
      <w:tr>
        <w:trPr>
          <w:cantSplit/>
        </w:trPr>
        <w:tc>
          <w:tcPr>
            <w:tcW w:type="dxa" w:w="1700"/>
          </w:tcPr>
          <w:p>
            <w:pPr>
              <w:spacing w:after="0" w:line="252" w:lineRule="auto"/>
            </w:pPr>
            <w:r>
              <w:rPr>
                <w:rFonts w:ascii="Calibri" w:hAnsi="Calibri"/>
                <w:b w:val="0"/>
                <w:i w:val="0"/>
                <w:color w:val="333333"/>
                <w:sz w:val="16"/>
              </w:rPr>
              <w:t xml:space="preserve">Sécurité et conformité</w:t>
            </w:r>
          </w:p>
        </w:tc>
        <w:tc>
          <w:tcPr>
            <w:tcW w:type="dxa" w:w="2530"/>
          </w:tcPr>
          <w:p>
            <w:pPr>
              <w:spacing w:after="0" w:line="252" w:lineRule="auto"/>
            </w:pPr>
            <w:r>
              <w:rPr>
                <w:rFonts w:ascii="Calibri" w:hAnsi="Calibri"/>
                <w:b w:val="0"/>
                <w:i w:val="0"/>
                <w:color w:val="333333"/>
                <w:sz w:val="16"/>
              </w:rPr>
              <w:t xml:space="preserve">Exécution locale</w:t>
            </w:r>
          </w:p>
        </w:tc>
        <w:tc>
          <w:tcPr>
            <w:tcW w:type="dxa" w:w="2530"/>
          </w:tcPr>
          <w:p>
            <w:pPr>
              <w:spacing w:after="0" w:line="252" w:lineRule="auto"/>
            </w:pPr>
            <w:r>
              <w:rPr>
                <w:rFonts w:ascii="Calibri" w:hAnsi="Calibri"/>
                <w:b w:val="0"/>
                <w:i w:val="0"/>
                <w:color w:val="333333"/>
                <w:sz w:val="16"/>
              </w:rPr>
              <w:t xml:space="preserve">Exécution locale</w:t>
            </w:r>
          </w:p>
        </w:tc>
        <w:tc>
          <w:tcPr>
            <w:tcW w:type="dxa" w:w="2538"/>
          </w:tcPr>
          <w:p>
            <w:pPr>
              <w:spacing w:after="0" w:line="252" w:lineRule="auto"/>
            </w:pPr>
            <w:r>
              <w:rPr>
                <w:rFonts w:ascii="Calibri" w:hAnsi="Calibri"/>
                <w:b w:val="0"/>
                <w:i w:val="0"/>
                <w:color w:val="333333"/>
                <w:sz w:val="16"/>
              </w:rPr>
              <w:t xml:space="preserve">Exécution locale</w:t>
            </w:r>
          </w:p>
        </w:tc>
      </w:tr>
      <w:tr>
        <w:trPr>
          <w:cantSplit/>
        </w:trPr>
        <w:tc>
          <w:tcPr>
            <w:tcW w:type="dxa" w:w="1700"/>
          </w:tcPr>
          <w:p>
            <w:pPr>
              <w:spacing w:after="0" w:line="252" w:lineRule="auto"/>
            </w:pPr>
            <w:r>
              <w:rPr>
                <w:rFonts w:ascii="Calibri" w:hAnsi="Calibri"/>
                <w:b w:val="0"/>
                <w:i w:val="0"/>
                <w:color w:val="333333"/>
                <w:sz w:val="16"/>
              </w:rPr>
              <w:t xml:space="preserve">Maintenabilité</w:t>
            </w:r>
          </w:p>
        </w:tc>
        <w:tc>
          <w:tcPr>
            <w:tcW w:type="dxa" w:w="2530"/>
          </w:tcPr>
          <w:p>
            <w:pPr>
              <w:spacing w:after="0" w:line="252" w:lineRule="auto"/>
            </w:pPr>
            <w:r>
              <w:rPr>
                <w:rFonts w:ascii="Calibri" w:hAnsi="Calibri"/>
                <w:b w:val="0"/>
                <w:i w:val="0"/>
                <w:color w:val="333333"/>
                <w:sz w:val="16"/>
              </w:rPr>
              <w:t xml:space="preserve">Une ligne, explicable en une phrase</w:t>
            </w:r>
          </w:p>
        </w:tc>
        <w:tc>
          <w:tcPr>
            <w:tcW w:type="dxa" w:w="2530"/>
          </w:tcPr>
          <w:p>
            <w:pPr>
              <w:spacing w:after="0" w:line="252" w:lineRule="auto"/>
            </w:pPr>
            <w:r>
              <w:rPr>
                <w:rFonts w:ascii="Calibri" w:hAnsi="Calibri"/>
                <w:b w:val="0"/>
                <w:i w:val="0"/>
                <w:color w:val="333333"/>
                <w:sz w:val="16"/>
              </w:rPr>
              <w:t xml:space="preserve">Deux réglages : taux d'alertes, nombre d'arbres</w:t>
            </w:r>
          </w:p>
        </w:tc>
        <w:tc>
          <w:tcPr>
            <w:tcW w:type="dxa" w:w="2538"/>
          </w:tcPr>
          <w:p>
            <w:pPr>
              <w:spacing w:after="0" w:line="252" w:lineRule="auto"/>
            </w:pPr>
            <w:r>
              <w:rPr>
                <w:rFonts w:ascii="Calibri" w:hAnsi="Calibri"/>
                <w:b w:val="0"/>
                <w:i w:val="0"/>
                <w:color w:val="333333"/>
                <w:sz w:val="16"/>
              </w:rPr>
              <w:t xml:space="preserve">Standardisation et choix du voisinage</w:t>
            </w:r>
          </w:p>
        </w:tc>
      </w:tr>
      <w:tr>
        <w:trPr>
          <w:cantSplit/>
        </w:trPr>
        <w:tc>
          <w:tcPr>
            <w:tcW w:type="dxa" w:w="1700"/>
          </w:tcPr>
          <w:p>
            <w:pPr>
              <w:spacing w:after="0" w:line="252" w:lineRule="auto"/>
            </w:pPr>
            <w:r>
              <w:rPr>
                <w:rFonts w:ascii="Calibri" w:hAnsi="Calibri"/>
                <w:b w:val="0"/>
                <w:i w:val="0"/>
                <w:color w:val="333333"/>
                <w:sz w:val="16"/>
              </w:rPr>
              <w:t xml:space="preserve">Sobriété et impact</w:t>
            </w:r>
          </w:p>
        </w:tc>
        <w:tc>
          <w:tcPr>
            <w:tcW w:type="dxa" w:w="2530"/>
          </w:tcPr>
          <w:p>
            <w:pPr>
              <w:spacing w:after="0" w:line="252" w:lineRule="auto"/>
            </w:pPr>
            <w:r>
              <w:rPr>
                <w:rFonts w:ascii="Calibri" w:hAnsi="Calibri"/>
                <w:b w:val="0"/>
                <w:i w:val="0"/>
                <w:color w:val="333333"/>
                <w:sz w:val="16"/>
              </w:rPr>
              <w:t xml:space="preserve">Aucun modèle</w:t>
            </w:r>
          </w:p>
        </w:tc>
        <w:tc>
          <w:tcPr>
            <w:tcW w:type="dxa" w:w="2530"/>
          </w:tcPr>
          <w:p>
            <w:pPr>
              <w:spacing w:after="0" w:line="252" w:lineRule="auto"/>
            </w:pPr>
            <w:r>
              <w:rPr>
                <w:rFonts w:ascii="Calibri" w:hAnsi="Calibri"/>
                <w:b w:val="0"/>
                <w:i w:val="0"/>
                <w:color w:val="333333"/>
                <w:sz w:val="16"/>
              </w:rPr>
              <w:t xml:space="preserve">200 arbres, léger</w:t>
            </w:r>
          </w:p>
        </w:tc>
        <w:tc>
          <w:tcPr>
            <w:tcW w:type="dxa" w:w="2538"/>
          </w:tcPr>
          <w:p>
            <w:pPr>
              <w:spacing w:after="0" w:line="252" w:lineRule="auto"/>
            </w:pPr>
            <w:r>
              <w:rPr>
                <w:rFonts w:ascii="Calibri" w:hAnsi="Calibri"/>
                <w:b w:val="0"/>
                <w:i w:val="0"/>
                <w:color w:val="333333"/>
                <w:sz w:val="16"/>
              </w:rPr>
              <w:t xml:space="preserve">Léger</w:t>
            </w:r>
          </w:p>
        </w:tc>
      </w:tr>
      <w:tr>
        <w:trPr>
          <w:cantSplit/>
        </w:trPr>
        <w:tc>
          <w:tcPr>
            <w:tcW w:type="dxa" w:w="1700"/>
          </w:tcPr>
          <w:p>
            <w:pPr>
              <w:spacing w:after="0" w:line="252" w:lineRule="auto"/>
            </w:pPr>
            <w:r>
              <w:rPr>
                <w:rFonts w:ascii="Calibri" w:hAnsi="Calibri"/>
                <w:b/>
                <w:i w:val="0"/>
                <w:color w:val="333333"/>
                <w:sz w:val="16"/>
              </w:rPr>
              <w:t xml:space="preserve">Décision</w:t>
            </w:r>
          </w:p>
        </w:tc>
        <w:tc>
          <w:tcPr>
            <w:tcW w:type="dxa" w:w="2530"/>
          </w:tcPr>
          <w:p>
            <w:pPr>
              <w:spacing w:after="0" w:line="252" w:lineRule="auto"/>
            </w:pPr>
            <w:r>
              <w:rPr>
                <w:rFonts w:ascii="Calibri" w:hAnsi="Calibri"/>
                <w:b/>
                <w:i w:val="0"/>
                <w:color w:val="333333"/>
                <w:sz w:val="16"/>
              </w:rPr>
              <w:t xml:space="preserve">Gardé</w:t>
            </w:r>
          </w:p>
        </w:tc>
        <w:tc>
          <w:tcPr>
            <w:tcW w:type="dxa" w:w="2530"/>
          </w:tcPr>
          <w:p>
            <w:pPr>
              <w:spacing w:after="0" w:line="252" w:lineRule="auto"/>
            </w:pPr>
            <w:r>
              <w:rPr>
                <w:rFonts w:ascii="Calibri" w:hAnsi="Calibri"/>
                <w:b/>
                <w:i w:val="0"/>
                <w:color w:val="333333"/>
                <w:sz w:val="16"/>
              </w:rPr>
              <w:t xml:space="preserve">Ajouté</w:t>
            </w:r>
          </w:p>
        </w:tc>
        <w:tc>
          <w:tcPr>
            <w:tcW w:type="dxa" w:w="2538"/>
          </w:tcPr>
          <w:p>
            <w:pPr>
              <w:spacing w:after="0" w:line="252" w:lineRule="auto"/>
            </w:pPr>
            <w:r>
              <w:rPr>
                <w:rFonts w:ascii="Calibri" w:hAnsi="Calibri"/>
                <w:b w:val="0"/>
                <w:i w:val="0"/>
                <w:color w:val="333333"/>
                <w:sz w:val="16"/>
              </w:rPr>
              <w:t xml:space="preserve">Écarté</w:t>
            </w:r>
          </w:p>
        </w:tc>
      </w:tr>
    </w:tbl>
    <w:p>
      <w:pPr>
        <w:spacing w:after="60"/>
      </w:pPr>
      <w:r>
        <w:rPr>
          <w:rFonts w:ascii="Calibri" w:hAnsi="Calibri"/>
          <w:b/>
          <w:i w:val="0"/>
          <w:color w:val="333333"/>
          <w:sz w:val="21"/>
        </w:rPr>
        <w:t xml:space="preserve">Axe 4, interprétabilité et documentation</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700"/>
        <w:gridCol w:w="2530"/>
        <w:gridCol w:w="2530"/>
        <w:gridCol w:w="2538"/>
      </w:tblGrid>
      <w:tr>
        <w:trPr>
          <w:cantSplit/>
          <w:tblHeader w:val="true"/>
        </w:trPr>
        <w:tc>
          <w:tcPr>
            <w:tcW w:type="dxa" w:w="1700"/>
            <w:shd w:val="clear" w:color="auto" w:fill="1F2937"/>
          </w:tcPr>
          <w:p>
            <w:pPr>
              <w:spacing w:after="0"/>
            </w:pPr>
            <w:r>
              <w:rPr>
                <w:rFonts w:ascii="Calibri" w:hAnsi="Calibri"/>
                <w:b/>
                <w:color w:val="FFFFFF"/>
                <w:sz w:val="16"/>
              </w:rPr>
              <w:t xml:space="preserve">Critère</w:t>
            </w:r>
          </w:p>
        </w:tc>
        <w:tc>
          <w:tcPr>
            <w:tcW w:type="dxa" w:w="2530"/>
            <w:shd w:val="clear" w:color="auto" w:fill="1F2937"/>
          </w:tcPr>
          <w:p>
            <w:pPr>
              <w:spacing w:after="0"/>
            </w:pPr>
            <w:r>
              <w:rPr>
                <w:rFonts w:ascii="Calibri" w:hAnsi="Calibri"/>
                <w:b/>
                <w:color w:val="FFFFFF"/>
                <w:sz w:val="16"/>
              </w:rPr>
              <w:t xml:space="preserve">Importances du modèle</w:t>
            </w:r>
          </w:p>
        </w:tc>
        <w:tc>
          <w:tcPr>
            <w:tcW w:type="dxa" w:w="2530"/>
            <w:shd w:val="clear" w:color="auto" w:fill="1F2937"/>
          </w:tcPr>
          <w:p>
            <w:pPr>
              <w:spacing w:after="0"/>
            </w:pPr>
            <w:r>
              <w:rPr>
                <w:rFonts w:ascii="Calibri" w:hAnsi="Calibri"/>
                <w:b/>
                <w:color w:val="FFFFFF"/>
                <w:sz w:val="16"/>
              </w:rPr>
              <w:t xml:space="preserve">Valeurs de Shapley (SHAP)</w:t>
            </w:r>
          </w:p>
        </w:tc>
        <w:tc>
          <w:tcPr>
            <w:tcW w:type="dxa" w:w="2538"/>
            <w:shd w:val="clear" w:color="auto" w:fill="1F2937"/>
          </w:tcPr>
          <w:p>
            <w:pPr>
              <w:spacing w:after="0"/>
            </w:pPr>
            <w:r>
              <w:rPr>
                <w:rFonts w:ascii="Calibri" w:hAnsi="Calibri"/>
                <w:b/>
                <w:color w:val="FFFFFF"/>
                <w:sz w:val="16"/>
              </w:rPr>
              <w:t xml:space="preserve">Assistants d'IA (Claude, ChatGPT)</w:t>
            </w:r>
          </w:p>
        </w:tc>
      </w:tr>
      <w:tr>
        <w:trPr>
          <w:cantSplit/>
        </w:trPr>
        <w:tc>
          <w:tcPr>
            <w:tcW w:type="dxa" w:w="1700"/>
          </w:tcPr>
          <w:p>
            <w:pPr>
              <w:spacing w:after="0" w:line="252" w:lineRule="auto"/>
            </w:pPr>
            <w:r>
              <w:rPr>
                <w:rFonts w:ascii="Calibri" w:hAnsi="Calibri"/>
                <w:b w:val="0"/>
                <w:i w:val="0"/>
                <w:color w:val="333333"/>
                <w:sz w:val="16"/>
              </w:rPr>
              <w:t xml:space="preserve">Qualité et robustesse</w:t>
            </w:r>
          </w:p>
        </w:tc>
        <w:tc>
          <w:tcPr>
            <w:tcW w:type="dxa" w:w="2530"/>
          </w:tcPr>
          <w:p>
            <w:pPr>
              <w:spacing w:after="0" w:line="252" w:lineRule="auto"/>
            </w:pPr>
            <w:r>
              <w:rPr>
                <w:rFonts w:ascii="Calibri" w:hAnsi="Calibri"/>
                <w:b w:val="0"/>
                <w:i w:val="0"/>
                <w:color w:val="333333"/>
                <w:sz w:val="16"/>
              </w:rPr>
              <w:t xml:space="preserve">Même classement que SHAP : stock, prix d'achat, marge, prix</w:t>
            </w:r>
          </w:p>
        </w:tc>
        <w:tc>
          <w:tcPr>
            <w:tcW w:type="dxa" w:w="2530"/>
          </w:tcPr>
          <w:p>
            <w:pPr>
              <w:spacing w:after="0" w:line="252" w:lineRule="auto"/>
            </w:pPr>
            <w:r>
              <w:rPr>
                <w:rFonts w:ascii="Calibri" w:hAnsi="Calibri"/>
                <w:b w:val="0"/>
                <w:i w:val="0"/>
                <w:color w:val="333333"/>
                <w:sz w:val="16"/>
              </w:rPr>
              <w:t xml:space="preserve">Même classement, plus l'explication référence par référence</w:t>
            </w:r>
          </w:p>
        </w:tc>
        <w:tc>
          <w:tcPr>
            <w:tcW w:type="dxa" w:w="2538"/>
          </w:tcPr>
          <w:p>
            <w:pPr>
              <w:spacing w:after="0" w:line="252" w:lineRule="auto"/>
            </w:pPr>
            <w:r>
              <w:rPr>
                <w:rFonts w:ascii="Calibri" w:hAnsi="Calibri"/>
                <w:b w:val="0"/>
                <w:i w:val="0"/>
                <w:color w:val="333333"/>
                <w:sz w:val="16"/>
              </w:rPr>
              <w:t xml:space="preserve">Utiles pour les variantes de code et la rédaction ; chaque sortie est relue et exécutée</w:t>
            </w:r>
          </w:p>
        </w:tc>
      </w:tr>
      <w:tr>
        <w:trPr>
          <w:cantSplit/>
        </w:trPr>
        <w:tc>
          <w:tcPr>
            <w:tcW w:type="dxa" w:w="1700"/>
          </w:tcPr>
          <w:p>
            <w:pPr>
              <w:spacing w:after="0" w:line="252" w:lineRule="auto"/>
            </w:pPr>
            <w:r>
              <w:rPr>
                <w:rFonts w:ascii="Calibri" w:hAnsi="Calibri"/>
                <w:b w:val="0"/>
                <w:i w:val="0"/>
                <w:color w:val="333333"/>
                <w:sz w:val="16"/>
              </w:rPr>
              <w:t xml:space="preserve">Biais</w:t>
            </w:r>
          </w:p>
        </w:tc>
        <w:tc>
          <w:tcPr>
            <w:tcW w:type="dxa" w:w="2530"/>
          </w:tcPr>
          <w:p>
            <w:pPr>
              <w:spacing w:after="0" w:line="252" w:lineRule="auto"/>
            </w:pPr>
            <w:r>
              <w:rPr>
                <w:rFonts w:ascii="Calibri" w:hAnsi="Calibri"/>
                <w:b w:val="0"/>
                <w:i w:val="0"/>
                <w:color w:val="333333"/>
                <w:sz w:val="16"/>
              </w:rPr>
              <w:t xml:space="preserve">Favorise les variables continues</w:t>
            </w:r>
          </w:p>
        </w:tc>
        <w:tc>
          <w:tcPr>
            <w:tcW w:type="dxa" w:w="2530"/>
          </w:tcPr>
          <w:p>
            <w:pPr>
              <w:spacing w:after="0" w:line="252" w:lineRule="auto"/>
            </w:pPr>
            <w:r>
              <w:rPr>
                <w:rFonts w:ascii="Calibri" w:hAnsi="Calibri"/>
                <w:b w:val="0"/>
                <w:i w:val="0"/>
                <w:color w:val="333333"/>
                <w:sz w:val="16"/>
              </w:rPr>
              <w:t xml:space="preserve">Risque de lecture causale (le stock)</w:t>
            </w:r>
          </w:p>
        </w:tc>
        <w:tc>
          <w:tcPr>
            <w:tcW w:type="dxa" w:w="2538"/>
          </w:tcPr>
          <w:p>
            <w:pPr>
              <w:spacing w:after="0" w:line="252" w:lineRule="auto"/>
            </w:pPr>
            <w:r>
              <w:rPr>
                <w:rFonts w:ascii="Calibri" w:hAnsi="Calibri"/>
                <w:b w:val="0"/>
                <w:i w:val="0"/>
                <w:color w:val="333333"/>
                <w:sz w:val="16"/>
              </w:rPr>
              <w:t xml:space="preserve">Peuvent se tromper avec assurance : relecture obligatoire</w:t>
            </w:r>
          </w:p>
        </w:tc>
      </w:tr>
      <w:tr>
        <w:trPr>
          <w:cantSplit/>
        </w:trPr>
        <w:tc>
          <w:tcPr>
            <w:tcW w:type="dxa" w:w="1700"/>
          </w:tcPr>
          <w:p>
            <w:pPr>
              <w:spacing w:after="0" w:line="252" w:lineRule="auto"/>
            </w:pPr>
            <w:r>
              <w:rPr>
                <w:rFonts w:ascii="Calibri" w:hAnsi="Calibri"/>
                <w:b w:val="0"/>
                <w:i w:val="0"/>
                <w:color w:val="333333"/>
                <w:sz w:val="16"/>
              </w:rPr>
              <w:t xml:space="preserve">Coût en temps</w:t>
            </w:r>
          </w:p>
        </w:tc>
        <w:tc>
          <w:tcPr>
            <w:tcW w:type="dxa" w:w="2530"/>
          </w:tcPr>
          <w:p>
            <w:pPr>
              <w:spacing w:after="0" w:line="252" w:lineRule="auto"/>
            </w:pPr>
            <w:r>
              <w:rPr>
                <w:rFonts w:ascii="Calibri" w:hAnsi="Calibri"/>
                <w:b w:val="0"/>
                <w:i w:val="0"/>
                <w:color w:val="333333"/>
                <w:sz w:val="16"/>
              </w:rPr>
              <w:t xml:space="preserve">Immédiat</w:t>
            </w:r>
          </w:p>
        </w:tc>
        <w:tc>
          <w:tcPr>
            <w:tcW w:type="dxa" w:w="2530"/>
          </w:tcPr>
          <w:p>
            <w:pPr>
              <w:spacing w:after="0" w:line="252" w:lineRule="auto"/>
            </w:pPr>
            <w:r>
              <w:rPr>
                <w:rFonts w:ascii="Calibri" w:hAnsi="Calibri"/>
                <w:b w:val="0"/>
                <w:i w:val="0"/>
                <w:color w:val="333333"/>
                <w:sz w:val="16"/>
              </w:rPr>
              <w:t xml:space="preserve">Rapide à 714 produits, coûteux à gros volume</w:t>
            </w:r>
          </w:p>
        </w:tc>
        <w:tc>
          <w:tcPr>
            <w:tcW w:type="dxa" w:w="2538"/>
          </w:tcPr>
          <w:p>
            <w:pPr>
              <w:spacing w:after="0" w:line="252" w:lineRule="auto"/>
            </w:pPr>
            <w:r>
              <w:rPr>
                <w:rFonts w:ascii="Calibri" w:hAnsi="Calibri"/>
                <w:b w:val="0"/>
                <w:i w:val="0"/>
                <w:color w:val="333333"/>
                <w:sz w:val="16"/>
              </w:rPr>
              <w:t xml:space="preserve">Gain de temps sur le code et la documentation</w:t>
            </w:r>
          </w:p>
        </w:tc>
      </w:tr>
      <w:tr>
        <w:trPr>
          <w:cantSplit/>
        </w:trPr>
        <w:tc>
          <w:tcPr>
            <w:tcW w:type="dxa" w:w="1700"/>
          </w:tcPr>
          <w:p>
            <w:pPr>
              <w:spacing w:after="0" w:line="252" w:lineRule="auto"/>
            </w:pPr>
            <w:r>
              <w:rPr>
                <w:rFonts w:ascii="Calibri" w:hAnsi="Calibri"/>
                <w:b w:val="0"/>
                <w:i w:val="0"/>
                <w:color w:val="333333"/>
                <w:sz w:val="16"/>
              </w:rPr>
              <w:t xml:space="preserve">Reproductibilité</w:t>
            </w:r>
          </w:p>
        </w:tc>
        <w:tc>
          <w:tcPr>
            <w:tcW w:type="dxa" w:w="2530"/>
          </w:tcPr>
          <w:p>
            <w:pPr>
              <w:spacing w:after="0" w:line="252" w:lineRule="auto"/>
            </w:pPr>
            <w:r>
              <w:rPr>
                <w:rFonts w:ascii="Calibri" w:hAnsi="Calibri"/>
                <w:b w:val="0"/>
                <w:i w:val="0"/>
                <w:color w:val="333333"/>
                <w:sz w:val="16"/>
              </w:rPr>
              <w:t xml:space="preserve">Déterministe, graine fixée</w:t>
            </w:r>
          </w:p>
        </w:tc>
        <w:tc>
          <w:tcPr>
            <w:tcW w:type="dxa" w:w="2530"/>
          </w:tcPr>
          <w:p>
            <w:pPr>
              <w:spacing w:after="0" w:line="252" w:lineRule="auto"/>
            </w:pPr>
            <w:r>
              <w:rPr>
                <w:rFonts w:ascii="Calibri" w:hAnsi="Calibri"/>
                <w:b w:val="0"/>
                <w:i w:val="0"/>
                <w:color w:val="333333"/>
                <w:sz w:val="16"/>
              </w:rPr>
              <w:t xml:space="preserve">Déterministe avec l'explicateur d'arbres</w:t>
            </w:r>
          </w:p>
        </w:tc>
        <w:tc>
          <w:tcPr>
            <w:tcW w:type="dxa" w:w="2538"/>
          </w:tcPr>
          <w:p>
            <w:pPr>
              <w:spacing w:after="0" w:line="252" w:lineRule="auto"/>
            </w:pPr>
            <w:r>
              <w:rPr>
                <w:rFonts w:ascii="Calibri" w:hAnsi="Calibri"/>
                <w:b w:val="0"/>
                <w:i w:val="0"/>
                <w:color w:val="333333"/>
                <w:sz w:val="16"/>
              </w:rPr>
              <w:t xml:space="preserve">Réponses non reproductibles, d'où le journal des essais</w:t>
            </w:r>
          </w:p>
        </w:tc>
      </w:tr>
      <w:tr>
        <w:trPr>
          <w:cantSplit/>
        </w:trPr>
        <w:tc>
          <w:tcPr>
            <w:tcW w:type="dxa" w:w="1700"/>
          </w:tcPr>
          <w:p>
            <w:pPr>
              <w:spacing w:after="0" w:line="252" w:lineRule="auto"/>
            </w:pPr>
            <w:r>
              <w:rPr>
                <w:rFonts w:ascii="Calibri" w:hAnsi="Calibri"/>
                <w:b w:val="0"/>
                <w:i w:val="0"/>
                <w:color w:val="333333"/>
                <w:sz w:val="16"/>
              </w:rPr>
              <w:t xml:space="preserve">Sécurité et conformité</w:t>
            </w:r>
          </w:p>
        </w:tc>
        <w:tc>
          <w:tcPr>
            <w:tcW w:type="dxa" w:w="2530"/>
          </w:tcPr>
          <w:p>
            <w:pPr>
              <w:spacing w:after="0" w:line="252" w:lineRule="auto"/>
            </w:pPr>
            <w:r>
              <w:rPr>
                <w:rFonts w:ascii="Calibri" w:hAnsi="Calibri"/>
                <w:b w:val="0"/>
                <w:i w:val="0"/>
                <w:color w:val="333333"/>
                <w:sz w:val="16"/>
              </w:rPr>
              <w:t xml:space="preserve">Exécution locale</w:t>
            </w:r>
          </w:p>
        </w:tc>
        <w:tc>
          <w:tcPr>
            <w:tcW w:type="dxa" w:w="2530"/>
          </w:tcPr>
          <w:p>
            <w:pPr>
              <w:spacing w:after="0" w:line="252" w:lineRule="auto"/>
            </w:pPr>
            <w:r>
              <w:rPr>
                <w:rFonts w:ascii="Calibri" w:hAnsi="Calibri"/>
                <w:b w:val="0"/>
                <w:i w:val="0"/>
                <w:color w:val="333333"/>
                <w:sz w:val="16"/>
              </w:rPr>
              <w:t xml:space="preserve">Exécution locale</w:t>
            </w:r>
          </w:p>
        </w:tc>
        <w:tc>
          <w:tcPr>
            <w:tcW w:type="dxa" w:w="2538"/>
          </w:tcPr>
          <w:p>
            <w:pPr>
              <w:spacing w:after="0" w:line="252" w:lineRule="auto"/>
            </w:pPr>
            <w:r>
              <w:rPr>
                <w:rFonts w:ascii="Calibri" w:hAnsi="Calibri"/>
                <w:b w:val="0"/>
                <w:i w:val="0"/>
                <w:color w:val="333333"/>
                <w:sz w:val="16"/>
              </w:rPr>
              <w:t xml:space="preserve">Service tiers : demandes sur le code et les schémas, accès aux fichiers notés au journal</w:t>
            </w:r>
          </w:p>
        </w:tc>
      </w:tr>
      <w:tr>
        <w:trPr>
          <w:cantSplit/>
        </w:trPr>
        <w:tc>
          <w:tcPr>
            <w:tcW w:type="dxa" w:w="1700"/>
          </w:tcPr>
          <w:p>
            <w:pPr>
              <w:spacing w:after="0" w:line="252" w:lineRule="auto"/>
            </w:pPr>
            <w:r>
              <w:rPr>
                <w:rFonts w:ascii="Calibri" w:hAnsi="Calibri"/>
                <w:b w:val="0"/>
                <w:i w:val="0"/>
                <w:color w:val="333333"/>
                <w:sz w:val="16"/>
              </w:rPr>
              <w:t xml:space="preserve">Maintenabilité</w:t>
            </w:r>
          </w:p>
        </w:tc>
        <w:tc>
          <w:tcPr>
            <w:tcW w:type="dxa" w:w="2530"/>
          </w:tcPr>
          <w:p>
            <w:pPr>
              <w:spacing w:after="0" w:line="252" w:lineRule="auto"/>
            </w:pPr>
            <w:r>
              <w:rPr>
                <w:rFonts w:ascii="Calibri" w:hAnsi="Calibri"/>
                <w:b w:val="0"/>
                <w:i w:val="0"/>
                <w:color w:val="333333"/>
                <w:sz w:val="16"/>
              </w:rPr>
              <w:t xml:space="preserve">Aucune dépendance</w:t>
            </w:r>
          </w:p>
        </w:tc>
        <w:tc>
          <w:tcPr>
            <w:tcW w:type="dxa" w:w="2530"/>
          </w:tcPr>
          <w:p>
            <w:pPr>
              <w:spacing w:after="0" w:line="252" w:lineRule="auto"/>
            </w:pPr>
            <w:r>
              <w:rPr>
                <w:rFonts w:ascii="Calibri" w:hAnsi="Calibri"/>
                <w:b w:val="0"/>
                <w:i w:val="0"/>
                <w:color w:val="333333"/>
                <w:sz w:val="16"/>
              </w:rPr>
              <w:t xml:space="preserve">Une dépendance, shap</w:t>
            </w:r>
          </w:p>
        </w:tc>
        <w:tc>
          <w:tcPr>
            <w:tcW w:type="dxa" w:w="2538"/>
          </w:tcPr>
          <w:p>
            <w:pPr>
              <w:spacing w:after="0" w:line="252" w:lineRule="auto"/>
            </w:pPr>
            <w:r>
              <w:rPr>
                <w:rFonts w:ascii="Calibri" w:hAnsi="Calibri"/>
                <w:b w:val="0"/>
                <w:i w:val="0"/>
                <w:color w:val="333333"/>
                <w:sz w:val="16"/>
              </w:rPr>
              <w:t xml:space="preserve">Un compte et des règles d'usage à tenir</w:t>
            </w:r>
          </w:p>
        </w:tc>
      </w:tr>
      <w:tr>
        <w:trPr>
          <w:cantSplit/>
        </w:trPr>
        <w:tc>
          <w:tcPr>
            <w:tcW w:type="dxa" w:w="1700"/>
          </w:tcPr>
          <w:p>
            <w:pPr>
              <w:spacing w:after="0" w:line="252" w:lineRule="auto"/>
            </w:pPr>
            <w:r>
              <w:rPr>
                <w:rFonts w:ascii="Calibri" w:hAnsi="Calibri"/>
                <w:b w:val="0"/>
                <w:i w:val="0"/>
                <w:color w:val="333333"/>
                <w:sz w:val="16"/>
              </w:rPr>
              <w:t xml:space="preserve">Sobriété et impact</w:t>
            </w:r>
          </w:p>
        </w:tc>
        <w:tc>
          <w:tcPr>
            <w:tcW w:type="dxa" w:w="2530"/>
          </w:tcPr>
          <w:p>
            <w:pPr>
              <w:spacing w:after="0" w:line="252" w:lineRule="auto"/>
            </w:pPr>
            <w:r>
              <w:rPr>
                <w:rFonts w:ascii="Calibri" w:hAnsi="Calibri"/>
                <w:b w:val="0"/>
                <w:i w:val="0"/>
                <w:color w:val="333333"/>
                <w:sz w:val="16"/>
              </w:rPr>
              <w:t xml:space="preserve">Aucun calcul en plus</w:t>
            </w:r>
          </w:p>
        </w:tc>
        <w:tc>
          <w:tcPr>
            <w:tcW w:type="dxa" w:w="2530"/>
          </w:tcPr>
          <w:p>
            <w:pPr>
              <w:spacing w:after="0" w:line="252" w:lineRule="auto"/>
            </w:pPr>
            <w:r>
              <w:rPr>
                <w:rFonts w:ascii="Calibri" w:hAnsi="Calibri"/>
                <w:b w:val="0"/>
                <w:i w:val="0"/>
                <w:color w:val="333333"/>
                <w:sz w:val="16"/>
              </w:rPr>
              <w:t xml:space="preserve">Calcul modéré</w:t>
            </w:r>
          </w:p>
        </w:tc>
        <w:tc>
          <w:tcPr>
            <w:tcW w:type="dxa" w:w="2538"/>
          </w:tcPr>
          <w:p>
            <w:pPr>
              <w:spacing w:after="0" w:line="252" w:lineRule="auto"/>
            </w:pPr>
            <w:r>
              <w:rPr>
                <w:rFonts w:ascii="Calibri" w:hAnsi="Calibri"/>
                <w:b w:val="0"/>
                <w:i w:val="0"/>
                <w:color w:val="333333"/>
                <w:sz w:val="16"/>
              </w:rPr>
              <w:t xml:space="preserve">Appels limités à des questions ciblées</w:t>
            </w:r>
          </w:p>
        </w:tc>
      </w:tr>
      <w:tr>
        <w:trPr>
          <w:cantSplit/>
        </w:trPr>
        <w:tc>
          <w:tcPr>
            <w:tcW w:type="dxa" w:w="1700"/>
          </w:tcPr>
          <w:p>
            <w:pPr>
              <w:spacing w:after="0" w:line="252" w:lineRule="auto"/>
            </w:pPr>
            <w:r>
              <w:rPr>
                <w:rFonts w:ascii="Calibri" w:hAnsi="Calibri"/>
                <w:b/>
                <w:i w:val="0"/>
                <w:color w:val="333333"/>
                <w:sz w:val="16"/>
              </w:rPr>
              <w:t xml:space="preserve">Décision</w:t>
            </w:r>
          </w:p>
        </w:tc>
        <w:tc>
          <w:tcPr>
            <w:tcW w:type="dxa" w:w="2530"/>
          </w:tcPr>
          <w:p>
            <w:pPr>
              <w:spacing w:after="0" w:line="252" w:lineRule="auto"/>
            </w:pPr>
            <w:r>
              <w:rPr>
                <w:rFonts w:ascii="Calibri" w:hAnsi="Calibri"/>
                <w:b w:val="0"/>
                <w:i w:val="0"/>
                <w:color w:val="333333"/>
                <w:sz w:val="16"/>
              </w:rPr>
              <w:t xml:space="preserve">Insuffisant seul</w:t>
            </w:r>
          </w:p>
        </w:tc>
        <w:tc>
          <w:tcPr>
            <w:tcW w:type="dxa" w:w="2530"/>
          </w:tcPr>
          <w:p>
            <w:pPr>
              <w:spacing w:after="0" w:line="252" w:lineRule="auto"/>
            </w:pPr>
            <w:r>
              <w:rPr>
                <w:rFonts w:ascii="Calibri" w:hAnsi="Calibri"/>
                <w:b/>
                <w:i w:val="0"/>
                <w:color w:val="333333"/>
                <w:sz w:val="16"/>
              </w:rPr>
              <w:t xml:space="preserve">Retenu</w:t>
            </w:r>
          </w:p>
        </w:tc>
        <w:tc>
          <w:tcPr>
            <w:tcW w:type="dxa" w:w="2538"/>
          </w:tcPr>
          <w:p>
            <w:pPr>
              <w:spacing w:after="0" w:line="252" w:lineRule="auto"/>
            </w:pPr>
            <w:r>
              <w:rPr>
                <w:rFonts w:ascii="Calibri" w:hAnsi="Calibri"/>
                <w:b w:val="0"/>
                <w:i w:val="0"/>
                <w:color w:val="333333"/>
                <w:sz w:val="16"/>
              </w:rPr>
              <w:t xml:space="preserve">Retenus, sous conditions</w:t>
            </w:r>
          </w:p>
        </w:tc>
      </w:tr>
    </w:tbl>
    <w:p>
      <w:pPr>
        <w:pStyle w:val="Heading2"/>
      </w:pPr>
      <w:bookmarkStart w:id="7012" w:name="_TocP130012"/>
      <w:r>
        <w:t xml:space="preserve">3.6 Cas d'usage et prérequis de chaque solution</w:t>
      </w:r>
      <w:bookmarkEnd w:id="7012"/>
    </w:p>
    <w:p>
      <w:r>
        <w:rPr>
          <w:rFonts w:ascii="Calibri" w:hAnsi="Calibri"/>
          <w:b w:val="0"/>
          <w:i w:val="0"/>
          <w:color w:val="333333"/>
          <w:sz w:val="21"/>
        </w:rPr>
        <w:t xml:space="preserve">Ce qu'il faut pour mettre chaque solution en œuvre chez BottleNeck. Les versions ont été vérifiées sur les pages officielles le 25 septembre 2026. Le notebook reste sur les versions figées de son exécution livrée (requirements.txt). Sur mon poste, il redonne les mêmes chiffres métier avec d'autres versions (25 septembre) et avec celles du requirements.txt, dans un environnement neuf (30 septembre).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900"/>
        <w:gridCol w:w="2000"/>
        <w:gridCol w:w="3400"/>
        <w:gridCol w:w="1998"/>
      </w:tblGrid>
      <w:tr>
        <w:trPr>
          <w:cantSplit/>
          <w:tblHeader w:val="true"/>
        </w:trPr>
        <w:tc>
          <w:tcPr>
            <w:tcW w:type="dxa" w:w="1900"/>
            <w:shd w:val="clear" w:color="auto" w:fill="1F2937"/>
          </w:tcPr>
          <w:p>
            <w:pPr>
              <w:spacing w:after="0"/>
            </w:pPr>
            <w:r>
              <w:rPr>
                <w:rFonts w:ascii="Calibri" w:hAnsi="Calibri"/>
                <w:b/>
                <w:color w:val="FFFFFF"/>
                <w:sz w:val="16"/>
              </w:rPr>
              <w:t xml:space="preserve">Solution</w:t>
            </w:r>
          </w:p>
        </w:tc>
        <w:tc>
          <w:tcPr>
            <w:tcW w:type="dxa" w:w="2000"/>
            <w:shd w:val="clear" w:color="auto" w:fill="1F2937"/>
          </w:tcPr>
          <w:p>
            <w:pPr>
              <w:spacing w:after="0"/>
            </w:pPr>
            <w:r>
              <w:rPr>
                <w:rFonts w:ascii="Calibri" w:hAnsi="Calibri"/>
                <w:b/>
                <w:color w:val="FFFFFF"/>
                <w:sz w:val="16"/>
              </w:rPr>
              <w:t xml:space="preserve">Cas d'usage chez BottleNeck</w:t>
            </w:r>
          </w:p>
        </w:tc>
        <w:tc>
          <w:tcPr>
            <w:tcW w:type="dxa" w:w="3400"/>
            <w:shd w:val="clear" w:color="auto" w:fill="1F2937"/>
          </w:tcPr>
          <w:p>
            <w:pPr>
              <w:spacing w:after="0"/>
            </w:pPr>
            <w:r>
              <w:rPr>
                <w:rFonts w:ascii="Calibri" w:hAnsi="Calibri"/>
                <w:b/>
                <w:color w:val="FFFFFF"/>
                <w:sz w:val="16"/>
              </w:rPr>
              <w:t xml:space="preserve">Prérequis</w:t>
            </w:r>
          </w:p>
        </w:tc>
        <w:tc>
          <w:tcPr>
            <w:tcW w:type="dxa" w:w="1998"/>
            <w:shd w:val="clear" w:color="auto" w:fill="1F2937"/>
          </w:tcPr>
          <w:p>
            <w:pPr>
              <w:spacing w:after="0"/>
            </w:pPr>
            <w:r>
              <w:rPr>
                <w:rFonts w:ascii="Calibri" w:hAnsi="Calibri"/>
                <w:b/>
                <w:color w:val="FFFFFF"/>
                <w:sz w:val="16"/>
              </w:rPr>
              <w:t xml:space="preserve">Version du notebook ; dernière version</w:t>
            </w:r>
          </w:p>
        </w:tc>
      </w:tr>
      <w:tr>
        <w:trPr>
          <w:cantSplit/>
        </w:trPr>
        <w:tc>
          <w:tcPr>
            <w:tcW w:type="dxa" w:w="1900"/>
          </w:tcPr>
          <w:p>
            <w:pPr>
              <w:spacing w:after="0" w:line="252" w:lineRule="auto"/>
            </w:pPr>
            <w:r>
              <w:rPr>
                <w:rFonts w:ascii="Calibri" w:hAnsi="Calibri"/>
                <w:b w:val="0"/>
                <w:i w:val="0"/>
                <w:color w:val="333333"/>
                <w:sz w:val="16"/>
              </w:rPr>
              <w:t xml:space="preserve">Pandera</w:t>
            </w:r>
          </w:p>
        </w:tc>
        <w:tc>
          <w:tcPr>
            <w:tcW w:type="dxa" w:w="2000"/>
          </w:tcPr>
          <w:p>
            <w:pPr>
              <w:spacing w:after="0" w:line="252" w:lineRule="auto"/>
            </w:pPr>
            <w:r>
              <w:rPr>
                <w:rFonts w:ascii="Calibri" w:hAnsi="Calibri"/>
                <w:b w:val="0"/>
                <w:i w:val="0"/>
                <w:color w:val="333333"/>
                <w:sz w:val="16"/>
              </w:rPr>
              <w:t xml:space="preserve">Contrôler chaque extraction de l'ERP</w:t>
            </w:r>
          </w:p>
        </w:tc>
        <w:tc>
          <w:tcPr>
            <w:tcW w:type="dxa" w:w="3400"/>
          </w:tcPr>
          <w:p>
            <w:pPr>
              <w:spacing w:after="0" w:line="252" w:lineRule="auto"/>
            </w:pPr>
            <w:r>
              <w:rPr>
                <w:rFonts w:ascii="Calibri" w:hAnsi="Calibri"/>
                <w:b w:val="0"/>
                <w:i w:val="0"/>
                <w:color w:val="333333"/>
                <w:sz w:val="16"/>
              </w:rPr>
              <w:t xml:space="preserve">Python 3.10 ou plus ; pip install 'pandera[pandas]' ; savoir écrire un schéma et lire le rapport d'erreurs</w:t>
            </w:r>
          </w:p>
        </w:tc>
        <w:tc>
          <w:tcPr>
            <w:tcW w:type="dxa" w:w="1998"/>
          </w:tcPr>
          <w:p>
            <w:pPr>
              <w:spacing w:after="0" w:line="252" w:lineRule="auto"/>
            </w:pPr>
            <w:r>
              <w:rPr>
                <w:rFonts w:ascii="Calibri" w:hAnsi="Calibri"/>
                <w:b w:val="0"/>
                <w:i w:val="0"/>
                <w:color w:val="333333"/>
                <w:sz w:val="16"/>
              </w:rPr>
              <w:t xml:space="preserve">0.32.1 ; 0.33.1 du 1er septembre 2026</w:t>
            </w:r>
          </w:p>
        </w:tc>
      </w:tr>
      <w:tr>
        <w:trPr>
          <w:cantSplit/>
        </w:trPr>
        <w:tc>
          <w:tcPr>
            <w:tcW w:type="dxa" w:w="1900"/>
          </w:tcPr>
          <w:p>
            <w:pPr>
              <w:spacing w:after="0" w:line="252" w:lineRule="auto"/>
            </w:pPr>
            <w:r>
              <w:rPr>
                <w:rFonts w:ascii="Calibri" w:hAnsi="Calibri"/>
                <w:b w:val="0"/>
                <w:i w:val="0"/>
                <w:color w:val="333333"/>
                <w:sz w:val="16"/>
              </w:rPr>
              <w:t xml:space="preserve">Great Expectations</w:t>
            </w:r>
          </w:p>
        </w:tc>
        <w:tc>
          <w:tcPr>
            <w:tcW w:type="dxa" w:w="2000"/>
          </w:tcPr>
          <w:p>
            <w:pPr>
              <w:spacing w:after="0" w:line="252" w:lineRule="auto"/>
            </w:pPr>
            <w:r>
              <w:rPr>
                <w:rFonts w:ascii="Calibri" w:hAnsi="Calibri"/>
                <w:b w:val="0"/>
                <w:i w:val="0"/>
                <w:color w:val="333333"/>
                <w:sz w:val="16"/>
              </w:rPr>
              <w:t xml:space="preserve">Contrôles quotidiens en production, avec historique</w:t>
            </w:r>
          </w:p>
        </w:tc>
        <w:tc>
          <w:tcPr>
            <w:tcW w:type="dxa" w:w="3400"/>
          </w:tcPr>
          <w:p>
            <w:pPr>
              <w:spacing w:after="0" w:line="252" w:lineRule="auto"/>
            </w:pPr>
            <w:r>
              <w:rPr>
                <w:rFonts w:ascii="Calibri" w:hAnsi="Calibri"/>
                <w:b w:val="0"/>
                <w:i w:val="0"/>
                <w:color w:val="333333"/>
                <w:sz w:val="16"/>
              </w:rPr>
              <w:t xml:space="preserve">Python 3.10 à 3.13, environnement virtuel conseillé ; savoir enchaîner contexte, suite d'attentes et point de contrôle</w:t>
            </w:r>
          </w:p>
        </w:tc>
        <w:tc>
          <w:tcPr>
            <w:tcW w:type="dxa" w:w="1998"/>
          </w:tcPr>
          <w:p>
            <w:pPr>
              <w:spacing w:after="0" w:line="252" w:lineRule="auto"/>
            </w:pPr>
            <w:r>
              <w:rPr>
                <w:rFonts w:ascii="Calibri" w:hAnsi="Calibri"/>
                <w:b w:val="0"/>
                <w:i w:val="0"/>
                <w:color w:val="333333"/>
                <w:sz w:val="16"/>
              </w:rPr>
              <w:t xml:space="preserve">Non installé ; GX Core 1.23.1 du 18 septembre 2026</w:t>
            </w:r>
          </w:p>
        </w:tc>
      </w:tr>
      <w:tr>
        <w:trPr>
          <w:cantSplit/>
        </w:trPr>
        <w:tc>
          <w:tcPr>
            <w:tcW w:type="dxa" w:w="1900"/>
          </w:tcPr>
          <w:p>
            <w:pPr>
              <w:spacing w:after="0" w:line="252" w:lineRule="auto"/>
            </w:pPr>
            <w:r>
              <w:rPr>
                <w:rFonts w:ascii="Calibri" w:hAnsi="Calibri"/>
                <w:b w:val="0"/>
                <w:i w:val="0"/>
                <w:color w:val="333333"/>
                <w:sz w:val="16"/>
              </w:rPr>
              <w:t xml:space="preserve">pandas</w:t>
            </w:r>
          </w:p>
        </w:tc>
        <w:tc>
          <w:tcPr>
            <w:tcW w:type="dxa" w:w="2000"/>
          </w:tcPr>
          <w:p>
            <w:pPr>
              <w:spacing w:after="0" w:line="252" w:lineRule="auto"/>
            </w:pPr>
            <w:r>
              <w:rPr>
                <w:rFonts w:ascii="Calibri" w:hAnsi="Calibri"/>
                <w:b w:val="0"/>
                <w:i w:val="0"/>
                <w:color w:val="333333"/>
                <w:sz w:val="16"/>
              </w:rPr>
              <w:t xml:space="preserve">Tous les calculs du notebook</w:t>
            </w:r>
          </w:p>
        </w:tc>
        <w:tc>
          <w:tcPr>
            <w:tcW w:type="dxa" w:w="3400"/>
          </w:tcPr>
          <w:p>
            <w:pPr>
              <w:spacing w:after="0" w:line="252" w:lineRule="auto"/>
            </w:pPr>
            <w:r>
              <w:rPr>
                <w:rFonts w:ascii="Calibri" w:hAnsi="Calibri"/>
                <w:b w:val="0"/>
                <w:i w:val="0"/>
                <w:color w:val="333333"/>
                <w:sz w:val="16"/>
              </w:rPr>
              <w:t xml:space="preserve">Python 3.11 ou plus, NumPy 1.26 ou plus ; jointures et agrégations</w:t>
            </w:r>
          </w:p>
        </w:tc>
        <w:tc>
          <w:tcPr>
            <w:tcW w:type="dxa" w:w="1998"/>
          </w:tcPr>
          <w:p>
            <w:pPr>
              <w:spacing w:after="0" w:line="252" w:lineRule="auto"/>
            </w:pPr>
            <w:r>
              <w:rPr>
                <w:rFonts w:ascii="Calibri" w:hAnsi="Calibri"/>
                <w:b w:val="0"/>
                <w:i w:val="0"/>
                <w:color w:val="333333"/>
                <w:sz w:val="16"/>
              </w:rPr>
              <w:t xml:space="preserve">3.0.2 ; 3.0.6 du 17 septembre 2026</w:t>
            </w:r>
          </w:p>
        </w:tc>
      </w:tr>
      <w:tr>
        <w:trPr>
          <w:cantSplit/>
        </w:trPr>
        <w:tc>
          <w:tcPr>
            <w:tcW w:type="dxa" w:w="1900"/>
          </w:tcPr>
          <w:p>
            <w:pPr>
              <w:spacing w:after="0" w:line="252" w:lineRule="auto"/>
            </w:pPr>
            <w:r>
              <w:rPr>
                <w:rFonts w:ascii="Calibri" w:hAnsi="Calibri"/>
                <w:b w:val="0"/>
                <w:i w:val="0"/>
                <w:color w:val="333333"/>
                <w:sz w:val="16"/>
              </w:rPr>
              <w:t xml:space="preserve">Polars</w:t>
            </w:r>
          </w:p>
        </w:tc>
        <w:tc>
          <w:tcPr>
            <w:tcW w:type="dxa" w:w="2000"/>
          </w:tcPr>
          <w:p>
            <w:pPr>
              <w:spacing w:after="0" w:line="252" w:lineRule="auto"/>
            </w:pPr>
            <w:r>
              <w:rPr>
                <w:rFonts w:ascii="Calibri" w:hAnsi="Calibri"/>
                <w:b w:val="0"/>
                <w:i w:val="0"/>
                <w:color w:val="333333"/>
                <w:sz w:val="16"/>
              </w:rPr>
              <w:t xml:space="preserve">Ventes historisées, gros volume</w:t>
            </w:r>
          </w:p>
        </w:tc>
        <w:tc>
          <w:tcPr>
            <w:tcW w:type="dxa" w:w="3400"/>
          </w:tcPr>
          <w:p>
            <w:pPr>
              <w:spacing w:after="0" w:line="252" w:lineRule="auto"/>
            </w:pPr>
            <w:r>
              <w:rPr>
                <w:rFonts w:ascii="Calibri" w:hAnsi="Calibri"/>
                <w:b w:val="0"/>
                <w:i w:val="0"/>
                <w:color w:val="333333"/>
                <w:sz w:val="16"/>
              </w:rPr>
              <w:t xml:space="preserve">Python 3.10 ou plus, aucune dépendance obligatoire ; expressions et exécution différée</w:t>
            </w:r>
          </w:p>
        </w:tc>
        <w:tc>
          <w:tcPr>
            <w:tcW w:type="dxa" w:w="1998"/>
          </w:tcPr>
          <w:p>
            <w:pPr>
              <w:spacing w:after="0" w:line="252" w:lineRule="auto"/>
            </w:pPr>
            <w:r>
              <w:rPr>
                <w:rFonts w:ascii="Calibri" w:hAnsi="Calibri"/>
                <w:b w:val="0"/>
                <w:i w:val="0"/>
                <w:color w:val="333333"/>
                <w:sz w:val="16"/>
              </w:rPr>
              <w:t xml:space="preserve">1.43.2 ; 1.44.2 du 9 septembre 2026, version 2.0 annoncée</w:t>
            </w:r>
          </w:p>
        </w:tc>
      </w:tr>
      <w:tr>
        <w:trPr>
          <w:cantSplit/>
        </w:trPr>
        <w:tc>
          <w:tcPr>
            <w:tcW w:type="dxa" w:w="1900"/>
          </w:tcPr>
          <w:p>
            <w:pPr>
              <w:spacing w:after="0" w:line="252" w:lineRule="auto"/>
            </w:pPr>
            <w:r>
              <w:rPr>
                <w:rFonts w:ascii="Calibri" w:hAnsi="Calibri"/>
                <w:b w:val="0"/>
                <w:i w:val="0"/>
                <w:color w:val="333333"/>
                <w:sz w:val="16"/>
              </w:rPr>
              <w:t xml:space="preserve">DuckDB</w:t>
            </w:r>
          </w:p>
        </w:tc>
        <w:tc>
          <w:tcPr>
            <w:tcW w:type="dxa" w:w="2000"/>
          </w:tcPr>
          <w:p>
            <w:pPr>
              <w:spacing w:after="0" w:line="252" w:lineRule="auto"/>
            </w:pPr>
            <w:r>
              <w:rPr>
                <w:rFonts w:ascii="Calibri" w:hAnsi="Calibri"/>
                <w:b w:val="0"/>
                <w:i w:val="0"/>
                <w:color w:val="333333"/>
                <w:sz w:val="16"/>
              </w:rPr>
              <w:t xml:space="preserve">Gros fichiers, requêtes SQL</w:t>
            </w:r>
          </w:p>
        </w:tc>
        <w:tc>
          <w:tcPr>
            <w:tcW w:type="dxa" w:w="3400"/>
          </w:tcPr>
          <w:p>
            <w:pPr>
              <w:spacing w:after="0" w:line="252" w:lineRule="auto"/>
            </w:pPr>
            <w:r>
              <w:rPr>
                <w:rFonts w:ascii="Calibri" w:hAnsi="Calibri"/>
                <w:b w:val="0"/>
                <w:i w:val="0"/>
                <w:color w:val="333333"/>
                <w:sz w:val="16"/>
              </w:rPr>
              <w:t xml:space="preserve">Python 3.10 ou plus, aucune dépendance ; savoir écrire du SQL</w:t>
            </w:r>
          </w:p>
        </w:tc>
        <w:tc>
          <w:tcPr>
            <w:tcW w:type="dxa" w:w="1998"/>
          </w:tcPr>
          <w:p>
            <w:pPr>
              <w:spacing w:after="0" w:line="252" w:lineRule="auto"/>
            </w:pPr>
            <w:r>
              <w:rPr>
                <w:rFonts w:ascii="Calibri" w:hAnsi="Calibri"/>
                <w:b w:val="0"/>
                <w:i w:val="0"/>
                <w:color w:val="333333"/>
                <w:sz w:val="16"/>
              </w:rPr>
              <w:t xml:space="preserve">1.5.5 ; 1.5.5, toujours la dernière</w:t>
            </w:r>
          </w:p>
        </w:tc>
      </w:tr>
      <w:tr>
        <w:trPr>
          <w:cantSplit/>
        </w:trPr>
        <w:tc>
          <w:tcPr>
            <w:tcW w:type="dxa" w:w="1900"/>
          </w:tcPr>
          <w:p>
            <w:pPr>
              <w:spacing w:after="0" w:line="252" w:lineRule="auto"/>
            </w:pPr>
            <w:r>
              <w:rPr>
                <w:rFonts w:ascii="Calibri" w:hAnsi="Calibri"/>
                <w:b w:val="0"/>
                <w:i w:val="0"/>
                <w:color w:val="333333"/>
                <w:sz w:val="16"/>
              </w:rPr>
              <w:t xml:space="preserve">Isolation Forest et Local Outlier Factor (scikit-learn)</w:t>
            </w:r>
          </w:p>
        </w:tc>
        <w:tc>
          <w:tcPr>
            <w:tcW w:type="dxa" w:w="2000"/>
          </w:tcPr>
          <w:p>
            <w:pPr>
              <w:spacing w:after="0" w:line="252" w:lineRule="auto"/>
            </w:pPr>
            <w:r>
              <w:rPr>
                <w:rFonts w:ascii="Calibri" w:hAnsi="Calibri"/>
                <w:b w:val="0"/>
                <w:i w:val="0"/>
                <w:color w:val="333333"/>
                <w:sz w:val="16"/>
              </w:rPr>
              <w:t xml:space="preserve">Alertes à faire valider par les achats</w:t>
            </w:r>
          </w:p>
        </w:tc>
        <w:tc>
          <w:tcPr>
            <w:tcW w:type="dxa" w:w="3400"/>
          </w:tcPr>
          <w:p>
            <w:pPr>
              <w:spacing w:after="0" w:line="252" w:lineRule="auto"/>
            </w:pPr>
            <w:r>
              <w:rPr>
                <w:rFonts w:ascii="Calibri" w:hAnsi="Calibri"/>
                <w:b w:val="0"/>
                <w:i w:val="0"/>
                <w:color w:val="333333"/>
                <w:sz w:val="16"/>
              </w:rPr>
              <w:t xml:space="preserve">Python 3.11 ou plus pour la version 1.9 ; fixer la graine, régler le taux d'alertes avec le métier ; pour Local Outlier Factor, standardiser et choisir le voisinage</w:t>
            </w:r>
          </w:p>
        </w:tc>
        <w:tc>
          <w:tcPr>
            <w:tcW w:type="dxa" w:w="1998"/>
          </w:tcPr>
          <w:p>
            <w:pPr>
              <w:spacing w:after="0" w:line="252" w:lineRule="auto"/>
            </w:pPr>
            <w:r>
              <w:rPr>
                <w:rFonts w:ascii="Calibri" w:hAnsi="Calibri"/>
                <w:b w:val="0"/>
                <w:i w:val="0"/>
                <w:color w:val="333333"/>
                <w:sz w:val="16"/>
              </w:rPr>
              <w:t xml:space="preserve">1.8.0 ; 1.9.1 du 10 septembre 2026</w:t>
            </w:r>
          </w:p>
        </w:tc>
      </w:tr>
      <w:tr>
        <w:trPr>
          <w:cantSplit/>
        </w:trPr>
        <w:tc>
          <w:tcPr>
            <w:tcW w:type="dxa" w:w="1900"/>
          </w:tcPr>
          <w:p>
            <w:pPr>
              <w:spacing w:after="0" w:line="252" w:lineRule="auto"/>
            </w:pPr>
            <w:r>
              <w:rPr>
                <w:rFonts w:ascii="Calibri" w:hAnsi="Calibri"/>
                <w:b w:val="0"/>
                <w:i w:val="0"/>
                <w:color w:val="333333"/>
                <w:sz w:val="16"/>
              </w:rPr>
              <w:t xml:space="preserve">SHAP</w:t>
            </w:r>
          </w:p>
        </w:tc>
        <w:tc>
          <w:tcPr>
            <w:tcW w:type="dxa" w:w="2000"/>
          </w:tcPr>
          <w:p>
            <w:pPr>
              <w:spacing w:after="0" w:line="252" w:lineRule="auto"/>
            </w:pPr>
            <w:r>
              <w:rPr>
                <w:rFonts w:ascii="Calibri" w:hAnsi="Calibri"/>
                <w:b w:val="0"/>
                <w:i w:val="0"/>
                <w:color w:val="333333"/>
                <w:sz w:val="16"/>
              </w:rPr>
              <w:t xml:space="preserve">Expliquer les ventes d'une référence</w:t>
            </w:r>
          </w:p>
        </w:tc>
        <w:tc>
          <w:tcPr>
            <w:tcW w:type="dxa" w:w="3400"/>
          </w:tcPr>
          <w:p>
            <w:pPr>
              <w:spacing w:after="0" w:line="252" w:lineRule="auto"/>
            </w:pPr>
            <w:r>
              <w:rPr>
                <w:rFonts w:ascii="Calibri" w:hAnsi="Calibri"/>
                <w:b w:val="0"/>
                <w:i w:val="0"/>
                <w:color w:val="333333"/>
                <w:sz w:val="16"/>
              </w:rPr>
              <w:t xml:space="preserve">Python 3.11 pour la 0.51, 3.12 pour la 0.52 ; un modèle entraîné et l'explicateur d'arbres</w:t>
            </w:r>
          </w:p>
        </w:tc>
        <w:tc>
          <w:tcPr>
            <w:tcW w:type="dxa" w:w="1998"/>
          </w:tcPr>
          <w:p>
            <w:pPr>
              <w:spacing w:after="0" w:line="252" w:lineRule="auto"/>
            </w:pPr>
            <w:r>
              <w:rPr>
                <w:rFonts w:ascii="Calibri" w:hAnsi="Calibri"/>
                <w:b w:val="0"/>
                <w:i w:val="0"/>
                <w:color w:val="333333"/>
                <w:sz w:val="16"/>
              </w:rPr>
              <w:t xml:space="preserve">0.51.0 ; 0.52.0 du 28 mai 2026</w:t>
            </w:r>
          </w:p>
        </w:tc>
      </w:tr>
      <w:tr>
        <w:trPr>
          <w:cantSplit/>
        </w:trPr>
        <w:tc>
          <w:tcPr>
            <w:tcW w:type="dxa" w:w="1900"/>
          </w:tcPr>
          <w:p>
            <w:pPr>
              <w:spacing w:after="0" w:line="252" w:lineRule="auto"/>
            </w:pPr>
            <w:r>
              <w:rPr>
                <w:rFonts w:ascii="Calibri" w:hAnsi="Calibri"/>
                <w:b w:val="0"/>
                <w:i w:val="0"/>
                <w:color w:val="333333"/>
                <w:sz w:val="16"/>
              </w:rPr>
              <w:t xml:space="preserve">Assistants d'IA (Claude, ChatGPT)</w:t>
            </w:r>
          </w:p>
        </w:tc>
        <w:tc>
          <w:tcPr>
            <w:tcW w:type="dxa" w:w="2000"/>
          </w:tcPr>
          <w:p>
            <w:pPr>
              <w:spacing w:after="0" w:line="252" w:lineRule="auto"/>
            </w:pPr>
            <w:r>
              <w:rPr>
                <w:rFonts w:ascii="Calibri" w:hAnsi="Calibri"/>
                <w:b w:val="0"/>
                <w:i w:val="0"/>
                <w:color w:val="333333"/>
                <w:sz w:val="16"/>
              </w:rPr>
              <w:t xml:space="preserve">Variantes de code, relecture, rédaction</w:t>
            </w:r>
          </w:p>
        </w:tc>
        <w:tc>
          <w:tcPr>
            <w:tcW w:type="dxa" w:w="3400"/>
          </w:tcPr>
          <w:p>
            <w:pPr>
              <w:spacing w:after="0" w:line="252" w:lineRule="auto"/>
            </w:pPr>
            <w:r>
              <w:rPr>
                <w:rFonts w:ascii="Calibri" w:hAnsi="Calibri"/>
                <w:b w:val="0"/>
                <w:i w:val="0"/>
                <w:color w:val="333333"/>
                <w:sz w:val="16"/>
              </w:rPr>
              <w:t xml:space="preserve">Un compte ; des règles : demandes sur le code et les schémas, relecture et exécution de chaque proposition, journal des essais</w:t>
            </w:r>
          </w:p>
        </w:tc>
        <w:tc>
          <w:tcPr>
            <w:tcW w:type="dxa" w:w="1998"/>
          </w:tcPr>
          <w:p>
            <w:pPr>
              <w:spacing w:after="0" w:line="252" w:lineRule="auto"/>
            </w:pPr>
            <w:r>
              <w:rPr>
                <w:rFonts w:ascii="Calibri" w:hAnsi="Calibri"/>
                <w:b w:val="0"/>
                <w:i w:val="0"/>
                <w:color w:val="333333"/>
                <w:sz w:val="16"/>
              </w:rPr>
              <w:t xml:space="preserve">Claude ; ChatGPT</w:t>
            </w:r>
          </w:p>
        </w:tc>
      </w:tr>
    </w:tbl>
    <w:p>
      <w:pPr>
        <w:pStyle w:val="Heading1"/>
      </w:pPr>
      <w:bookmarkStart w:id="7013" w:name="_TocP130013"/>
      <w:r>
        <w:t>4. Sources fiables, datées et hiérarchisées</w:t>
      </w:r>
      <w:bookmarkEnd w:id="7013"/>
    </w:p>
    <w:p>
      <w:r>
        <w:rPr>
          <w:rFonts w:ascii="Calibri" w:hAnsi="Calibri"/>
          <w:b w:val="0"/>
          <w:i w:val="0"/>
          <w:color w:val="333333"/>
          <w:sz w:val="21"/>
        </w:rPr>
        <w:t xml:space="preserve">Les seize sources ci-dessous sont nommées, datées et cliquables. Dix viennent du cadrage, deux sont suivies en continu (lettres et dépôts GitHub) et quatre ont été ajoutées le 25 septembre 2026. Toutes ont été vérifiées une à une ce jour-là : lien valide, version ou date constatée. Chacune porte son niveau de fiabilité : documentation officielle, article scientifique, benchmark public, donnée ouverte ou retour d'expérience. Cette hiérarchie évite de fonder une décision sur un billet de blog isolé.</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100"/>
        <w:gridCol w:w="1350"/>
        <w:gridCol w:w="2150"/>
        <w:gridCol w:w="1250"/>
        <w:gridCol w:w="2448"/>
      </w:tblGrid>
      <w:tr>
        <w:trPr>
          <w:cantSplit/>
          <w:tblHeader w:val="true"/>
        </w:trPr>
        <w:tc>
          <w:tcPr>
            <w:tcW w:type="dxa" w:w="2100"/>
            <w:shd w:val="clear" w:color="auto" w:fill="1F2937"/>
          </w:tcPr>
          <w:p>
            <w:pPr>
              <w:spacing w:after="0"/>
            </w:pPr>
            <w:r>
              <w:rPr>
                <w:rFonts w:ascii="Calibri" w:hAnsi="Calibri"/>
                <w:b/>
                <w:color w:val="FFFFFF"/>
                <w:sz w:val="17"/>
              </w:rPr>
              <w:t xml:space="preserve">Source</w:t>
            </w:r>
          </w:p>
        </w:tc>
        <w:tc>
          <w:tcPr>
            <w:tcW w:type="dxa" w:w="1350"/>
            <w:shd w:val="clear" w:color="auto" w:fill="1F2937"/>
          </w:tcPr>
          <w:p>
            <w:pPr>
              <w:spacing w:after="0"/>
            </w:pPr>
            <w:r>
              <w:rPr>
                <w:rFonts w:ascii="Calibri" w:hAnsi="Calibri"/>
                <w:b/>
                <w:color w:val="FFFFFF"/>
                <w:sz w:val="17"/>
              </w:rPr>
              <w:t xml:space="preserve">Niveau</w:t>
            </w:r>
          </w:p>
        </w:tc>
        <w:tc>
          <w:tcPr>
            <w:tcW w:type="dxa" w:w="2150"/>
            <w:shd w:val="clear" w:color="auto" w:fill="1F2937"/>
          </w:tcPr>
          <w:p>
            <w:pPr>
              <w:spacing w:after="0"/>
            </w:pPr>
            <w:r>
              <w:rPr>
                <w:rFonts w:ascii="Calibri" w:hAnsi="Calibri"/>
                <w:b/>
                <w:color w:val="FFFFFF"/>
                <w:sz w:val="17"/>
              </w:rPr>
              <w:t xml:space="preserve">Apport pour le projet</w:t>
            </w:r>
          </w:p>
        </w:tc>
        <w:tc>
          <w:tcPr>
            <w:tcW w:type="dxa" w:w="1250"/>
            <w:shd w:val="clear" w:color="auto" w:fill="1F2937"/>
          </w:tcPr>
          <w:p>
            <w:pPr>
              <w:spacing w:after="0"/>
            </w:pPr>
            <w:r>
              <w:rPr>
                <w:rFonts w:ascii="Calibri" w:hAnsi="Calibri"/>
                <w:b/>
                <w:color w:val="FFFFFF"/>
                <w:sz w:val="17"/>
              </w:rPr>
              <w:t xml:space="preserve">Vérifiée</w:t>
            </w:r>
          </w:p>
        </w:tc>
        <w:tc>
          <w:tcPr>
            <w:tcW w:type="dxa" w:w="2448"/>
            <w:shd w:val="clear" w:color="auto" w:fill="1F2937"/>
          </w:tcPr>
          <w:p>
            <w:pPr>
              <w:spacing w:after="0"/>
            </w:pPr>
            <w:r>
              <w:rPr>
                <w:rFonts w:ascii="Calibri" w:hAnsi="Calibri"/>
                <w:b/>
                <w:color w:val="FFFFFF"/>
                <w:sz w:val="17"/>
              </w:rPr>
              <w:t xml:space="preserve">Adresse</w:t>
            </w:r>
          </w:p>
        </w:tc>
      </w:tr>
      <w:tr>
        <w:trPr>
          <w:cantSplit/>
        </w:trPr>
        <w:tc>
          <w:tcPr>
            <w:tcW w:type="dxa" w:w="2100"/>
          </w:tcPr>
          <w:p>
            <w:pPr>
              <w:spacing w:after="0" w:line="252" w:lineRule="auto"/>
            </w:pPr>
            <w:r>
              <w:rPr>
                <w:rFonts w:ascii="Calibri" w:hAnsi="Calibri"/>
                <w:b w:val="0"/>
                <w:i w:val="0"/>
                <w:color w:val="333333"/>
                <w:sz w:val="17"/>
              </w:rPr>
              <w:t xml:space="preserve">Documentation officielle de Pandera</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Syntaxe des schémas, contrôles portant sur l'ensemble du tableau, rapport d'erreurs</w:t>
            </w:r>
          </w:p>
        </w:tc>
        <w:tc>
          <w:tcPr>
            <w:tcW w:type="dxa" w:w="1250"/>
          </w:tcPr>
          <w:p>
            <w:pPr>
              <w:spacing w:after="0" w:line="252" w:lineRule="auto"/>
            </w:pPr>
            <w:r>
              <w:rPr>
                <w:rFonts w:ascii="Calibri" w:hAnsi="Calibri"/>
                <w:b w:val="0"/>
                <w:i w:val="0"/>
                <w:color w:val="333333"/>
                <w:sz w:val="17"/>
              </w:rPr>
              <w:t xml:space="preserve">25/09/2026, version 0.33.1</w:t>
            </w:r>
          </w:p>
        </w:tc>
        <w:tc>
          <w:tcPr>
            <w:tcW w:type="dxa" w:w="2448"/>
          </w:tcPr>
          <w:p>
            <w:pPr>
              <w:spacing w:after="0" w:line="252" w:lineRule="auto"/>
            </w:pPr>
            <w:hyperlink r:id="rIdLien13" w:history="1">
              <w:r>
                <w:rPr>
                  <w:rFonts w:ascii="Calibri" w:hAnsi="Calibri"/>
                  <w:b w:val="0"/>
                  <w:i w:val="0"/>
                  <w:color w:val="1F5C99"/>
                  <w:sz w:val="17"/>
                  <w:u w:val="single"/>
                </w:rPr>
                <w:t xml:space="preserve">pandera.readthedocs.io</w:t>
              </w:r>
            </w:hyperlink>
          </w:p>
        </w:tc>
      </w:tr>
      <w:tr>
        <w:trPr>
          <w:cantSplit/>
        </w:trPr>
        <w:tc>
          <w:tcPr>
            <w:tcW w:type="dxa" w:w="2100"/>
          </w:tcPr>
          <w:p>
            <w:pPr>
              <w:spacing w:after="0" w:line="252" w:lineRule="auto"/>
            </w:pPr>
            <w:r>
              <w:rPr>
                <w:rFonts w:ascii="Calibri" w:hAnsi="Calibri"/>
                <w:b w:val="0"/>
                <w:i w:val="0"/>
                <w:color w:val="333333"/>
                <w:sz w:val="17"/>
              </w:rPr>
              <w:t xml:space="preserve">Great Expectations, premier essai et installation</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Étapes de mise en place, pour juger le coût d'installation face à Pandera</w:t>
            </w:r>
          </w:p>
        </w:tc>
        <w:tc>
          <w:tcPr>
            <w:tcW w:type="dxa" w:w="1250"/>
          </w:tcPr>
          <w:p>
            <w:pPr>
              <w:spacing w:after="0" w:line="252" w:lineRule="auto"/>
            </w:pPr>
            <w:r>
              <w:rPr>
                <w:rFonts w:ascii="Calibri" w:hAnsi="Calibri"/>
                <w:b w:val="0"/>
                <w:i w:val="0"/>
                <w:color w:val="333333"/>
                <w:sz w:val="17"/>
              </w:rPr>
              <w:t xml:space="preserve">25/09/2026, GX Core 1.23.1</w:t>
            </w:r>
          </w:p>
        </w:tc>
        <w:tc>
          <w:tcPr>
            <w:tcW w:type="dxa" w:w="2448"/>
          </w:tcPr>
          <w:p>
            <w:pPr>
              <w:spacing w:after="0" w:line="252" w:lineRule="auto"/>
            </w:pPr>
            <w:hyperlink r:id="rIdLien3" w:history="1">
              <w:r>
                <w:rPr>
                  <w:rFonts w:ascii="Calibri" w:hAnsi="Calibri"/>
                  <w:b w:val="0"/>
                  <w:i w:val="0"/>
                  <w:color w:val="1F5C99"/>
                  <w:sz w:val="17"/>
                  <w:u w:val="single"/>
                </w:rPr>
                <w:t xml:space="preserve">docs.greatexpectations.io</w:t>
              </w:r>
            </w:hyperlink>
          </w:p>
        </w:tc>
      </w:tr>
      <w:tr>
        <w:trPr>
          <w:cantSplit/>
        </w:trPr>
        <w:tc>
          <w:tcPr>
            <w:tcW w:type="dxa" w:w="2100"/>
          </w:tcPr>
          <w:p>
            <w:pPr>
              <w:spacing w:after="0" w:line="252" w:lineRule="auto"/>
            </w:pPr>
            <w:r>
              <w:rPr>
                <w:rFonts w:ascii="Calibri" w:hAnsi="Calibri"/>
                <w:b w:val="0"/>
                <w:i w:val="0"/>
                <w:color w:val="333333"/>
                <w:sz w:val="17"/>
              </w:rPr>
              <w:t xml:space="preserve">Documentation de Polars, guide utilisateur</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Exécution différée, expressions</w:t>
            </w:r>
          </w:p>
        </w:tc>
        <w:tc>
          <w:tcPr>
            <w:tcW w:type="dxa" w:w="1250"/>
          </w:tcPr>
          <w:p>
            <w:pPr>
              <w:spacing w:after="0" w:line="252" w:lineRule="auto"/>
            </w:pPr>
            <w:r>
              <w:rPr>
                <w:rFonts w:ascii="Calibri" w:hAnsi="Calibri"/>
                <w:b w:val="0"/>
                <w:i w:val="0"/>
                <w:color w:val="333333"/>
                <w:sz w:val="17"/>
              </w:rPr>
              <w:t xml:space="preserve">25/09/2026, version 1.44.2</w:t>
            </w:r>
          </w:p>
        </w:tc>
        <w:tc>
          <w:tcPr>
            <w:tcW w:type="dxa" w:w="2448"/>
          </w:tcPr>
          <w:p>
            <w:pPr>
              <w:spacing w:after="0" w:line="252" w:lineRule="auto"/>
            </w:pPr>
            <w:hyperlink r:id="rIdLien4" w:history="1">
              <w:r>
                <w:rPr>
                  <w:rFonts w:ascii="Calibri" w:hAnsi="Calibri"/>
                  <w:b w:val="0"/>
                  <w:i w:val="0"/>
                  <w:color w:val="1F5C99"/>
                  <w:sz w:val="17"/>
                  <w:u w:val="single"/>
                </w:rPr>
                <w:t xml:space="preserve">docs.pola.rs</w:t>
              </w:r>
            </w:hyperlink>
          </w:p>
        </w:tc>
      </w:tr>
      <w:tr>
        <w:trPr>
          <w:cantSplit/>
        </w:trPr>
        <w:tc>
          <w:tcPr>
            <w:tcW w:type="dxa" w:w="2100"/>
          </w:tcPr>
          <w:p>
            <w:pPr>
              <w:spacing w:after="0" w:line="252" w:lineRule="auto"/>
            </w:pPr>
            <w:r>
              <w:rPr>
                <w:rFonts w:ascii="Calibri" w:hAnsi="Calibri"/>
                <w:b w:val="0"/>
                <w:i w:val="0"/>
                <w:color w:val="333333"/>
                <w:sz w:val="17"/>
              </w:rPr>
              <w:t xml:space="preserve">Database-like ops benchmark, maintenu par DuckDB Labs (repris de H2O.ai)</w:t>
            </w:r>
          </w:p>
        </w:tc>
        <w:tc>
          <w:tcPr>
            <w:tcW w:type="dxa" w:w="1350"/>
          </w:tcPr>
          <w:p>
            <w:pPr>
              <w:spacing w:after="0" w:line="252" w:lineRule="auto"/>
            </w:pPr>
            <w:r>
              <w:rPr>
                <w:rFonts w:ascii="Calibri" w:hAnsi="Calibri"/>
                <w:b w:val="0"/>
                <w:i w:val="0"/>
                <w:color w:val="333333"/>
                <w:sz w:val="17"/>
              </w:rPr>
              <w:t xml:space="preserve">Benchmark public</w:t>
            </w:r>
          </w:p>
        </w:tc>
        <w:tc>
          <w:tcPr>
            <w:tcW w:type="dxa" w:w="2150"/>
          </w:tcPr>
          <w:p>
            <w:pPr>
              <w:spacing w:after="0" w:line="252" w:lineRule="auto"/>
            </w:pPr>
            <w:r>
              <w:rPr>
                <w:rFonts w:ascii="Calibri" w:hAnsi="Calibri"/>
                <w:b w:val="0"/>
                <w:i w:val="0"/>
                <w:color w:val="333333"/>
                <w:sz w:val="17"/>
              </w:rPr>
              <w:t xml:space="preserve">Ordres de grandeur sur les jointures et agrégations, à confronter à la mesure locale ; DuckDB Labs édite l'un des outils comparés</w:t>
            </w:r>
          </w:p>
        </w:tc>
        <w:tc>
          <w:tcPr>
            <w:tcW w:type="dxa" w:w="1250"/>
          </w:tcPr>
          <w:p>
            <w:pPr>
              <w:spacing w:after="0" w:line="252" w:lineRule="auto"/>
            </w:pPr>
            <w:r>
              <w:rPr>
                <w:rFonts w:ascii="Calibri" w:hAnsi="Calibri"/>
                <w:b w:val="0"/>
                <w:i w:val="0"/>
                <w:color w:val="333333"/>
                <w:sz w:val="17"/>
              </w:rPr>
              <w:t xml:space="preserve">25/09/2026</w:t>
            </w:r>
          </w:p>
        </w:tc>
        <w:tc>
          <w:tcPr>
            <w:tcW w:type="dxa" w:w="2448"/>
          </w:tcPr>
          <w:p>
            <w:pPr>
              <w:spacing w:after="0" w:line="252" w:lineRule="auto"/>
            </w:pPr>
            <w:hyperlink r:id="rIdLien7" w:history="1">
              <w:r>
                <w:rPr>
                  <w:rFonts w:ascii="Calibri" w:hAnsi="Calibri"/>
                  <w:b w:val="0"/>
                  <w:i w:val="0"/>
                  <w:color w:val="1F5C99"/>
                  <w:sz w:val="17"/>
                  <w:u w:val="single"/>
                </w:rPr>
                <w:t xml:space="preserve">duckdblabs.github.io/db-benchmark</w:t>
              </w:r>
            </w:hyperlink>
          </w:p>
        </w:tc>
      </w:tr>
      <w:tr>
        <w:trPr>
          <w:cantSplit/>
        </w:trPr>
        <w:tc>
          <w:tcPr>
            <w:tcW w:type="dxa" w:w="2100"/>
          </w:tcPr>
          <w:p>
            <w:pPr>
              <w:spacing w:after="0" w:line="252" w:lineRule="auto"/>
            </w:pPr>
            <w:r>
              <w:rPr>
                <w:rFonts w:ascii="Calibri" w:hAnsi="Calibri"/>
                <w:b w:val="0"/>
                <w:i w:val="0"/>
                <w:color w:val="333333"/>
                <w:sz w:val="17"/>
              </w:rPr>
              <w:t xml:space="preserve">Documentation de DuckDB</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Usage analytique embarqué, lecture directe de fichiers</w:t>
            </w:r>
          </w:p>
        </w:tc>
        <w:tc>
          <w:tcPr>
            <w:tcW w:type="dxa" w:w="1250"/>
          </w:tcPr>
          <w:p>
            <w:pPr>
              <w:spacing w:after="0" w:line="252" w:lineRule="auto"/>
            </w:pPr>
            <w:r>
              <w:rPr>
                <w:rFonts w:ascii="Calibri" w:hAnsi="Calibri"/>
                <w:b w:val="0"/>
                <w:i w:val="0"/>
                <w:color w:val="333333"/>
                <w:sz w:val="17"/>
              </w:rPr>
              <w:t xml:space="preserve">25/09/2026, version 1.5</w:t>
            </w:r>
          </w:p>
        </w:tc>
        <w:tc>
          <w:tcPr>
            <w:tcW w:type="dxa" w:w="2448"/>
          </w:tcPr>
          <w:p>
            <w:pPr>
              <w:spacing w:after="0" w:line="252" w:lineRule="auto"/>
            </w:pPr>
            <w:hyperlink r:id="rIdLien5" w:history="1">
              <w:r>
                <w:rPr>
                  <w:rFonts w:ascii="Calibri" w:hAnsi="Calibri"/>
                  <w:b w:val="0"/>
                  <w:i w:val="0"/>
                  <w:color w:val="1F5C99"/>
                  <w:sz w:val="17"/>
                  <w:u w:val="single"/>
                </w:rPr>
                <w:t xml:space="preserve">duckdb.org/docs</w:t>
              </w:r>
            </w:hyperlink>
          </w:p>
        </w:tc>
      </w:tr>
      <w:tr>
        <w:trPr>
          <w:cantSplit/>
        </w:trPr>
        <w:tc>
          <w:tcPr>
            <w:tcW w:type="dxa" w:w="2100"/>
          </w:tcPr>
          <w:p>
            <w:pPr>
              <w:spacing w:after="0" w:line="252" w:lineRule="auto"/>
            </w:pPr>
            <w:r>
              <w:rPr>
                <w:rFonts w:ascii="Calibri" w:hAnsi="Calibri"/>
                <w:b w:val="0"/>
                <w:i w:val="0"/>
                <w:color w:val="333333"/>
                <w:sz w:val="17"/>
              </w:rPr>
              <w:t xml:space="preserve">scikit-learn 1.8, guide Novelty and Outlier Detection, Isolation Forest</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Principe de l'isolation, réglage du taux d'anomalies attendu</w:t>
            </w:r>
          </w:p>
        </w:tc>
        <w:tc>
          <w:tcPr>
            <w:tcW w:type="dxa" w:w="1250"/>
          </w:tcPr>
          <w:p>
            <w:pPr>
              <w:spacing w:after="0" w:line="252" w:lineRule="auto"/>
            </w:pPr>
            <w:r>
              <w:rPr>
                <w:rFonts w:ascii="Calibri" w:hAnsi="Calibri"/>
                <w:b w:val="0"/>
                <w:i w:val="0"/>
                <w:color w:val="333333"/>
                <w:sz w:val="17"/>
              </w:rPr>
              <w:t xml:space="preserve">25/09/2026, page de la version du notebook</w:t>
            </w:r>
          </w:p>
        </w:tc>
        <w:tc>
          <w:tcPr>
            <w:tcW w:type="dxa" w:w="2448"/>
          </w:tcPr>
          <w:p>
            <w:pPr>
              <w:spacing w:after="0" w:line="252" w:lineRule="auto"/>
            </w:pPr>
            <w:hyperlink r:id="rIdLien15" w:history="1">
              <w:r>
                <w:rPr>
                  <w:rFonts w:ascii="Calibri" w:hAnsi="Calibri"/>
                  <w:b w:val="0"/>
                  <w:i w:val="0"/>
                  <w:color w:val="1F5C99"/>
                  <w:sz w:val="17"/>
                  <w:u w:val="single"/>
                </w:rPr>
                <w:t xml:space="preserve">scikit-learn.org/1.8</w:t>
              </w:r>
            </w:hyperlink>
          </w:p>
        </w:tc>
      </w:tr>
      <w:tr>
        <w:trPr>
          <w:cantSplit/>
        </w:trPr>
        <w:tc>
          <w:tcPr>
            <w:tcW w:type="dxa" w:w="2100"/>
          </w:tcPr>
          <w:p>
            <w:pPr>
              <w:spacing w:after="0" w:line="252" w:lineRule="auto"/>
            </w:pPr>
            <w:r>
              <w:rPr>
                <w:rFonts w:ascii="Calibri" w:hAnsi="Calibri"/>
                <w:b w:val="0"/>
                <w:i w:val="0"/>
                <w:color w:val="333333"/>
                <w:sz w:val="17"/>
              </w:rPr>
              <w:t xml:space="preserve">Même guide, Local Outlier Factor</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Sensibilité au voisinage (20 voisins par défaut)</w:t>
            </w:r>
          </w:p>
        </w:tc>
        <w:tc>
          <w:tcPr>
            <w:tcW w:type="dxa" w:w="1250"/>
          </w:tcPr>
          <w:p>
            <w:pPr>
              <w:spacing w:after="0" w:line="252" w:lineRule="auto"/>
            </w:pPr>
            <w:r>
              <w:rPr>
                <w:rFonts w:ascii="Calibri" w:hAnsi="Calibri"/>
                <w:b w:val="0"/>
                <w:i w:val="0"/>
                <w:color w:val="333333"/>
                <w:sz w:val="17"/>
              </w:rPr>
              <w:t xml:space="preserve">25/09/2026</w:t>
            </w:r>
          </w:p>
        </w:tc>
        <w:tc>
          <w:tcPr>
            <w:tcW w:type="dxa" w:w="2448"/>
          </w:tcPr>
          <w:p>
            <w:pPr>
              <w:spacing w:after="0" w:line="252" w:lineRule="auto"/>
            </w:pPr>
            <w:hyperlink r:id="rIdLien15" w:history="1">
              <w:r>
                <w:rPr>
                  <w:rFonts w:ascii="Calibri" w:hAnsi="Calibri"/>
                  <w:b w:val="0"/>
                  <w:i w:val="0"/>
                  <w:color w:val="1F5C99"/>
                  <w:sz w:val="17"/>
                  <w:u w:val="single"/>
                </w:rPr>
                <w:t xml:space="preserve">scikit-learn.org/1.8</w:t>
              </w:r>
            </w:hyperlink>
          </w:p>
        </w:tc>
      </w:tr>
      <w:tr>
        <w:trPr>
          <w:cantSplit/>
        </w:trPr>
        <w:tc>
          <w:tcPr>
            <w:tcW w:type="dxa" w:w="2100"/>
          </w:tcPr>
          <w:p>
            <w:pPr>
              <w:spacing w:after="0" w:line="252" w:lineRule="auto"/>
            </w:pPr>
            <w:r>
              <w:rPr>
                <w:rFonts w:ascii="Calibri" w:hAnsi="Calibri"/>
                <w:b w:val="0"/>
                <w:i w:val="0"/>
                <w:color w:val="333333"/>
                <w:sz w:val="17"/>
              </w:rPr>
              <w:t xml:space="preserve">Documentation de SHAP, version stable</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Valeurs de Shapley, explicateur dédié aux modèles d'arbres</w:t>
            </w:r>
          </w:p>
        </w:tc>
        <w:tc>
          <w:tcPr>
            <w:tcW w:type="dxa" w:w="1250"/>
          </w:tcPr>
          <w:p>
            <w:pPr>
              <w:spacing w:after="0" w:line="252" w:lineRule="auto"/>
            </w:pPr>
            <w:r>
              <w:rPr>
                <w:rFonts w:ascii="Calibri" w:hAnsi="Calibri"/>
                <w:b w:val="0"/>
                <w:i w:val="0"/>
                <w:color w:val="333333"/>
                <w:sz w:val="17"/>
              </w:rPr>
              <w:t xml:space="preserve">25/09/2026, version 0.52.0</w:t>
            </w:r>
          </w:p>
        </w:tc>
        <w:tc>
          <w:tcPr>
            <w:tcW w:type="dxa" w:w="2448"/>
          </w:tcPr>
          <w:p>
            <w:pPr>
              <w:spacing w:after="0" w:line="252" w:lineRule="auto"/>
            </w:pPr>
            <w:hyperlink r:id="rIdLien18" w:history="1">
              <w:r>
                <w:rPr>
                  <w:rFonts w:ascii="Calibri" w:hAnsi="Calibri"/>
                  <w:b w:val="0"/>
                  <w:i w:val="0"/>
                  <w:color w:val="1F5C99"/>
                  <w:sz w:val="17"/>
                  <w:u w:val="single"/>
                </w:rPr>
                <w:t xml:space="preserve">shap.readthedocs.io</w:t>
              </w:r>
            </w:hyperlink>
          </w:p>
        </w:tc>
      </w:tr>
      <w:tr>
        <w:trPr>
          <w:cantSplit/>
        </w:trPr>
        <w:tc>
          <w:tcPr>
            <w:tcW w:type="dxa" w:w="2100"/>
          </w:tcPr>
          <w:p>
            <w:pPr>
              <w:spacing w:after="0" w:line="252" w:lineRule="auto"/>
            </w:pPr>
            <w:r>
              <w:rPr>
                <w:rFonts w:ascii="Calibri" w:hAnsi="Calibri"/>
                <w:b w:val="0"/>
                <w:i w:val="0"/>
                <w:color w:val="333333"/>
                <w:sz w:val="17"/>
              </w:rPr>
              <w:t xml:space="preserve">Lundberg et Lee, A Unified Approach to Interpreting Model Predictions, NIPS 2017</w:t>
            </w:r>
          </w:p>
        </w:tc>
        <w:tc>
          <w:tcPr>
            <w:tcW w:type="dxa" w:w="1350"/>
          </w:tcPr>
          <w:p>
            <w:pPr>
              <w:spacing w:after="0" w:line="252" w:lineRule="auto"/>
            </w:pPr>
            <w:r>
              <w:rPr>
                <w:rFonts w:ascii="Calibri" w:hAnsi="Calibri"/>
                <w:b w:val="0"/>
                <w:i w:val="0"/>
                <w:color w:val="333333"/>
                <w:sz w:val="17"/>
              </w:rPr>
              <w:t xml:space="preserve">Article scientifique</w:t>
            </w:r>
          </w:p>
        </w:tc>
        <w:tc>
          <w:tcPr>
            <w:tcW w:type="dxa" w:w="2150"/>
          </w:tcPr>
          <w:p>
            <w:pPr>
              <w:spacing w:after="0" w:line="252" w:lineRule="auto"/>
            </w:pPr>
            <w:r>
              <w:rPr>
                <w:rFonts w:ascii="Calibri" w:hAnsi="Calibri"/>
                <w:b w:val="0"/>
                <w:i w:val="0"/>
                <w:color w:val="333333"/>
                <w:sz w:val="17"/>
              </w:rPr>
              <w:t xml:space="preserve">Fondement théorique de la méthode retenue</w:t>
            </w:r>
          </w:p>
        </w:tc>
        <w:tc>
          <w:tcPr>
            <w:tcW w:type="dxa" w:w="1250"/>
          </w:tcPr>
          <w:p>
            <w:pPr>
              <w:spacing w:after="0" w:line="252" w:lineRule="auto"/>
            </w:pPr>
            <w:r>
              <w:rPr>
                <w:rFonts w:ascii="Calibri" w:hAnsi="Calibri"/>
                <w:b w:val="0"/>
                <w:i w:val="0"/>
                <w:color w:val="333333"/>
                <w:sz w:val="17"/>
              </w:rPr>
              <w:t xml:space="preserve">25/09/2026</w:t>
            </w:r>
          </w:p>
        </w:tc>
        <w:tc>
          <w:tcPr>
            <w:tcW w:type="dxa" w:w="2448"/>
          </w:tcPr>
          <w:p>
            <w:pPr>
              <w:spacing w:after="0" w:line="252" w:lineRule="auto"/>
            </w:pPr>
            <w:hyperlink r:id="rIdLien1" w:history="1">
              <w:r>
                <w:rPr>
                  <w:rFonts w:ascii="Calibri" w:hAnsi="Calibri"/>
                  <w:b w:val="0"/>
                  <w:i w:val="0"/>
                  <w:color w:val="1F5C99"/>
                  <w:sz w:val="17"/>
                  <w:u w:val="single"/>
                </w:rPr>
                <w:t xml:space="preserve">arxiv.org/abs/1705.07874</w:t>
              </w:r>
            </w:hyperlink>
          </w:p>
        </w:tc>
      </w:tr>
      <w:tr>
        <w:trPr>
          <w:cantSplit/>
        </w:trPr>
        <w:tc>
          <w:tcPr>
            <w:tcW w:type="dxa" w:w="2100"/>
          </w:tcPr>
          <w:p>
            <w:pPr>
              <w:spacing w:after="0" w:line="252" w:lineRule="auto"/>
            </w:pPr>
            <w:r>
              <w:rPr>
                <w:rFonts w:ascii="Calibri" w:hAnsi="Calibri"/>
                <w:b w:val="0"/>
                <w:i w:val="0"/>
                <w:color w:val="333333"/>
                <w:sz w:val="17"/>
              </w:rPr>
              <w:t xml:space="preserve">CNIL, « Les questions-réponses de la CNIL sur l'utilisation d'un système d'IA générative », 2024</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Règles d'usage des assistants d'IA, données qu'on peut leur confier</w:t>
            </w:r>
          </w:p>
        </w:tc>
        <w:tc>
          <w:tcPr>
            <w:tcW w:type="dxa" w:w="1250"/>
          </w:tcPr>
          <w:p>
            <w:pPr>
              <w:spacing w:after="0" w:line="252" w:lineRule="auto"/>
            </w:pPr>
            <w:r>
              <w:rPr>
                <w:rFonts w:ascii="Calibri" w:hAnsi="Calibri"/>
                <w:b w:val="0"/>
                <w:i w:val="0"/>
                <w:color w:val="333333"/>
                <w:sz w:val="17"/>
              </w:rPr>
              <w:t xml:space="preserve">25/09/2026</w:t>
            </w:r>
          </w:p>
        </w:tc>
        <w:tc>
          <w:tcPr>
            <w:tcW w:type="dxa" w:w="2448"/>
          </w:tcPr>
          <w:p>
            <w:pPr>
              <w:spacing w:after="0" w:line="252" w:lineRule="auto"/>
            </w:pPr>
            <w:hyperlink r:id="rIdLien21" w:history="1">
              <w:r>
                <w:rPr>
                  <w:rFonts w:ascii="Calibri" w:hAnsi="Calibri"/>
                  <w:b w:val="0"/>
                  <w:i w:val="0"/>
                  <w:color w:val="1F5C99"/>
                  <w:sz w:val="17"/>
                  <w:u w:val="single"/>
                </w:rPr>
                <w:t xml:space="preserve">cnil.fr, IA générative</w:t>
              </w:r>
            </w:hyperlink>
          </w:p>
        </w:tc>
      </w:tr>
      <w:tr>
        <w:trPr>
          <w:cantSplit/>
        </w:trPr>
        <w:tc>
          <w:tcPr>
            <w:tcW w:type="dxa" w:w="2100"/>
          </w:tcPr>
          <w:p>
            <w:pPr>
              <w:spacing w:after="0" w:line="252" w:lineRule="auto"/>
            </w:pPr>
            <w:r>
              <w:rPr>
                <w:rFonts w:ascii="Calibri" w:hAnsi="Calibri"/>
                <w:b w:val="0"/>
                <w:i w:val="0"/>
                <w:color w:val="333333"/>
                <w:sz w:val="17"/>
              </w:rPr>
              <w:t xml:space="preserve">CNIL, page thématique « Intelligence artificielle »</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Actualités et recommandations sur l'IA et le RGPD</w:t>
            </w:r>
          </w:p>
        </w:tc>
        <w:tc>
          <w:tcPr>
            <w:tcW w:type="dxa" w:w="1250"/>
          </w:tcPr>
          <w:p>
            <w:pPr>
              <w:spacing w:after="0" w:line="252" w:lineRule="auto"/>
            </w:pPr>
            <w:r>
              <w:rPr>
                <w:rFonts w:ascii="Calibri" w:hAnsi="Calibri"/>
                <w:b w:val="0"/>
                <w:i w:val="0"/>
                <w:color w:val="333333"/>
                <w:sz w:val="17"/>
              </w:rPr>
              <w:t xml:space="preserve">25/09/2026</w:t>
            </w:r>
          </w:p>
        </w:tc>
        <w:tc>
          <w:tcPr>
            <w:tcW w:type="dxa" w:w="2448"/>
          </w:tcPr>
          <w:p>
            <w:pPr>
              <w:spacing w:after="0" w:line="252" w:lineRule="auto"/>
            </w:pPr>
            <w:hyperlink r:id="rIdLien20" w:history="1">
              <w:r>
                <w:rPr>
                  <w:rFonts w:ascii="Calibri" w:hAnsi="Calibri"/>
                  <w:b w:val="0"/>
                  <w:i w:val="0"/>
                  <w:color w:val="1F5C99"/>
                  <w:sz w:val="17"/>
                  <w:u w:val="single"/>
                </w:rPr>
                <w:t xml:space="preserve">cnil.fr/fr/intelligence-artificielle</w:t>
              </w:r>
            </w:hyperlink>
          </w:p>
        </w:tc>
      </w:tr>
      <w:tr>
        <w:trPr>
          <w:cantSplit/>
        </w:trPr>
        <w:tc>
          <w:tcPr>
            <w:tcW w:type="dxa" w:w="2100"/>
          </w:tcPr>
          <w:p>
            <w:pPr>
              <w:spacing w:after="0" w:line="252" w:lineRule="auto"/>
            </w:pPr>
            <w:r>
              <w:rPr>
                <w:rFonts w:ascii="Calibri" w:hAnsi="Calibri"/>
                <w:b w:val="0"/>
                <w:i w:val="0"/>
                <w:color w:val="333333"/>
                <w:sz w:val="17"/>
              </w:rPr>
              <w:t xml:space="preserve">Lettres Data Elixir et Python Weekly (chaque semaine), TLDR Data (deux fois par semaine)</w:t>
            </w:r>
          </w:p>
        </w:tc>
        <w:tc>
          <w:tcPr>
            <w:tcW w:type="dxa" w:w="1350"/>
          </w:tcPr>
          <w:p>
            <w:pPr>
              <w:spacing w:after="0" w:line="252" w:lineRule="auto"/>
            </w:pPr>
            <w:r>
              <w:rPr>
                <w:rFonts w:ascii="Calibri" w:hAnsi="Calibri"/>
                <w:b w:val="0"/>
                <w:i w:val="0"/>
                <w:color w:val="333333"/>
                <w:sz w:val="17"/>
              </w:rPr>
              <w:t xml:space="preserve">Retour d'expérience</w:t>
            </w:r>
          </w:p>
        </w:tc>
        <w:tc>
          <w:tcPr>
            <w:tcW w:type="dxa" w:w="2150"/>
          </w:tcPr>
          <w:p>
            <w:pPr>
              <w:spacing w:after="0" w:line="252" w:lineRule="auto"/>
            </w:pPr>
            <w:r>
              <w:rPr>
                <w:rFonts w:ascii="Calibri" w:hAnsi="Calibri"/>
                <w:b w:val="0"/>
                <w:i w:val="0"/>
                <w:color w:val="333333"/>
                <w:sz w:val="17"/>
              </w:rPr>
              <w:t xml:space="preserve">Tendances de l'outillage, signaux faibles</w:t>
            </w:r>
          </w:p>
        </w:tc>
        <w:tc>
          <w:tcPr>
            <w:tcW w:type="dxa" w:w="1250"/>
          </w:tcPr>
          <w:p>
            <w:pPr>
              <w:spacing w:after="0" w:line="252" w:lineRule="auto"/>
            </w:pPr>
            <w:r>
              <w:rPr>
                <w:rFonts w:ascii="Calibri" w:hAnsi="Calibri"/>
                <w:b w:val="0"/>
                <w:i w:val="0"/>
                <w:color w:val="333333"/>
                <w:sz w:val="17"/>
              </w:rPr>
              <w:t xml:space="preserve">En continu ; 25/09/2026</w:t>
            </w:r>
          </w:p>
        </w:tc>
        <w:tc>
          <w:tcPr>
            <w:tcW w:type="dxa" w:w="2448"/>
          </w:tcPr>
          <w:p>
            <w:pPr>
              <w:spacing w:after="0" w:line="252" w:lineRule="auto"/>
            </w:pPr>
            <w:hyperlink r:id="rIdLien2" w:history="1">
              <w:r>
                <w:rPr>
                  <w:rFonts w:ascii="Calibri" w:hAnsi="Calibri"/>
                  <w:b w:val="0"/>
                  <w:i w:val="0"/>
                  <w:color w:val="1F5C99"/>
                  <w:sz w:val="17"/>
                  <w:u w:val="single"/>
                </w:rPr>
                <w:t xml:space="preserve">dataelixir.com</w:t>
              </w:r>
            </w:hyperlink>
            <w:r>
              <w:rPr>
                <w:rFonts w:ascii="Calibri" w:hAnsi="Calibri"/>
                <w:b w:val="0"/>
                <w:i w:val="0"/>
                <w:color w:val="333333"/>
                <w:sz w:val="17"/>
              </w:rPr>
              <w:t xml:space="preserve">, </w:t>
            </w:r>
            <w:hyperlink r:id="rIdLien28" w:history="1">
              <w:r>
                <w:rPr>
                  <w:rFonts w:ascii="Calibri" w:hAnsi="Calibri"/>
                  <w:b w:val="0"/>
                  <w:i w:val="0"/>
                  <w:color w:val="1F5C99"/>
                  <w:sz w:val="17"/>
                  <w:u w:val="single"/>
                </w:rPr>
                <w:t xml:space="preserve">pythonweekly.com</w:t>
              </w:r>
            </w:hyperlink>
            <w:r>
              <w:rPr>
                <w:rFonts w:ascii="Calibri" w:hAnsi="Calibri"/>
                <w:b w:val="0"/>
                <w:i w:val="0"/>
                <w:color w:val="333333"/>
                <w:sz w:val="17"/>
              </w:rPr>
              <w:t xml:space="preserve">, </w:t>
            </w:r>
            <w:hyperlink r:id="rIdLien19" w:history="1">
              <w:r>
                <w:rPr>
                  <w:rFonts w:ascii="Calibri" w:hAnsi="Calibri"/>
                  <w:b w:val="0"/>
                  <w:i w:val="0"/>
                  <w:color w:val="1F5C99"/>
                  <w:sz w:val="17"/>
                  <w:u w:val="single"/>
                </w:rPr>
                <w:t xml:space="preserve">tldr.tech/data</w:t>
              </w:r>
            </w:hyperlink>
          </w:p>
        </w:tc>
      </w:tr>
      <w:tr>
        <w:trPr>
          <w:cantSplit/>
        </w:trPr>
        <w:tc>
          <w:tcPr>
            <w:tcW w:type="dxa" w:w="2100"/>
          </w:tcPr>
          <w:p>
            <w:pPr>
              <w:spacing w:after="0" w:line="252" w:lineRule="auto"/>
            </w:pPr>
            <w:r>
              <w:rPr>
                <w:rFonts w:ascii="Calibri" w:hAnsi="Calibri"/>
                <w:b w:val="0"/>
                <w:i w:val="0"/>
                <w:color w:val="333333"/>
                <w:sz w:val="17"/>
              </w:rPr>
              <w:t xml:space="preserve">Dépôts GitHub de pandera, polars, duckdb et shap</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Rythme des versions, ruptures annoncées</w:t>
            </w:r>
          </w:p>
        </w:tc>
        <w:tc>
          <w:tcPr>
            <w:tcW w:type="dxa" w:w="1250"/>
          </w:tcPr>
          <w:p>
            <w:pPr>
              <w:spacing w:after="0" w:line="252" w:lineRule="auto"/>
            </w:pPr>
            <w:r>
              <w:rPr>
                <w:rFonts w:ascii="Calibri" w:hAnsi="Calibri"/>
                <w:b w:val="0"/>
                <w:i w:val="0"/>
                <w:color w:val="333333"/>
                <w:sz w:val="17"/>
              </w:rPr>
              <w:t xml:space="preserve">En continu ; 25/09/2026</w:t>
            </w:r>
          </w:p>
        </w:tc>
        <w:tc>
          <w:tcPr>
            <w:tcW w:type="dxa" w:w="2448"/>
          </w:tcPr>
          <w:p>
            <w:pPr>
              <w:spacing w:after="0" w:line="252" w:lineRule="auto"/>
            </w:pPr>
            <w:hyperlink r:id="rIdLien11" w:history="1">
              <w:r>
                <w:rPr>
                  <w:rFonts w:ascii="Calibri" w:hAnsi="Calibri"/>
                  <w:b w:val="0"/>
                  <w:i w:val="0"/>
                  <w:color w:val="1F5C99"/>
                  <w:sz w:val="17"/>
                  <w:u w:val="single"/>
                </w:rPr>
                <w:t xml:space="preserve">pandera</w:t>
              </w:r>
            </w:hyperlink>
            <w:r>
              <w:rPr>
                <w:rFonts w:ascii="Calibri" w:hAnsi="Calibri"/>
                <w:b w:val="0"/>
                <w:i w:val="0"/>
                <w:color w:val="333333"/>
                <w:sz w:val="17"/>
              </w:rPr>
              <w:t xml:space="preserve">, </w:t>
            </w:r>
            <w:hyperlink r:id="rIdLien9" w:history="1">
              <w:r>
                <w:rPr>
                  <w:rFonts w:ascii="Calibri" w:hAnsi="Calibri"/>
                  <w:b w:val="0"/>
                  <w:i w:val="0"/>
                  <w:color w:val="1F5C99"/>
                  <w:sz w:val="17"/>
                  <w:u w:val="single"/>
                </w:rPr>
                <w:t xml:space="preserve">polars</w:t>
              </w:r>
            </w:hyperlink>
            <w:r>
              <w:rPr>
                <w:rFonts w:ascii="Calibri" w:hAnsi="Calibri"/>
                <w:b w:val="0"/>
                <w:i w:val="0"/>
                <w:color w:val="333333"/>
                <w:sz w:val="17"/>
              </w:rPr>
              <w:t xml:space="preserve">, </w:t>
            </w:r>
            <w:hyperlink r:id="rIdLien8" w:history="1">
              <w:r>
                <w:rPr>
                  <w:rFonts w:ascii="Calibri" w:hAnsi="Calibri"/>
                  <w:b w:val="0"/>
                  <w:i w:val="0"/>
                  <w:color w:val="1F5C99"/>
                  <w:sz w:val="17"/>
                  <w:u w:val="single"/>
                </w:rPr>
                <w:t xml:space="preserve">duckdb</w:t>
              </w:r>
            </w:hyperlink>
            <w:r>
              <w:rPr>
                <w:rFonts w:ascii="Calibri" w:hAnsi="Calibri"/>
                <w:b w:val="0"/>
                <w:i w:val="0"/>
                <w:color w:val="333333"/>
                <w:sz w:val="17"/>
              </w:rPr>
              <w:t xml:space="preserve">, </w:t>
            </w:r>
            <w:hyperlink r:id="rIdLien10" w:history="1">
              <w:r>
                <w:rPr>
                  <w:rFonts w:ascii="Calibri" w:hAnsi="Calibri"/>
                  <w:b w:val="0"/>
                  <w:i w:val="0"/>
                  <w:color w:val="1F5C99"/>
                  <w:sz w:val="17"/>
                  <w:u w:val="single"/>
                </w:rPr>
                <w:t xml:space="preserve">shap</w:t>
              </w:r>
            </w:hyperlink>
          </w:p>
        </w:tc>
      </w:tr>
      <w:tr>
        <w:trPr>
          <w:cantSplit/>
        </w:trPr>
        <w:tc>
          <w:tcPr>
            <w:tcW w:type="dxa" w:w="2100"/>
          </w:tcPr>
          <w:p>
            <w:pPr>
              <w:spacing w:after="0" w:line="252" w:lineRule="auto"/>
            </w:pPr>
            <w:r>
              <w:rPr>
                <w:rFonts w:ascii="Calibri" w:hAnsi="Calibri"/>
                <w:b w:val="0"/>
                <w:i w:val="0"/>
                <w:color w:val="333333"/>
                <w:sz w:val="17"/>
              </w:rPr>
              <w:t xml:space="preserve">Blogs de Polars et de DuckDB</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Annonces de versions et de fonctions</w:t>
            </w:r>
          </w:p>
        </w:tc>
        <w:tc>
          <w:tcPr>
            <w:tcW w:type="dxa" w:w="1250"/>
          </w:tcPr>
          <w:p>
            <w:pPr>
              <w:spacing w:after="0" w:line="252" w:lineRule="auto"/>
            </w:pPr>
            <w:r>
              <w:rPr>
                <w:rFonts w:ascii="Calibri" w:hAnsi="Calibri"/>
                <w:b w:val="0"/>
                <w:i w:val="0"/>
                <w:color w:val="333333"/>
                <w:sz w:val="17"/>
              </w:rPr>
              <w:t xml:space="preserve">25/09/2026, billets des 17 et 22 septembre</w:t>
            </w:r>
          </w:p>
        </w:tc>
        <w:tc>
          <w:tcPr>
            <w:tcW w:type="dxa" w:w="2448"/>
          </w:tcPr>
          <w:p>
            <w:pPr>
              <w:spacing w:after="0" w:line="252" w:lineRule="auto"/>
            </w:pPr>
            <w:hyperlink r:id="rIdLien14" w:history="1">
              <w:r>
                <w:rPr>
                  <w:rFonts w:ascii="Calibri" w:hAnsi="Calibri"/>
                  <w:b w:val="0"/>
                  <w:i w:val="0"/>
                  <w:color w:val="1F5C99"/>
                  <w:sz w:val="17"/>
                  <w:u w:val="single"/>
                </w:rPr>
                <w:t xml:space="preserve">pola.rs/posts</w:t>
              </w:r>
            </w:hyperlink>
            <w:r>
              <w:rPr>
                <w:rFonts w:ascii="Calibri" w:hAnsi="Calibri"/>
                <w:b w:val="0"/>
                <w:i w:val="0"/>
                <w:color w:val="333333"/>
                <w:sz w:val="17"/>
              </w:rPr>
              <w:t xml:space="preserve">, </w:t>
            </w:r>
            <w:hyperlink r:id="rIdLien6" w:history="1">
              <w:r>
                <w:rPr>
                  <w:rFonts w:ascii="Calibri" w:hAnsi="Calibri"/>
                  <w:b w:val="0"/>
                  <w:i w:val="0"/>
                  <w:color w:val="1F5C99"/>
                  <w:sz w:val="17"/>
                  <w:u w:val="single"/>
                </w:rPr>
                <w:t xml:space="preserve">duckdb.org/news</w:t>
              </w:r>
            </w:hyperlink>
          </w:p>
        </w:tc>
      </w:tr>
      <w:tr>
        <w:trPr>
          <w:cantSplit/>
        </w:trPr>
        <w:tc>
          <w:tcPr>
            <w:tcW w:type="dxa" w:w="2100"/>
          </w:tcPr>
          <w:p>
            <w:pPr>
              <w:spacing w:after="0" w:line="252" w:lineRule="auto"/>
            </w:pPr>
            <w:r>
              <w:rPr>
                <w:rFonts w:ascii="Calibri" w:hAnsi="Calibri"/>
                <w:b w:val="0"/>
                <w:i w:val="0"/>
                <w:color w:val="333333"/>
                <w:sz w:val="17"/>
              </w:rPr>
              <w:t xml:space="preserve">Notes de version de pandas, scikit-learn et shap</w:t>
            </w:r>
          </w:p>
        </w:tc>
        <w:tc>
          <w:tcPr>
            <w:tcW w:type="dxa" w:w="1350"/>
          </w:tcPr>
          <w:p>
            <w:pPr>
              <w:spacing w:after="0" w:line="252" w:lineRule="auto"/>
            </w:pPr>
            <w:r>
              <w:rPr>
                <w:rFonts w:ascii="Calibri" w:hAnsi="Calibri"/>
                <w:b w:val="0"/>
                <w:i w:val="0"/>
                <w:color w:val="333333"/>
                <w:sz w:val="17"/>
              </w:rPr>
              <w:t xml:space="preserve">Officielle</w:t>
            </w:r>
          </w:p>
        </w:tc>
        <w:tc>
          <w:tcPr>
            <w:tcW w:type="dxa" w:w="2150"/>
          </w:tcPr>
          <w:p>
            <w:pPr>
              <w:spacing w:after="0" w:line="252" w:lineRule="auto"/>
            </w:pPr>
            <w:r>
              <w:rPr>
                <w:rFonts w:ascii="Calibri" w:hAnsi="Calibri"/>
                <w:b w:val="0"/>
                <w:i w:val="0"/>
                <w:color w:val="333333"/>
                <w:sz w:val="17"/>
              </w:rPr>
              <w:t xml:space="preserve">Changements à lire avant une mise à jour</w:t>
            </w:r>
          </w:p>
        </w:tc>
        <w:tc>
          <w:tcPr>
            <w:tcW w:type="dxa" w:w="1250"/>
          </w:tcPr>
          <w:p>
            <w:pPr>
              <w:spacing w:after="0" w:line="252" w:lineRule="auto"/>
            </w:pPr>
            <w:r>
              <w:rPr>
                <w:rFonts w:ascii="Calibri" w:hAnsi="Calibri"/>
                <w:b w:val="0"/>
                <w:i w:val="0"/>
                <w:color w:val="333333"/>
                <w:sz w:val="17"/>
              </w:rPr>
              <w:t xml:space="preserve">25/09/2026, pandas 3.0.6 du 17/09/2026</w:t>
            </w:r>
          </w:p>
        </w:tc>
        <w:tc>
          <w:tcPr>
            <w:tcW w:type="dxa" w:w="2448"/>
          </w:tcPr>
          <w:p>
            <w:pPr>
              <w:spacing w:after="0" w:line="252" w:lineRule="auto"/>
            </w:pPr>
            <w:hyperlink r:id="rIdLien12" w:history="1">
              <w:r>
                <w:rPr>
                  <w:rFonts w:ascii="Calibri" w:hAnsi="Calibri"/>
                  <w:b w:val="0"/>
                  <w:i w:val="0"/>
                  <w:color w:val="1F5C99"/>
                  <w:sz w:val="17"/>
                  <w:u w:val="single"/>
                </w:rPr>
                <w:t xml:space="preserve">pandas</w:t>
              </w:r>
            </w:hyperlink>
            <w:r>
              <w:rPr>
                <w:rFonts w:ascii="Calibri" w:hAnsi="Calibri"/>
                <w:b w:val="0"/>
                <w:i w:val="0"/>
                <w:color w:val="333333"/>
                <w:sz w:val="17"/>
              </w:rPr>
              <w:t xml:space="preserve">, </w:t>
            </w:r>
            <w:hyperlink r:id="rIdLien16" w:history="1">
              <w:r>
                <w:rPr>
                  <w:rFonts w:ascii="Calibri" w:hAnsi="Calibri"/>
                  <w:b w:val="0"/>
                  <w:i w:val="0"/>
                  <w:color w:val="1F5C99"/>
                  <w:sz w:val="17"/>
                  <w:u w:val="single"/>
                </w:rPr>
                <w:t xml:space="preserve">scikit-learn</w:t>
              </w:r>
            </w:hyperlink>
            <w:r>
              <w:rPr>
                <w:rFonts w:ascii="Calibri" w:hAnsi="Calibri"/>
                <w:b w:val="0"/>
                <w:i w:val="0"/>
                <w:color w:val="333333"/>
                <w:sz w:val="17"/>
              </w:rPr>
              <w:t xml:space="preserve">, </w:t>
            </w:r>
            <w:hyperlink r:id="rIdLien17" w:history="1">
              <w:r>
                <w:rPr>
                  <w:rFonts w:ascii="Calibri" w:hAnsi="Calibri"/>
                  <w:b w:val="0"/>
                  <w:i w:val="0"/>
                  <w:color w:val="1F5C99"/>
                  <w:sz w:val="17"/>
                  <w:u w:val="single"/>
                </w:rPr>
                <w:t xml:space="preserve">shap</w:t>
              </w:r>
            </w:hyperlink>
          </w:p>
        </w:tc>
      </w:tr>
      <w:tr>
        <w:trPr>
          <w:cantSplit/>
        </w:trPr>
        <w:tc>
          <w:tcPr>
            <w:tcW w:type="dxa" w:w="2100"/>
          </w:tcPr>
          <w:p>
            <w:pPr>
              <w:spacing w:after="0" w:line="252" w:lineRule="auto"/>
            </w:pPr>
            <w:r>
              <w:rPr>
                <w:rFonts w:ascii="Calibri" w:hAnsi="Calibri"/>
                <w:b w:val="0"/>
                <w:i w:val="0"/>
                <w:color w:val="333333"/>
                <w:sz w:val="17"/>
              </w:rPr>
              <w:t xml:space="preserve">INAO, « Aires et produits AOC/AOP et IGP », sur data.gouv.fr</w:t>
            </w:r>
          </w:p>
        </w:tc>
        <w:tc>
          <w:tcPr>
            <w:tcW w:type="dxa" w:w="1350"/>
          </w:tcPr>
          <w:p>
            <w:pPr>
              <w:spacing w:after="0" w:line="252" w:lineRule="auto"/>
            </w:pPr>
            <w:r>
              <w:rPr>
                <w:rFonts w:ascii="Calibri" w:hAnsi="Calibri"/>
                <w:b w:val="0"/>
                <w:i w:val="0"/>
                <w:color w:val="333333"/>
                <w:sz w:val="17"/>
              </w:rPr>
              <w:t xml:space="preserve">Donnée ouverte</w:t>
            </w:r>
          </w:p>
        </w:tc>
        <w:tc>
          <w:tcPr>
            <w:tcW w:type="dxa" w:w="2150"/>
          </w:tcPr>
          <w:p>
            <w:pPr>
              <w:spacing w:after="0" w:line="252" w:lineRule="auto"/>
            </w:pPr>
            <w:r>
              <w:rPr>
                <w:rFonts w:ascii="Calibri" w:hAnsi="Calibri"/>
                <w:b w:val="0"/>
                <w:i w:val="0"/>
                <w:color w:val="333333"/>
                <w:sz w:val="17"/>
              </w:rPr>
              <w:t xml:space="preserve">Liste des appellations, pour enrichir le catalogue (section 6.1)</w:t>
            </w:r>
          </w:p>
        </w:tc>
        <w:tc>
          <w:tcPr>
            <w:tcW w:type="dxa" w:w="1250"/>
          </w:tcPr>
          <w:p>
            <w:pPr>
              <w:spacing w:after="0" w:line="252" w:lineRule="auto"/>
            </w:pPr>
            <w:r>
              <w:rPr>
                <w:rFonts w:ascii="Calibri" w:hAnsi="Calibri"/>
                <w:b w:val="0"/>
                <w:i w:val="0"/>
                <w:color w:val="333333"/>
                <w:sz w:val="17"/>
              </w:rPr>
              <w:t xml:space="preserve">25/09/2026, mise à jour du 09/10/2025</w:t>
            </w:r>
          </w:p>
        </w:tc>
        <w:tc>
          <w:tcPr>
            <w:tcW w:type="dxa" w:w="2448"/>
          </w:tcPr>
          <w:p>
            <w:pPr>
              <w:spacing w:after="0" w:line="252" w:lineRule="auto"/>
            </w:pPr>
            <w:hyperlink r:id="rIdLien22" w:history="1">
              <w:r>
                <w:rPr>
                  <w:rFonts w:ascii="Calibri" w:hAnsi="Calibri"/>
                  <w:b w:val="0"/>
                  <w:i w:val="0"/>
                  <w:color w:val="1F5C99"/>
                  <w:sz w:val="17"/>
                  <w:u w:val="single"/>
                </w:rPr>
                <w:t xml:space="preserve">data.gouv.fr</w:t>
              </w:r>
            </w:hyperlink>
          </w:p>
        </w:tc>
      </w:tr>
    </w:tbl>
    <w:p>
      <w:pPr>
        <w:spacing w:after="40"/>
      </w:pPr>
    </w:p>
    <w:p>
      <w:pPr>
        <w:pStyle w:val="Heading2"/>
      </w:pPr>
      <w:bookmarkStart w:id="7014" w:name="_TocP130014"/>
      <w:r>
        <w:t>4.1 Développement durable et sobriété</w:t>
      </w:r>
      <w:bookmarkEnd w:id="7014"/>
    </w:p>
    <w:p>
      <w:r>
        <w:rPr>
          <w:rFonts w:ascii="Calibri" w:hAnsi="Calibri"/>
          <w:b w:val="0"/>
          <w:i w:val="0"/>
          <w:color w:val="333333"/>
          <w:sz w:val="21"/>
        </w:rPr>
        <w:t xml:space="preserve">Le critère de sobriété figure dans les quatre comparaisons ; il a pesé sur la décision de garder pandas. J'en tire trois principes.</w:t>
      </w:r>
    </w:p>
    <w:p>
      <w:pPr>
        <w:pStyle w:val="ListBullet"/>
        <w:spacing w:after="40"/>
        <w:ind w:left="369"/>
      </w:pPr>
      <w:r>
        <w:rPr>
          <w:rFonts w:ascii="Calibri" w:hAnsi="Calibri"/>
          <w:b/>
          <w:i w:val="0"/>
          <w:color w:val="333333"/>
          <w:sz w:val="21"/>
        </w:rPr>
        <w:t xml:space="preserve">Proportionner l'outillage au besoin.</w:t>
      </w:r>
      <w:r>
        <w:rPr>
          <w:rFonts w:ascii="Calibri" w:hAnsi="Calibri"/>
          <w:b w:val="0"/>
          <w:i w:val="0"/>
          <w:color w:val="333333"/>
          <w:sz w:val="21"/>
        </w:rPr>
        <w:t xml:space="preserve"> Pour 825 lignes, un moteur multicœur n'apporterait qu'une dépendance de plus, un temps d'apprentissage et une consommation sans contrepartie.</w:t>
      </w:r>
    </w:p>
    <w:p>
      <w:pPr>
        <w:pStyle w:val="ListBullet"/>
        <w:spacing w:after="40"/>
        <w:ind w:left="369"/>
      </w:pPr>
      <w:r>
        <w:rPr>
          <w:rFonts w:ascii="Calibri" w:hAnsi="Calibri"/>
          <w:b/>
          <w:i w:val="0"/>
          <w:color w:val="333333"/>
          <w:sz w:val="21"/>
        </w:rPr>
        <w:t xml:space="preserve">Privilégier les modèles légers.</w:t>
      </w:r>
      <w:r>
        <w:rPr>
          <w:rFonts w:ascii="Calibri" w:hAnsi="Calibri"/>
          <w:b w:val="0"/>
          <w:i w:val="0"/>
          <w:color w:val="333333"/>
          <w:sz w:val="21"/>
        </w:rPr>
        <w:t xml:space="preserve"> Isolation Forest et un modèle d'arbres de faible profondeur suffisent pour la détection et l'explication. Un modèle plus lourd n'améliorerait pas la décision métier.</w:t>
      </w:r>
    </w:p>
    <w:p>
      <w:pPr>
        <w:pStyle w:val="ListBullet"/>
        <w:spacing w:after="40"/>
        <w:ind w:left="369"/>
      </w:pPr>
      <w:r>
        <w:rPr>
          <w:rFonts w:ascii="Calibri" w:hAnsi="Calibri"/>
          <w:b/>
          <w:i w:val="0"/>
          <w:color w:val="333333"/>
          <w:sz w:val="21"/>
        </w:rPr>
        <w:t>Limiter les appels aux modèles de langage.</w:t>
      </w:r>
      <w:r>
        <w:rPr>
          <w:rFonts w:ascii="Calibri" w:hAnsi="Calibri"/>
          <w:b w:val="0"/>
          <w:i w:val="0"/>
          <w:color w:val="333333"/>
          <w:sz w:val="21"/>
        </w:rPr>
        <w:t xml:space="preserve"> Les assistants d'IA sont sollicités sur des questions ciblées, pas en boucle sur des variantes marginales.</w:t>
      </w:r>
    </w:p>
    <w:p>
      <w:pPr>
        <w:pStyle w:val="Heading2"/>
      </w:pPr>
      <w:bookmarkStart w:id="7015" w:name="_TocP130015"/>
      <w:r>
        <w:t xml:space="preserve">4.2 Veille métier : le marché du vin et la vente en ligne</w:t>
      </w:r>
      <w:bookmarkEnd w:id="7015"/>
    </w:p>
    <w:p>
      <w:r>
        <w:rPr>
          <w:rFonts w:ascii="Calibri" w:hAnsi="Calibri"/>
          <w:b w:val="0"/>
          <w:i w:val="0"/>
          <w:color w:val="333333"/>
          <w:sz w:val="21"/>
        </w:rPr>
        <w:t xml:space="preserve">La veille technique dit comment améliorer le notebook ; la veille métier dit dans quel marché BottleNeck vend, et sous quelles règles. Six sources, vérifiées le 25 septembre 2026, suffisent à situer les chiffres du notebook.</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250"/>
        <w:gridCol w:w="1800"/>
        <w:gridCol w:w="3300"/>
        <w:gridCol w:w="1948"/>
      </w:tblGrid>
      <w:tr>
        <w:trPr>
          <w:cantSplit/>
          <w:tblHeader w:val="true"/>
        </w:trPr>
        <w:tc>
          <w:tcPr>
            <w:tcW w:type="dxa" w:w="2250"/>
            <w:shd w:val="clear" w:color="auto" w:fill="1F2937"/>
          </w:tcPr>
          <w:p>
            <w:pPr>
              <w:spacing w:after="0"/>
            </w:pPr>
            <w:r>
              <w:rPr>
                <w:rFonts w:ascii="Calibri" w:hAnsi="Calibri"/>
                <w:b/>
                <w:color w:val="FFFFFF"/>
                <w:sz w:val="16"/>
              </w:rPr>
              <w:t xml:space="preserve">Source</w:t>
            </w:r>
          </w:p>
        </w:tc>
        <w:tc>
          <w:tcPr>
            <w:tcW w:type="dxa" w:w="1800"/>
            <w:shd w:val="clear" w:color="auto" w:fill="1F2937"/>
          </w:tcPr>
          <w:p>
            <w:pPr>
              <w:spacing w:after="0"/>
            </w:pPr>
            <w:r>
              <w:rPr>
                <w:rFonts w:ascii="Calibri" w:hAnsi="Calibri"/>
                <w:b/>
                <w:color w:val="FFFFFF"/>
                <w:sz w:val="16"/>
              </w:rPr>
              <w:t xml:space="preserve">Éditeur et date</w:t>
            </w:r>
          </w:p>
        </w:tc>
        <w:tc>
          <w:tcPr>
            <w:tcW w:type="dxa" w:w="3300"/>
            <w:shd w:val="clear" w:color="auto" w:fill="1F2937"/>
          </w:tcPr>
          <w:p>
            <w:pPr>
              <w:spacing w:after="0"/>
            </w:pPr>
            <w:r>
              <w:rPr>
                <w:rFonts w:ascii="Calibri" w:hAnsi="Calibri"/>
                <w:b/>
                <w:color w:val="FFFFFF"/>
                <w:sz w:val="16"/>
              </w:rPr>
              <w:t xml:space="preserve">Ce qu'elle apporte à BottleNeck</w:t>
            </w:r>
          </w:p>
        </w:tc>
        <w:tc>
          <w:tcPr>
            <w:tcW w:type="dxa" w:w="1948"/>
            <w:shd w:val="clear" w:color="auto" w:fill="1F2937"/>
          </w:tcPr>
          <w:p>
            <w:pPr>
              <w:spacing w:after="0"/>
            </w:pPr>
            <w:r>
              <w:rPr>
                <w:rFonts w:ascii="Calibri" w:hAnsi="Calibri"/>
                <w:b/>
                <w:color w:val="FFFFFF"/>
                <w:sz w:val="16"/>
              </w:rPr>
              <w:t xml:space="preserve">Adresse</w:t>
            </w:r>
          </w:p>
        </w:tc>
      </w:tr>
      <w:tr>
        <w:trPr>
          <w:cantSplit/>
        </w:trPr>
        <w:tc>
          <w:tcPr>
            <w:tcW w:type="dxa" w:w="2250"/>
          </w:tcPr>
          <w:p>
            <w:pPr>
              <w:spacing w:after="0" w:line="252" w:lineRule="auto"/>
            </w:pPr>
            <w:r>
              <w:rPr>
                <w:rFonts w:ascii="Calibri" w:hAnsi="Calibri"/>
                <w:b w:val="0"/>
                <w:i w:val="0"/>
                <w:color w:val="333333"/>
                <w:sz w:val="16"/>
              </w:rPr>
              <w:t xml:space="preserve">« State of the World Wine Sector in 2025 »</w:t>
            </w:r>
          </w:p>
        </w:tc>
        <w:tc>
          <w:tcPr>
            <w:tcW w:type="dxa" w:w="1800"/>
          </w:tcPr>
          <w:p>
            <w:pPr>
              <w:spacing w:after="0" w:line="252" w:lineRule="auto"/>
            </w:pPr>
            <w:r>
              <w:rPr>
                <w:rFonts w:ascii="Calibri" w:hAnsi="Calibri"/>
                <w:b w:val="0"/>
                <w:i w:val="0"/>
                <w:color w:val="333333"/>
                <w:sz w:val="16"/>
              </w:rPr>
              <w:t xml:space="preserve">OIV, mai 2026</w:t>
            </w:r>
          </w:p>
        </w:tc>
        <w:tc>
          <w:tcPr>
            <w:tcW w:type="dxa" w:w="3300"/>
          </w:tcPr>
          <w:p>
            <w:pPr>
              <w:spacing w:after="0" w:line="252" w:lineRule="auto"/>
            </w:pPr>
            <w:r>
              <w:rPr>
                <w:rFonts w:ascii="Calibri" w:hAnsi="Calibri"/>
                <w:b w:val="0"/>
                <w:i w:val="0"/>
                <w:color w:val="333333"/>
                <w:sz w:val="16"/>
              </w:rPr>
              <w:t xml:space="preserve">Consommation mondiale de 208 millions d'hectolitres en 2025, en baisse de 2,7 % ; France, 22,0 millions, en baisse de 3,2 %. Un marché qui recule : réassort prudent, stock immobilisé à suivre</w:t>
            </w:r>
          </w:p>
        </w:tc>
        <w:tc>
          <w:tcPr>
            <w:tcW w:type="dxa" w:w="1948"/>
          </w:tcPr>
          <w:p>
            <w:pPr>
              <w:spacing w:after="0" w:line="252" w:lineRule="auto"/>
            </w:pPr>
            <w:hyperlink r:id="rIdLien27" w:history="1">
              <w:r>
                <w:rPr>
                  <w:rFonts w:ascii="Calibri" w:hAnsi="Calibri"/>
                  <w:b w:val="0"/>
                  <w:i w:val="0"/>
                  <w:color w:val="1F5C99"/>
                  <w:sz w:val="16"/>
                  <w:u w:val="single"/>
                </w:rPr>
                <w:t xml:space="preserve">oiv.int, rapport 2025</w:t>
              </w:r>
            </w:hyperlink>
          </w:p>
        </w:tc>
      </w:tr>
      <w:tr>
        <w:trPr>
          <w:cantSplit/>
        </w:trPr>
        <w:tc>
          <w:tcPr>
            <w:tcW w:type="dxa" w:w="2250"/>
          </w:tcPr>
          <w:p>
            <w:pPr>
              <w:spacing w:after="0" w:line="252" w:lineRule="auto"/>
            </w:pPr>
            <w:r>
              <w:rPr>
                <w:rFonts w:ascii="Calibri" w:hAnsi="Calibri"/>
                <w:b w:val="0"/>
                <w:i w:val="0"/>
                <w:color w:val="333333"/>
                <w:sz w:val="16"/>
              </w:rPr>
              <w:t xml:space="preserve">« Note de conjoncture mensuelle sur la filière viti-vinicole »</w:t>
            </w:r>
          </w:p>
        </w:tc>
        <w:tc>
          <w:tcPr>
            <w:tcW w:type="dxa" w:w="1800"/>
          </w:tcPr>
          <w:p>
            <w:pPr>
              <w:spacing w:after="0" w:line="252" w:lineRule="auto"/>
            </w:pPr>
            <w:r>
              <w:rPr>
                <w:rFonts w:ascii="Calibri" w:hAnsi="Calibri"/>
                <w:b w:val="0"/>
                <w:i w:val="0"/>
                <w:color w:val="333333"/>
                <w:sz w:val="16"/>
              </w:rPr>
              <w:t xml:space="preserve">FranceAgriMer, note publiée le 1er septembre 2026</w:t>
            </w:r>
          </w:p>
        </w:tc>
        <w:tc>
          <w:tcPr>
            <w:tcW w:type="dxa" w:w="3300"/>
          </w:tcPr>
          <w:p>
            <w:pPr>
              <w:spacing w:after="0" w:line="252" w:lineRule="auto"/>
            </w:pPr>
            <w:r>
              <w:rPr>
                <w:rFonts w:ascii="Calibri" w:hAnsi="Calibri"/>
                <w:b w:val="0"/>
                <w:i w:val="0"/>
                <w:color w:val="333333"/>
                <w:sz w:val="16"/>
              </w:rPr>
              <w:t xml:space="preserve">Prix, consommation et échanges chaque mois : le même rythme que l'analyse mensuelle proposée à BottleNeck</w:t>
            </w:r>
          </w:p>
        </w:tc>
        <w:tc>
          <w:tcPr>
            <w:tcW w:type="dxa" w:w="1948"/>
          </w:tcPr>
          <w:p>
            <w:pPr>
              <w:spacing w:after="0" w:line="252" w:lineRule="auto"/>
            </w:pPr>
            <w:hyperlink r:id="rIdLien26" w:history="1">
              <w:r>
                <w:rPr>
                  <w:rFonts w:ascii="Calibri" w:hAnsi="Calibri"/>
                  <w:b w:val="0"/>
                  <w:i w:val="0"/>
                  <w:color w:val="1F5C99"/>
                  <w:sz w:val="16"/>
                  <w:u w:val="single"/>
                </w:rPr>
                <w:t xml:space="preserve">franceagrimer.fr</w:t>
              </w:r>
            </w:hyperlink>
          </w:p>
        </w:tc>
      </w:tr>
      <w:tr>
        <w:trPr>
          <w:cantSplit/>
        </w:trPr>
        <w:tc>
          <w:tcPr>
            <w:tcW w:type="dxa" w:w="2250"/>
          </w:tcPr>
          <w:p>
            <w:pPr>
              <w:spacing w:after="0" w:line="252" w:lineRule="auto"/>
            </w:pPr>
            <w:r>
              <w:rPr>
                <w:rFonts w:ascii="Calibri" w:hAnsi="Calibri"/>
                <w:b w:val="0"/>
                <w:i w:val="0"/>
                <w:color w:val="333333"/>
                <w:sz w:val="16"/>
              </w:rPr>
              <w:t xml:space="preserve">« Aires et produits AOC/AOP et IGP »</w:t>
            </w:r>
          </w:p>
        </w:tc>
        <w:tc>
          <w:tcPr>
            <w:tcW w:type="dxa" w:w="1800"/>
          </w:tcPr>
          <w:p>
            <w:pPr>
              <w:spacing w:after="0" w:line="252" w:lineRule="auto"/>
            </w:pPr>
            <w:r>
              <w:rPr>
                <w:rFonts w:ascii="Calibri" w:hAnsi="Calibri"/>
                <w:b w:val="0"/>
                <w:i w:val="0"/>
                <w:color w:val="333333"/>
                <w:sz w:val="16"/>
              </w:rPr>
              <w:t xml:space="preserve">INAO sur data.gouv.fr, mise à jour du 9 octobre 2025, Licence Ouverte</w:t>
            </w:r>
          </w:p>
        </w:tc>
        <w:tc>
          <w:tcPr>
            <w:tcW w:type="dxa" w:w="3300"/>
          </w:tcPr>
          <w:p>
            <w:pPr>
              <w:spacing w:after="0" w:line="252" w:lineRule="auto"/>
            </w:pPr>
            <w:r>
              <w:rPr>
                <w:rFonts w:ascii="Calibri" w:hAnsi="Calibri"/>
                <w:b w:val="0"/>
                <w:i w:val="0"/>
                <w:color w:val="333333"/>
                <w:sz w:val="16"/>
              </w:rPr>
              <w:t xml:space="preserve">Rattacher chaque référence à son appellation, puis lire chiffre d'affaires, marge et stock par appellation</w:t>
            </w:r>
          </w:p>
        </w:tc>
        <w:tc>
          <w:tcPr>
            <w:tcW w:type="dxa" w:w="1948"/>
          </w:tcPr>
          <w:p>
            <w:pPr>
              <w:spacing w:after="0" w:line="252" w:lineRule="auto"/>
            </w:pPr>
            <w:hyperlink r:id="rIdLien22" w:history="1">
              <w:r>
                <w:rPr>
                  <w:rFonts w:ascii="Calibri" w:hAnsi="Calibri"/>
                  <w:b w:val="0"/>
                  <w:i w:val="0"/>
                  <w:color w:val="1F5C99"/>
                  <w:sz w:val="16"/>
                  <w:u w:val="single"/>
                </w:rPr>
                <w:t xml:space="preserve">data.gouv.fr</w:t>
              </w:r>
            </w:hyperlink>
          </w:p>
        </w:tc>
      </w:tr>
      <w:tr>
        <w:trPr>
          <w:cantSplit/>
        </w:trPr>
        <w:tc>
          <w:tcPr>
            <w:tcW w:type="dxa" w:w="2250"/>
          </w:tcPr>
          <w:p>
            <w:pPr>
              <w:spacing w:after="0" w:line="252" w:lineRule="auto"/>
            </w:pPr>
            <w:r>
              <w:rPr>
                <w:rFonts w:ascii="Calibri" w:hAnsi="Calibri"/>
                <w:b w:val="0"/>
                <w:i w:val="0"/>
                <w:color w:val="333333"/>
                <w:sz w:val="16"/>
              </w:rPr>
              <w:t xml:space="preserve">« Le e-commerce progresse de 6,6 % au premier semestre 2026 »</w:t>
            </w:r>
          </w:p>
        </w:tc>
        <w:tc>
          <w:tcPr>
            <w:tcW w:type="dxa" w:w="1800"/>
          </w:tcPr>
          <w:p>
            <w:pPr>
              <w:spacing w:after="0" w:line="252" w:lineRule="auto"/>
            </w:pPr>
            <w:r>
              <w:rPr>
                <w:rFonts w:ascii="Calibri" w:hAnsi="Calibri"/>
                <w:b w:val="0"/>
                <w:i w:val="0"/>
                <w:color w:val="333333"/>
                <w:sz w:val="16"/>
              </w:rPr>
              <w:t xml:space="preserve">Fevad, 21 septembre 2026</w:t>
            </w:r>
          </w:p>
        </w:tc>
        <w:tc>
          <w:tcPr>
            <w:tcW w:type="dxa" w:w="3300"/>
          </w:tcPr>
          <w:p>
            <w:pPr>
              <w:spacing w:after="0" w:line="252" w:lineRule="auto"/>
            </w:pPr>
            <w:r>
              <w:rPr>
                <w:rFonts w:ascii="Calibri" w:hAnsi="Calibri"/>
                <w:b w:val="0"/>
                <w:i w:val="0"/>
                <w:color w:val="333333"/>
                <w:sz w:val="16"/>
              </w:rPr>
              <w:t xml:space="preserve">Repères de la vente en ligne : 52,2 milliards d'euros au deuxième trimestre 2026, en hausse de 8,5 % sur un an, panier moyen de 59,7 euros ; aucun chiffre propre au vin</w:t>
            </w:r>
          </w:p>
        </w:tc>
        <w:tc>
          <w:tcPr>
            <w:tcW w:type="dxa" w:w="1948"/>
          </w:tcPr>
          <w:p>
            <w:pPr>
              <w:spacing w:after="0" w:line="252" w:lineRule="auto"/>
            </w:pPr>
            <w:hyperlink r:id="rIdLien25" w:history="1">
              <w:r>
                <w:rPr>
                  <w:rFonts w:ascii="Calibri" w:hAnsi="Calibri"/>
                  <w:b w:val="0"/>
                  <w:i w:val="0"/>
                  <w:color w:val="1F5C99"/>
                  <w:sz w:val="16"/>
                  <w:u w:val="single"/>
                </w:rPr>
                <w:t xml:space="preserve">fevad.com</w:t>
              </w:r>
            </w:hyperlink>
          </w:p>
        </w:tc>
      </w:tr>
      <w:tr>
        <w:trPr>
          <w:cantSplit/>
        </w:trPr>
        <w:tc>
          <w:tcPr>
            <w:tcW w:type="dxa" w:w="2250"/>
          </w:tcPr>
          <w:p>
            <w:pPr>
              <w:spacing w:after="0" w:line="252" w:lineRule="auto"/>
            </w:pPr>
            <w:r>
              <w:rPr>
                <w:rFonts w:ascii="Calibri" w:hAnsi="Calibri"/>
                <w:b w:val="0"/>
                <w:i w:val="0"/>
                <w:color w:val="333333"/>
                <w:sz w:val="16"/>
              </w:rPr>
              <w:t xml:space="preserve">« En matière d'alcool »</w:t>
            </w:r>
          </w:p>
        </w:tc>
        <w:tc>
          <w:tcPr>
            <w:tcW w:type="dxa" w:w="1800"/>
          </w:tcPr>
          <w:p>
            <w:pPr>
              <w:spacing w:after="0" w:line="252" w:lineRule="auto"/>
            </w:pPr>
            <w:r>
              <w:rPr>
                <w:rFonts w:ascii="Calibri" w:hAnsi="Calibri"/>
                <w:b w:val="0"/>
                <w:i w:val="0"/>
                <w:color w:val="333333"/>
                <w:sz w:val="16"/>
              </w:rPr>
              <w:t xml:space="preserve">MILDECA, mise à jour du 12 septembre 2023</w:t>
            </w:r>
          </w:p>
        </w:tc>
        <w:tc>
          <w:tcPr>
            <w:tcW w:type="dxa" w:w="3300"/>
          </w:tcPr>
          <w:p>
            <w:pPr>
              <w:spacing w:after="0" w:line="252" w:lineRule="auto"/>
            </w:pPr>
            <w:r>
              <w:rPr>
                <w:rFonts w:ascii="Calibri" w:hAnsi="Calibri"/>
                <w:b w:val="0"/>
                <w:i w:val="0"/>
                <w:color w:val="333333"/>
                <w:sz w:val="16"/>
              </w:rPr>
              <w:t xml:space="preserve">Vente interdite aux mineurs, preuve de majorité exigée ; publicité en ligne permise hors sites destinés à la jeunesse ou au sport, avec le message sanitaire (loi Évin)</w:t>
            </w:r>
          </w:p>
        </w:tc>
        <w:tc>
          <w:tcPr>
            <w:tcW w:type="dxa" w:w="1948"/>
          </w:tcPr>
          <w:p>
            <w:pPr>
              <w:spacing w:after="0" w:line="252" w:lineRule="auto"/>
            </w:pPr>
            <w:hyperlink r:id="rIdLien23" w:history="1">
              <w:r>
                <w:rPr>
                  <w:rFonts w:ascii="Calibri" w:hAnsi="Calibri"/>
                  <w:b w:val="0"/>
                  <w:i w:val="0"/>
                  <w:color w:val="1F5C99"/>
                  <w:sz w:val="16"/>
                  <w:u w:val="single"/>
                </w:rPr>
                <w:t xml:space="preserve">drogues.gouv.fr</w:t>
              </w:r>
            </w:hyperlink>
          </w:p>
        </w:tc>
      </w:tr>
      <w:tr>
        <w:trPr>
          <w:cantSplit/>
        </w:trPr>
        <w:tc>
          <w:tcPr>
            <w:tcW w:type="dxa" w:w="2250"/>
          </w:tcPr>
          <w:p>
            <w:pPr>
              <w:spacing w:after="0" w:line="252" w:lineRule="auto"/>
            </w:pPr>
            <w:r>
              <w:rPr>
                <w:rFonts w:ascii="Calibri" w:hAnsi="Calibri"/>
                <w:b w:val="0"/>
                <w:i w:val="0"/>
                <w:color w:val="333333"/>
                <w:sz w:val="16"/>
              </w:rPr>
              <w:t xml:space="preserve">« E-commerce : les règles entre professionnels et consommateurs »</w:t>
            </w:r>
          </w:p>
        </w:tc>
        <w:tc>
          <w:tcPr>
            <w:tcW w:type="dxa" w:w="1800"/>
          </w:tcPr>
          <w:p>
            <w:pPr>
              <w:spacing w:after="0" w:line="252" w:lineRule="auto"/>
            </w:pPr>
            <w:r>
              <w:rPr>
                <w:rFonts w:ascii="Calibri" w:hAnsi="Calibri"/>
                <w:b w:val="0"/>
                <w:i w:val="0"/>
                <w:color w:val="333333"/>
                <w:sz w:val="16"/>
              </w:rPr>
              <w:t xml:space="preserve">DGCCRF, 9 octobre 2023</w:t>
            </w:r>
          </w:p>
        </w:tc>
        <w:tc>
          <w:tcPr>
            <w:tcW w:type="dxa" w:w="3300"/>
          </w:tcPr>
          <w:p>
            <w:pPr>
              <w:spacing w:after="0" w:line="252" w:lineRule="auto"/>
            </w:pPr>
            <w:r>
              <w:rPr>
                <w:rFonts w:ascii="Calibri" w:hAnsi="Calibri"/>
                <w:b w:val="0"/>
                <w:i w:val="0"/>
                <w:color w:val="333333"/>
                <w:sz w:val="16"/>
              </w:rPr>
              <w:t xml:space="preserve">Information avant la commande, droit de rétractation de 14 jours, livraison sous 30 jours au plus tard : le cadre du site marchand</w:t>
            </w:r>
          </w:p>
        </w:tc>
        <w:tc>
          <w:tcPr>
            <w:tcW w:type="dxa" w:w="1948"/>
          </w:tcPr>
          <w:p>
            <w:pPr>
              <w:spacing w:after="0" w:line="252" w:lineRule="auto"/>
            </w:pPr>
            <w:hyperlink r:id="rIdLien24" w:history="1">
              <w:r>
                <w:rPr>
                  <w:rFonts w:ascii="Calibri" w:hAnsi="Calibri"/>
                  <w:b w:val="0"/>
                  <w:i w:val="0"/>
                  <w:color w:val="1F5C99"/>
                  <w:sz w:val="16"/>
                  <w:u w:val="single"/>
                </w:rPr>
                <w:t xml:space="preserve">economie.gouv.fr</w:t>
              </w:r>
            </w:hyperlink>
          </w:p>
        </w:tc>
      </w:tr>
    </w:tbl>
    <w:p>
      <w:r>
        <w:rPr>
          <w:rFonts w:ascii="Calibri" w:hAnsi="Calibri"/>
          <w:b/>
          <w:i w:val="0"/>
          <w:color w:val="333333"/>
          <w:sz w:val="21"/>
        </w:rPr>
        <w:t xml:space="preserve">Ce que cela change pour le projet.</w:t>
      </w:r>
      <w:r>
        <w:rPr>
          <w:rFonts w:ascii="Calibri" w:hAnsi="Calibri"/>
          <w:b w:val="0"/>
          <w:i w:val="0"/>
          <w:color w:val="333333"/>
          <w:sz w:val="21"/>
        </w:rPr>
        <w:t xml:space="preserve"> Le marché recule en volume : l'enjeu est moins de vendre plus que de mieux répartir le stock, ce qui conforte le besoin retenu (réassort et stock immobilisé, essai C du notebook complémentaire). La liste de l'INAO est la source ouverte la plus utile pour enrichir le catalogue. Les règles sur l'alcool et la vente en ligne encadrent toute ouverture des avis ou toute action commerciale proposée à la direction.</w:t>
      </w:r>
    </w:p>
    <w:p>
      <w:pPr>
        <w:pStyle w:val="Heading1"/>
      </w:pPr>
      <w:bookmarkStart w:id="7016" w:name="_TocP130016"/>
      <w:r>
        <w:t>5. Sécurité, conformité et usage responsable de l'IA</w:t>
      </w:r>
      <w:bookmarkEnd w:id="7016"/>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814"/>
            <w:shd w:val="clear" w:color="auto" w:fill="1F2937"/>
          </w:tcPr>
          <w:p>
            <w:pPr>
              <w:spacing w:after="0"/>
            </w:pPr>
            <w:r>
              <w:rPr>
                <w:rFonts w:ascii="Calibri" w:hAnsi="Calibri"/>
                <w:b/>
                <w:color w:val="FFFFFF"/>
                <w:sz w:val="17"/>
              </w:rPr>
              <w:t>Point</w:t>
            </w:r>
          </w:p>
        </w:tc>
        <w:tc>
          <w:tcPr>
            <w:tcW w:type="dxa" w:w="3742"/>
            <w:shd w:val="clear" w:color="auto" w:fill="1F2937"/>
          </w:tcPr>
          <w:p>
            <w:pPr>
              <w:spacing w:after="0"/>
            </w:pPr>
            <w:r>
              <w:rPr>
                <w:rFonts w:ascii="Calibri" w:hAnsi="Calibri"/>
                <w:b/>
                <w:color w:val="FFFFFF"/>
                <w:sz w:val="17"/>
              </w:rPr>
              <w:t>Situation sur ce projet</w:t>
            </w:r>
          </w:p>
        </w:tc>
        <w:tc>
          <w:tcPr>
            <w:tcW w:type="dxa" w:w="3742"/>
            <w:shd w:val="clear" w:color="auto" w:fill="1F2937"/>
          </w:tcPr>
          <w:p>
            <w:pPr>
              <w:spacing w:after="0"/>
            </w:pPr>
            <w:r>
              <w:rPr>
                <w:rFonts w:ascii="Calibri" w:hAnsi="Calibri"/>
                <w:b/>
                <w:color w:val="FFFFFF"/>
                <w:sz w:val="17"/>
              </w:rPr>
              <w:t>Règle appliquée</w:t>
            </w:r>
          </w:p>
        </w:tc>
      </w:tr>
      <w:tr>
        <w:trPr>
          <w:cantSplit/>
        </w:trPr>
        <w:tc>
          <w:tcPr>
            <w:tcW w:type="dxa" w:w="1814"/>
          </w:tcPr>
          <w:p>
            <w:pPr>
              <w:spacing w:after="0" w:line="252" w:lineRule="auto"/>
            </w:pPr>
            <w:r>
              <w:rPr>
                <w:rFonts w:ascii="Calibri" w:hAnsi="Calibri"/>
                <w:b w:val="0"/>
                <w:i w:val="0"/>
                <w:color w:val="333333"/>
                <w:sz w:val="17"/>
              </w:rPr>
              <w:t>Données personnelles</w:t>
            </w:r>
          </w:p>
        </w:tc>
        <w:tc>
          <w:tcPr>
            <w:tcW w:type="dxa" w:w="3742"/>
          </w:tcPr>
          <w:p>
            <w:pPr>
              <w:spacing w:after="0" w:line="252" w:lineRule="auto"/>
            </w:pPr>
            <w:r>
              <w:rPr>
                <w:rFonts w:ascii="Calibri" w:hAnsi="Calibri"/>
                <w:b w:val="0"/>
                <w:i w:val="0"/>
                <w:color w:val="333333"/>
                <w:sz w:val="17"/>
              </w:rPr>
              <w:t>Le jeu de données porte sur des produits, des prix et des stocks, sans aucune donnée à caractère personnel</w:t>
            </w:r>
          </w:p>
        </w:tc>
        <w:tc>
          <w:tcPr>
            <w:tcW w:type="dxa" w:w="3742"/>
          </w:tcPr>
          <w:p>
            <w:pPr>
              <w:spacing w:after="0" w:line="252" w:lineRule="auto"/>
            </w:pPr>
            <w:r>
              <w:rPr>
                <w:rFonts w:ascii="Calibri" w:hAnsi="Calibri"/>
                <w:b w:val="0"/>
                <w:i w:val="0"/>
                <w:color w:val="333333"/>
                <w:sz w:val="17"/>
              </w:rPr>
              <w:t>Le RGPD ne s'applique pas directement, mais la démarche reste conçue avec la protection des données par défaut</w:t>
            </w:r>
          </w:p>
        </w:tc>
      </w:tr>
      <w:tr>
        <w:trPr>
          <w:cantSplit/>
        </w:trPr>
        <w:tc>
          <w:tcPr>
            <w:tcW w:type="dxa" w:w="1814"/>
            <w:shd w:val="clear" w:color="auto" w:fill="F1F5F9"/>
          </w:tcPr>
          <w:p>
            <w:pPr>
              <w:spacing w:after="0" w:line="252" w:lineRule="auto"/>
            </w:pPr>
            <w:r>
              <w:rPr>
                <w:rFonts w:ascii="Calibri" w:hAnsi="Calibri"/>
                <w:b w:val="0"/>
                <w:i w:val="0"/>
                <w:color w:val="333333"/>
                <w:sz w:val="17"/>
              </w:rPr>
              <w:t>Transmission à un service tiers</w:t>
            </w:r>
          </w:p>
        </w:tc>
        <w:tc>
          <w:tcPr>
            <w:tcW w:type="dxa" w:w="3742"/>
            <w:shd w:val="clear" w:color="auto" w:fill="F1F5F9"/>
          </w:tcPr>
          <w:p>
            <w:pPr>
              <w:spacing w:after="0" w:line="252" w:lineRule="auto"/>
            </w:pPr>
            <w:r>
              <w:rPr>
                <w:rFonts w:ascii="Calibri" w:hAnsi="Calibri"/>
                <w:b w:val="0"/>
                <w:i w:val="0"/>
                <w:color w:val="333333"/>
                <w:sz w:val="17"/>
              </w:rPr>
              <w:t xml:space="preserve">Les assistants ont été sollicités sur la structure du code. L'assistant a lu les sorties du notebook ; les fichiers, sans donnée personnelle, ont été confiés à son environnement pour des vérifications, en septembre et en octobre</w:t>
            </w:r>
          </w:p>
        </w:tc>
        <w:tc>
          <w:tcPr>
            <w:tcW w:type="dxa" w:w="3742"/>
            <w:shd w:val="clear" w:color="auto" w:fill="F1F5F9"/>
          </w:tcPr>
          <w:p>
            <w:pPr>
              <w:spacing w:after="0" w:line="252" w:lineRule="auto"/>
            </w:pPr>
            <w:r>
              <w:rPr>
                <w:rFonts w:ascii="Calibri" w:hAnsi="Calibri"/>
                <w:b w:val="0"/>
                <w:i w:val="0"/>
                <w:color w:val="333333"/>
                <w:sz w:val="17"/>
              </w:rPr>
              <w:t xml:space="preserve">Demandes limitées aux schémas et aux noms de colonnes ; chaque accès aux fichiers est noté au journal des essais</w:t>
            </w:r>
          </w:p>
        </w:tc>
      </w:tr>
      <w:tr>
        <w:trPr>
          <w:cantSplit/>
        </w:trPr>
        <w:tc>
          <w:tcPr>
            <w:tcW w:type="dxa" w:w="1814"/>
          </w:tcPr>
          <w:p>
            <w:pPr>
              <w:spacing w:after="0" w:line="252" w:lineRule="auto"/>
            </w:pPr>
            <w:r>
              <w:rPr>
                <w:rFonts w:ascii="Calibri" w:hAnsi="Calibri"/>
                <w:b w:val="0"/>
                <w:i w:val="0"/>
                <w:color w:val="333333"/>
                <w:sz w:val="17"/>
              </w:rPr>
              <w:t>Traçabilité des suggestions</w:t>
            </w:r>
          </w:p>
        </w:tc>
        <w:tc>
          <w:tcPr>
            <w:tcW w:type="dxa" w:w="3742"/>
          </w:tcPr>
          <w:p>
            <w:pPr>
              <w:spacing w:after="0" w:line="252" w:lineRule="auto"/>
            </w:pPr>
            <w:r>
              <w:rPr>
                <w:rFonts w:ascii="Calibri" w:hAnsi="Calibri"/>
                <w:b w:val="0"/>
                <w:i w:val="0"/>
                <w:color w:val="333333"/>
                <w:sz w:val="17"/>
              </w:rPr>
              <w:t xml:space="preserve">Les essais faits avec Claude sont consignés, retenus ou écartés ; les demandes antérieures au 17 septembre sont reconstituées et signalées comme telles. ChatGPT a servi surtout pour la rédaction, la relecture, la recherche d'idées et le code ; ces échanges n'ont pas été archivés</w:t>
            </w:r>
          </w:p>
        </w:tc>
        <w:tc>
          <w:tcPr>
            <w:tcW w:type="dxa" w:w="3742"/>
          </w:tcPr>
          <w:p>
            <w:pPr>
              <w:spacing w:after="0" w:line="252" w:lineRule="auto"/>
            </w:pPr>
            <w:r>
              <w:rPr>
                <w:rFonts w:ascii="Calibri" w:hAnsi="Calibri"/>
                <w:b w:val="0"/>
                <w:i w:val="0"/>
                <w:color w:val="333333"/>
                <w:sz w:val="17"/>
              </w:rPr>
              <w:t>Journal des essais dans la documentation de la démarche : demande, variantes, résultat, décision</w:t>
            </w:r>
          </w:p>
        </w:tc>
      </w:tr>
      <w:tr>
        <w:trPr>
          <w:cantSplit/>
        </w:trPr>
        <w:tc>
          <w:tcPr>
            <w:tcW w:type="dxa" w:w="1814"/>
            <w:shd w:val="clear" w:color="auto" w:fill="F1F5F9"/>
          </w:tcPr>
          <w:p>
            <w:pPr>
              <w:spacing w:after="0" w:line="252" w:lineRule="auto"/>
            </w:pPr>
            <w:r>
              <w:rPr>
                <w:rFonts w:ascii="Calibri" w:hAnsi="Calibri"/>
                <w:b w:val="0"/>
                <w:i w:val="0"/>
                <w:color w:val="333333"/>
                <w:sz w:val="17"/>
              </w:rPr>
              <w:t>Validation humaine</w:t>
            </w:r>
          </w:p>
        </w:tc>
        <w:tc>
          <w:tcPr>
            <w:tcW w:type="dxa" w:w="3742"/>
            <w:shd w:val="clear" w:color="auto" w:fill="F1F5F9"/>
          </w:tcPr>
          <w:p>
            <w:pPr>
              <w:spacing w:after="0" w:line="252" w:lineRule="auto"/>
            </w:pPr>
            <w:r>
              <w:rPr>
                <w:rFonts w:ascii="Calibri" w:hAnsi="Calibri"/>
                <w:b w:val="0"/>
                <w:i w:val="0"/>
                <w:color w:val="333333"/>
                <w:sz w:val="17"/>
              </w:rPr>
              <w:t xml:space="preserve">Chaque sortie d'assistant est exécutée et vérifiée avant d'être intégrée, y compris les essais C et D du 25 septembre, recalculés par l'assistant dans un script séparé ; je les ai relus et relancés le 7 octobre</w:t>
            </w:r>
          </w:p>
        </w:tc>
        <w:tc>
          <w:tcPr>
            <w:tcW w:type="dxa" w:w="3742"/>
            <w:shd w:val="clear" w:color="auto" w:fill="F1F5F9"/>
          </w:tcPr>
          <w:p>
            <w:pPr>
              <w:spacing w:after="0" w:line="252" w:lineRule="auto"/>
            </w:pPr>
            <w:r>
              <w:rPr>
                <w:rFonts w:ascii="Calibri" w:hAnsi="Calibri"/>
                <w:b w:val="0"/>
                <w:i w:val="0"/>
                <w:color w:val="333333"/>
                <w:sz w:val="17"/>
              </w:rPr>
              <w:t>Toute proposition est relue, exécutée et confrontée au résultat attendu</w:t>
            </w:r>
          </w:p>
        </w:tc>
      </w:tr>
      <w:tr>
        <w:trPr>
          <w:cantSplit/>
        </w:trPr>
        <w:tc>
          <w:tcPr>
            <w:tcW w:type="dxa" w:w="1814"/>
          </w:tcPr>
          <w:p>
            <w:pPr>
              <w:spacing w:after="0" w:line="252" w:lineRule="auto"/>
            </w:pPr>
            <w:r>
              <w:rPr>
                <w:rFonts w:ascii="Calibri" w:hAnsi="Calibri"/>
                <w:b w:val="0"/>
                <w:i w:val="0"/>
                <w:color w:val="333333"/>
                <w:sz w:val="17"/>
              </w:rPr>
              <w:t>Reproductibilité</w:t>
            </w:r>
          </w:p>
        </w:tc>
        <w:tc>
          <w:tcPr>
            <w:tcW w:type="dxa" w:w="3742"/>
          </w:tcPr>
          <w:p>
            <w:pPr>
              <w:spacing w:after="0" w:line="252" w:lineRule="auto"/>
            </w:pPr>
            <w:r>
              <w:rPr>
                <w:rFonts w:ascii="Calibri" w:hAnsi="Calibri"/>
                <w:b w:val="0"/>
                <w:i w:val="0"/>
                <w:color w:val="333333"/>
                <w:sz w:val="17"/>
              </w:rPr>
              <w:t xml:space="preserve">Versions des bibliothèques listées, graine fixée ; mêmes chiffres métier sur mon poste le 25 septembre, puis dans un environnement neuf installé avec le requirements.txt, le 28 septembre chez l'assistant et le 30 septembre sur mon poste</w:t>
            </w:r>
          </w:p>
        </w:tc>
        <w:tc>
          <w:tcPr>
            <w:tcW w:type="dxa" w:w="3742"/>
          </w:tcPr>
          <w:p>
            <w:pPr>
              <w:spacing w:after="0" w:line="252" w:lineRule="auto"/>
            </w:pPr>
            <w:r>
              <w:rPr>
                <w:rFonts w:ascii="Calibri" w:hAnsi="Calibri"/>
                <w:b w:val="0"/>
                <w:i w:val="0"/>
                <w:color w:val="333333"/>
                <w:sz w:val="17"/>
              </w:rPr>
              <w:t>Le notebook publie son environnement d'exécution en dernière étape</w:t>
            </w:r>
          </w:p>
        </w:tc>
      </w:tr>
    </w:tbl>
    <w:p>
      <w:pPr>
        <w:spacing w:after="40"/>
      </w:pPr>
    </w:p>
    <w:p>
      <w:pPr>
        <w:pStyle w:val="Heading1"/>
      </w:pPr>
      <w:bookmarkStart w:id="7017" w:name="_TocP130017"/>
      <w:r>
        <w:t>6. Synthèse et amélioration continue</w:t>
      </w:r>
      <w:bookmarkEnd w:id="7017"/>
    </w:p>
    <w:p>
      <w:r>
        <w:rPr>
          <w:rFonts w:ascii="Calibri" w:hAnsi="Calibri"/>
          <w:b w:val="0"/>
          <w:i w:val="0"/>
          <w:color w:val="333333"/>
          <w:sz w:val="21"/>
        </w:rPr>
        <w:t>La veille débouche sur une feuille de route où chaque décision est rattachée à un besoin et à un critère.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400"/>
        <w:gridCol w:w="2000"/>
        <w:gridCol w:w="1900"/>
        <w:gridCol w:w="2298"/>
        <w:gridCol w:w="1700"/>
      </w:tblGrid>
      <w:tr>
        <w:trPr>
          <w:cantSplit/>
          <w:tblHeader w:val="true"/>
        </w:trPr>
        <w:tc>
          <w:tcPr>
            <w:tcW w:type="dxa" w:w="1400"/>
            <w:shd w:val="clear" w:color="auto" w:fill="1F2937"/>
          </w:tcPr>
          <w:p>
            <w:pPr>
              <w:spacing w:after="0"/>
            </w:pPr>
            <w:r>
              <w:rPr>
                <w:rFonts w:ascii="Calibri" w:hAnsi="Calibri"/>
                <w:b/>
                <w:color w:val="FFFFFF"/>
                <w:sz w:val="17"/>
              </w:rPr>
              <w:t xml:space="preserve">Axe</w:t>
            </w:r>
          </w:p>
        </w:tc>
        <w:tc>
          <w:tcPr>
            <w:tcW w:type="dxa" w:w="2000"/>
            <w:shd w:val="clear" w:color="auto" w:fill="1F2937"/>
          </w:tcPr>
          <w:p>
            <w:pPr>
              <w:spacing w:after="0"/>
            </w:pPr>
            <w:r>
              <w:rPr>
                <w:rFonts w:ascii="Calibri" w:hAnsi="Calibri"/>
                <w:b/>
                <w:color w:val="FFFFFF"/>
                <w:sz w:val="17"/>
              </w:rPr>
              <w:t xml:space="preserve">Besoin métier servi</w:t>
            </w:r>
          </w:p>
        </w:tc>
        <w:tc>
          <w:tcPr>
            <w:tcW w:type="dxa" w:w="1900"/>
            <w:shd w:val="clear" w:color="auto" w:fill="1F2937"/>
          </w:tcPr>
          <w:p>
            <w:pPr>
              <w:spacing w:after="0"/>
            </w:pPr>
            <w:r>
              <w:rPr>
                <w:rFonts w:ascii="Calibri" w:hAnsi="Calibri"/>
                <w:b/>
                <w:color w:val="FFFFFF"/>
                <w:sz w:val="17"/>
              </w:rPr>
              <w:t xml:space="preserve">Décision</w:t>
            </w:r>
          </w:p>
        </w:tc>
        <w:tc>
          <w:tcPr>
            <w:tcW w:type="dxa" w:w="2298"/>
            <w:shd w:val="clear" w:color="auto" w:fill="1F2937"/>
          </w:tcPr>
          <w:p>
            <w:pPr>
              <w:spacing w:after="0"/>
            </w:pPr>
            <w:r>
              <w:rPr>
                <w:rFonts w:ascii="Calibri" w:hAnsi="Calibri"/>
                <w:b/>
                <w:color w:val="FFFFFF"/>
                <w:sz w:val="17"/>
              </w:rPr>
              <w:t xml:space="preserve">Bénéfice mesuré</w:t>
            </w:r>
          </w:p>
        </w:tc>
        <w:tc>
          <w:tcPr>
            <w:tcW w:type="dxa" w:w="1700"/>
            <w:shd w:val="clear" w:color="auto" w:fill="1F2937"/>
          </w:tcPr>
          <w:p>
            <w:pPr>
              <w:spacing w:after="0"/>
            </w:pPr>
            <w:r>
              <w:rPr>
                <w:rFonts w:ascii="Calibri" w:hAnsi="Calibri"/>
                <w:b/>
                <w:color w:val="FFFFFF"/>
                <w:sz w:val="17"/>
              </w:rPr>
              <w:t xml:space="preserve">Critère déterminant</w:t>
            </w:r>
          </w:p>
        </w:tc>
      </w:tr>
      <w:tr>
        <w:trPr>
          <w:cantSplit/>
        </w:trPr>
        <w:tc>
          <w:tcPr>
            <w:tcW w:type="dxa" w:w="1400"/>
          </w:tcPr>
          <w:p>
            <w:pPr>
              <w:spacing w:after="0" w:line="252" w:lineRule="auto"/>
            </w:pPr>
            <w:r>
              <w:rPr>
                <w:rFonts w:ascii="Calibri" w:hAnsi="Calibri"/>
                <w:b w:val="0"/>
                <w:i w:val="0"/>
                <w:color w:val="333333"/>
                <w:sz w:val="17"/>
              </w:rPr>
              <w:t xml:space="preserve">Qualité</w:t>
            </w:r>
          </w:p>
        </w:tc>
        <w:tc>
          <w:tcPr>
            <w:tcW w:type="dxa" w:w="2000"/>
          </w:tcPr>
          <w:p>
            <w:pPr>
              <w:spacing w:after="0" w:line="252" w:lineRule="auto"/>
            </w:pPr>
            <w:r>
              <w:rPr>
                <w:rFonts w:ascii="Calibri" w:hAnsi="Calibri"/>
                <w:b w:val="0"/>
                <w:i w:val="0"/>
                <w:color w:val="333333"/>
                <w:sz w:val="17"/>
              </w:rPr>
              <w:t xml:space="preserve">Besoin 1, se fier aux chiffres (Nicolas, la direction et les services)</w:t>
            </w:r>
          </w:p>
        </w:tc>
        <w:tc>
          <w:tcPr>
            <w:tcW w:type="dxa" w:w="1900"/>
          </w:tcPr>
          <w:p>
            <w:pPr>
              <w:spacing w:after="0" w:line="252" w:lineRule="auto"/>
            </w:pPr>
            <w:r>
              <w:rPr>
                <w:rFonts w:ascii="Calibri" w:hAnsi="Calibri"/>
                <w:b w:val="0"/>
                <w:i w:val="0"/>
                <w:color w:val="333333"/>
                <w:sz w:val="17"/>
              </w:rPr>
              <w:t xml:space="preserve">Adopter un contrat de qualité déclaratif</w:t>
            </w:r>
          </w:p>
        </w:tc>
        <w:tc>
          <w:tcPr>
            <w:tcW w:type="dxa" w:w="2298"/>
          </w:tcPr>
          <w:p>
            <w:pPr>
              <w:spacing w:after="0" w:line="252" w:lineRule="auto"/>
            </w:pPr>
            <w:r>
              <w:rPr>
                <w:rFonts w:ascii="Calibri" w:hAnsi="Calibri"/>
                <w:b w:val="0"/>
                <w:i w:val="0"/>
                <w:color w:val="333333"/>
                <w:sz w:val="17"/>
              </w:rPr>
              <w:t xml:space="preserve">9 lignes de l'ERP en infraction isolées sur 825 ; contrat de 14 lignes, là où les neuf contrôles manuels en demandaient environ 55</w:t>
            </w:r>
          </w:p>
        </w:tc>
        <w:tc>
          <w:tcPr>
            <w:tcW w:type="dxa" w:w="1700"/>
          </w:tcPr>
          <w:p>
            <w:pPr>
              <w:spacing w:after="0" w:line="252" w:lineRule="auto"/>
            </w:pPr>
            <w:r>
              <w:rPr>
                <w:rFonts w:ascii="Calibri" w:hAnsi="Calibri"/>
                <w:b w:val="0"/>
                <w:i w:val="0"/>
                <w:color w:val="333333"/>
                <w:sz w:val="17"/>
              </w:rPr>
              <w:t xml:space="preserve">Maintenabilité et reproductibilité</w:t>
            </w:r>
          </w:p>
        </w:tc>
      </w:tr>
      <w:tr>
        <w:trPr>
          <w:cantSplit/>
        </w:trPr>
        <w:tc>
          <w:tcPr>
            <w:tcW w:type="dxa" w:w="1400"/>
          </w:tcPr>
          <w:p>
            <w:pPr>
              <w:spacing w:after="0" w:line="252" w:lineRule="auto"/>
            </w:pPr>
            <w:r>
              <w:rPr>
                <w:rFonts w:ascii="Calibri" w:hAnsi="Calibri"/>
                <w:b w:val="0"/>
                <w:i w:val="0"/>
                <w:color w:val="333333"/>
                <w:sz w:val="17"/>
              </w:rPr>
              <w:t xml:space="preserve">Performance</w:t>
            </w:r>
          </w:p>
        </w:tc>
        <w:tc>
          <w:tcPr>
            <w:tcW w:type="dxa" w:w="2000"/>
          </w:tcPr>
          <w:p>
            <w:pPr>
              <w:spacing w:after="0" w:line="252" w:lineRule="auto"/>
            </w:pPr>
            <w:r>
              <w:rPr>
                <w:rFonts w:ascii="Calibri" w:hAnsi="Calibri"/>
                <w:b w:val="0"/>
                <w:i w:val="0"/>
                <w:color w:val="333333"/>
                <w:sz w:val="17"/>
              </w:rPr>
              <w:t xml:space="preserve">Besoin 4, refaire l'analyse chaque mois</w:t>
            </w:r>
          </w:p>
        </w:tc>
        <w:tc>
          <w:tcPr>
            <w:tcW w:type="dxa" w:w="1900"/>
          </w:tcPr>
          <w:p>
            <w:pPr>
              <w:spacing w:after="0" w:line="252" w:lineRule="auto"/>
            </w:pPr>
            <w:r>
              <w:rPr>
                <w:rFonts w:ascii="Calibri" w:hAnsi="Calibri"/>
                <w:b w:val="0"/>
                <w:i w:val="0"/>
                <w:color w:val="333333"/>
                <w:sz w:val="17"/>
              </w:rPr>
              <w:t xml:space="preserve">Conserver l'existant, garder deux alternatives en réserve</w:t>
            </w:r>
          </w:p>
        </w:tc>
        <w:tc>
          <w:tcPr>
            <w:tcW w:type="dxa" w:w="2298"/>
          </w:tcPr>
          <w:p>
            <w:pPr>
              <w:spacing w:after="0" w:line="252" w:lineRule="auto"/>
            </w:pPr>
            <w:r>
              <w:rPr>
                <w:rFonts w:ascii="Calibri" w:hAnsi="Calibri"/>
                <w:b w:val="0"/>
                <w:i w:val="0"/>
                <w:color w:val="333333"/>
                <w:sz w:val="17"/>
              </w:rPr>
              <w:t xml:space="preserve">Aucun gain au volume actuel. À deux millions de lignes : Polars 4,1 fois et DuckDB 2,9 fois plus rapides dans l'exécution livrée, 8,1 et 5,7 fois sur mon poste le 25 septembre</w:t>
            </w:r>
          </w:p>
        </w:tc>
        <w:tc>
          <w:tcPr>
            <w:tcW w:type="dxa" w:w="1700"/>
          </w:tcPr>
          <w:p>
            <w:pPr>
              <w:spacing w:after="0" w:line="252" w:lineRule="auto"/>
            </w:pPr>
            <w:r>
              <w:rPr>
                <w:rFonts w:ascii="Calibri" w:hAnsi="Calibri"/>
                <w:b w:val="0"/>
                <w:i w:val="0"/>
                <w:color w:val="333333"/>
                <w:sz w:val="17"/>
              </w:rPr>
              <w:t xml:space="preserve">Sobriété et coût en temps</w:t>
            </w:r>
          </w:p>
        </w:tc>
      </w:tr>
      <w:tr>
        <w:trPr>
          <w:cantSplit/>
        </w:trPr>
        <w:tc>
          <w:tcPr>
            <w:tcW w:type="dxa" w:w="1400"/>
          </w:tcPr>
          <w:p>
            <w:pPr>
              <w:spacing w:after="0" w:line="252" w:lineRule="auto"/>
            </w:pPr>
            <w:r>
              <w:rPr>
                <w:rFonts w:ascii="Calibri" w:hAnsi="Calibri"/>
                <w:b w:val="0"/>
                <w:i w:val="0"/>
                <w:color w:val="333333"/>
                <w:sz w:val="17"/>
              </w:rPr>
              <w:t xml:space="preserve">Anomalies</w:t>
            </w:r>
          </w:p>
        </w:tc>
        <w:tc>
          <w:tcPr>
            <w:tcW w:type="dxa" w:w="2000"/>
          </w:tcPr>
          <w:p>
            <w:pPr>
              <w:spacing w:after="0" w:line="252" w:lineRule="auto"/>
            </w:pPr>
            <w:r>
              <w:rPr>
                <w:rFonts w:ascii="Calibri" w:hAnsi="Calibri"/>
                <w:b w:val="0"/>
                <w:i w:val="0"/>
                <w:color w:val="333333"/>
                <w:sz w:val="17"/>
              </w:rPr>
              <w:t xml:space="preserve">Besoin 3, repérer les prix et les stocks suspects (service achats, équipe commerce en ligne)</w:t>
            </w:r>
          </w:p>
        </w:tc>
        <w:tc>
          <w:tcPr>
            <w:tcW w:type="dxa" w:w="1900"/>
          </w:tcPr>
          <w:p>
            <w:pPr>
              <w:spacing w:after="0" w:line="252" w:lineRule="auto"/>
            </w:pPr>
            <w:r>
              <w:rPr>
                <w:rFonts w:ascii="Calibri" w:hAnsi="Calibri"/>
                <w:b w:val="0"/>
                <w:i w:val="0"/>
                <w:color w:val="333333"/>
                <w:sz w:val="17"/>
              </w:rPr>
              <w:t xml:space="preserve">Conserver le score z et ajouter une détection multivariée</w:t>
            </w:r>
          </w:p>
        </w:tc>
        <w:tc>
          <w:tcPr>
            <w:tcW w:type="dxa" w:w="2298"/>
          </w:tcPr>
          <w:p>
            <w:pPr>
              <w:spacing w:after="0" w:line="252" w:lineRule="auto"/>
            </w:pPr>
            <w:r>
              <w:rPr>
                <w:rFonts w:ascii="Calibri" w:hAnsi="Calibri"/>
                <w:b w:val="0"/>
                <w:i w:val="0"/>
                <w:color w:val="333333"/>
                <w:sz w:val="17"/>
              </w:rPr>
              <w:t xml:space="preserve">26 anomalies supplémentaires, invisibles au score z</w:t>
            </w:r>
          </w:p>
        </w:tc>
        <w:tc>
          <w:tcPr>
            <w:tcW w:type="dxa" w:w="1700"/>
          </w:tcPr>
          <w:p>
            <w:pPr>
              <w:spacing w:after="0" w:line="252" w:lineRule="auto"/>
            </w:pPr>
            <w:r>
              <w:rPr>
                <w:rFonts w:ascii="Calibri" w:hAnsi="Calibri"/>
                <w:b w:val="0"/>
                <w:i w:val="0"/>
                <w:color w:val="333333"/>
                <w:sz w:val="17"/>
              </w:rPr>
              <w:t xml:space="preserve">Qualité et biais</w:t>
            </w:r>
          </w:p>
        </w:tc>
      </w:tr>
      <w:tr>
        <w:trPr>
          <w:cantSplit/>
        </w:trPr>
        <w:tc>
          <w:tcPr>
            <w:tcW w:type="dxa" w:w="1400"/>
          </w:tcPr>
          <w:p>
            <w:pPr>
              <w:spacing w:after="0" w:line="252" w:lineRule="auto"/>
            </w:pPr>
            <w:r>
              <w:rPr>
                <w:rFonts w:ascii="Calibri" w:hAnsi="Calibri"/>
                <w:b w:val="0"/>
                <w:i w:val="0"/>
                <w:color w:val="333333"/>
                <w:sz w:val="17"/>
              </w:rPr>
              <w:t xml:space="preserve">Interprétabilité</w:t>
            </w:r>
          </w:p>
        </w:tc>
        <w:tc>
          <w:tcPr>
            <w:tcW w:type="dxa" w:w="2000"/>
          </w:tcPr>
          <w:p>
            <w:pPr>
              <w:spacing w:after="0" w:line="252" w:lineRule="auto"/>
            </w:pPr>
            <w:r>
              <w:rPr>
                <w:rFonts w:ascii="Calibri" w:hAnsi="Calibri"/>
                <w:b w:val="0"/>
                <w:i w:val="0"/>
                <w:color w:val="333333"/>
                <w:sz w:val="17"/>
              </w:rPr>
              <w:t xml:space="preserve">Besoin 2, savoir où agir, et besoin 5, lire les résultats sans être technicien</w:t>
            </w:r>
          </w:p>
        </w:tc>
        <w:tc>
          <w:tcPr>
            <w:tcW w:type="dxa" w:w="1900"/>
          </w:tcPr>
          <w:p>
            <w:pPr>
              <w:spacing w:after="0" w:line="252" w:lineRule="auto"/>
            </w:pPr>
            <w:r>
              <w:rPr>
                <w:rFonts w:ascii="Calibri" w:hAnsi="Calibri"/>
                <w:b w:val="0"/>
                <w:i w:val="0"/>
                <w:color w:val="333333"/>
                <w:sz w:val="17"/>
              </w:rPr>
              <w:t xml:space="preserve">Adopter une explication par valeurs de Shapley</w:t>
            </w:r>
          </w:p>
        </w:tc>
        <w:tc>
          <w:tcPr>
            <w:tcW w:type="dxa" w:w="2298"/>
          </w:tcPr>
          <w:p>
            <w:pPr>
              <w:spacing w:after="0" w:line="252" w:lineRule="auto"/>
            </w:pPr>
            <w:r>
              <w:rPr>
                <w:rFonts w:ascii="Calibri" w:hAnsi="Calibri"/>
                <w:b w:val="0"/>
                <w:i w:val="0"/>
                <w:color w:val="333333"/>
                <w:sz w:val="17"/>
              </w:rPr>
              <w:t xml:space="preserve">Stock premier facteur sur les cinq partitions testées ; pouvoir explicatif de 0,53 à 0,76 selon la partition</w:t>
            </w:r>
          </w:p>
        </w:tc>
        <w:tc>
          <w:tcPr>
            <w:tcW w:type="dxa" w:w="1700"/>
          </w:tcPr>
          <w:p>
            <w:pPr>
              <w:spacing w:after="0" w:line="252" w:lineRule="auto"/>
            </w:pPr>
            <w:r>
              <w:rPr>
                <w:rFonts w:ascii="Calibri" w:hAnsi="Calibri"/>
                <w:b w:val="0"/>
                <w:i w:val="0"/>
                <w:color w:val="333333"/>
                <w:sz w:val="17"/>
              </w:rPr>
              <w:t xml:space="preserve">Qualité de l'explication, locale et globale ; lecture causale à éviter</w:t>
            </w:r>
          </w:p>
        </w:tc>
      </w:tr>
    </w:tbl>
    <w:p>
      <w:pPr>
        <w:spacing w:after="40"/>
      </w:pPr>
    </w:p>
    <w:p>
      <w:pPr>
        <w:pStyle w:val="Heading2"/>
      </w:pPr>
      <w:bookmarkStart w:id="7018" w:name="_TocP130018"/>
      <w:r>
        <w:t>6.1 Pistes d'amélioration continue</w:t>
      </w:r>
      <w:bookmarkEnd w:id="7018"/>
    </w:p>
    <w:p>
      <w:pPr>
        <w:pStyle w:val="ListNumber"/>
        <w:spacing w:after="40"/>
        <w:ind w:left="369"/>
      </w:pPr>
      <w:r>
        <w:rPr>
          <w:rFonts w:ascii="Calibri" w:hAnsi="Calibri"/>
          <w:b w:val="0"/>
          <w:i w:val="0"/>
          <w:color w:val="333333"/>
          <w:sz w:val="21"/>
        </w:rPr>
        <w:t>Brancher le contrat de qualité en amont d'un traitement planifié, pour qu'il s'exécute à chaque import et non seulement à la demande.</w:t>
      </w:r>
    </w:p>
    <w:p>
      <w:pPr>
        <w:pStyle w:val="ListNumber"/>
        <w:spacing w:after="40"/>
        <w:ind w:left="369"/>
      </w:pPr>
      <w:r>
        <w:rPr>
          <w:rFonts w:ascii="Calibri" w:hAnsi="Calibri"/>
          <w:b w:val="0"/>
          <w:i w:val="0"/>
          <w:color w:val="333333"/>
          <w:sz w:val="21"/>
        </w:rPr>
        <w:t>Produire automatiquement un rapport de qualité à chaque extraction de l'ERP, adressé au service achats.</w:t>
      </w:r>
    </w:p>
    <w:p>
      <w:pPr>
        <w:pStyle w:val="ListNumber"/>
        <w:spacing w:after="40"/>
        <w:ind w:left="369"/>
      </w:pPr>
      <w:r>
        <w:rPr>
          <w:rFonts w:ascii="Calibri" w:hAnsi="Calibri"/>
          <w:b w:val="0"/>
          <w:i w:val="0"/>
          <w:color w:val="333333"/>
          <w:sz w:val="21"/>
        </w:rPr>
        <w:t>Réévaluer les moteurs alternatifs lorsque les ventes seront historisées, ce qui multipliera la volumétrie par le nombre de périodes conservées.</w:t>
      </w:r>
    </w:p>
    <w:p>
      <w:pPr>
        <w:pStyle w:val="ListNumber"/>
        <w:spacing w:after="40"/>
        <w:ind w:left="369"/>
      </w:pPr>
      <w:r>
        <w:rPr>
          <w:rFonts w:ascii="Calibri" w:hAnsi="Calibri"/>
          <w:b w:val="0"/>
          <w:i w:val="0"/>
          <w:color w:val="333333"/>
          <w:sz w:val="21"/>
        </w:rPr>
        <w:t>Étendre l'explication par valeurs de Shapley à un modèle de prévision de la demande, une fois l'historique disponible.</w:t>
      </w:r>
    </w:p>
    <w:p>
      <w:pPr>
        <w:pStyle w:val="ListNumber"/>
        <w:spacing w:after="40"/>
        <w:ind w:left="369"/>
      </w:pPr>
      <w:r>
        <w:rPr>
          <w:rFonts w:ascii="Calibri" w:hAnsi="Calibri"/>
          <w:b w:val="0"/>
          <w:i w:val="0"/>
          <w:color w:val="333333"/>
          <w:sz w:val="21"/>
        </w:rPr>
        <w:t>Réexaminer le cadre de gouvernance des données le jour où plusieurs boutiques seront intégrées.</w:t>
      </w:r>
    </w:p>
    <w:p>
      <w:pPr>
        <w:pStyle w:val="ListNumber"/>
        <w:spacing w:after="40"/>
        <w:ind w:left="369"/>
      </w:pPr>
      <w:r>
        <w:rPr>
          <w:rFonts w:ascii="Calibri" w:hAnsi="Calibri"/>
          <w:b w:val="0"/>
          <w:i w:val="0"/>
          <w:color w:val="333333"/>
          <w:sz w:val="21"/>
        </w:rPr>
        <w:t xml:space="preserve">Évaluer les sources ouvertes qui enrichiraient le catalogue, en commençant par la liste des appellations publiée par l'INAO sous Licence Ouverte, à rapprocher des noms des produits.</w:t>
      </w:r>
    </w:p>
    <w:p>
      <w:r>
        <w:rPr>
          <w:rFonts w:ascii="Calibri" w:hAnsi="Calibri"/>
          <w:b w:val="0"/>
          <w:i w:val="0"/>
          <w:color w:val="333333"/>
          <w:sz w:val="21"/>
        </w:rPr>
        <w:t xml:space="preserve">Les flux, les lettres d'information et les notifications de versions font vivre cette veille après la fin du projet.</w:t>
      </w:r>
    </w:p>
    <w:p>
      <w:r>
        <w:br w:type="page"/>
      </w:r>
    </w:p>
    <w:p>
      <w:pPr>
        <w:pStyle w:val="Heading1"/>
      </w:pPr>
      <w:bookmarkStart w:id="7019" w:name="_TocP130019"/>
      <w:r>
        <w:t xml:space="preserve">Annexe A. Le dispositif de veille en fonctionnement</w:t>
      </w:r>
      <w:bookmarkEnd w:id="7019"/>
    </w:p>
    <w:p>
      <w:r>
        <w:rPr>
          <w:rFonts w:ascii="Calibri" w:hAnsi="Calibri"/>
          <w:b w:val="0"/>
          <w:i w:val="0"/>
          <w:color w:val="333333"/>
          <w:sz w:val="21"/>
        </w:rPr>
        <w:t xml:space="preserve">Les trois captures ci-dessous ont été prises le 17 septembre 2026 sur les comptes utilisés pour le projet. Elles montrent le dispositif décrit en section 2.2 tel qu'il tourne : l'agrégateur de flux, le suivi des versions et les alertes de publications. Les lettres d'information arrivent par courriel et n'appellent pas de capture.</w:t>
      </w:r>
    </w:p>
    <w:p>
      <w:pPr>
        <w:keepNext/>
        <w:spacing w:after="60"/>
        <w:jc w:val="center"/>
      </w:pPr>
      <w:r>
        <w:drawing>
          <wp:inline xmlns:a="http://schemas.openxmlformats.org/drawingml/2006/main" xmlns:pic="http://schemas.openxmlformats.org/drawingml/2006/picture">
            <wp:extent cx="4700000" cy="3646747"/>
            <wp:docPr id="5" name="Picture 5" descr="Feedly, dossier Veille data projet 13, huit flux et derniers articles"/>
            <wp:cNvGraphicFramePr>
              <a:graphicFrameLocks noChangeAspect="1"/>
            </wp:cNvGraphicFramePr>
            <a:graphic>
              <a:graphicData uri="http://schemas.openxmlformats.org/drawingml/2006/picture">
                <pic:pic>
                  <pic:nvPicPr>
                    <pic:cNvPr id="0" name="Feedly, dossier Veille data projet 13, huit flux et derniers articles"/>
                    <pic:cNvPicPr/>
                  </pic:nvPicPr>
                  <pic:blipFill>
                    <a:blip r:embed="rId14"/>
                    <a:stretch>
                      <a:fillRect/>
                    </a:stretch>
                  </pic:blipFill>
                  <pic:spPr>
                    <a:xfrm>
                      <a:off x="0" y="0"/>
                      <a:ext cx="4700000" cy="3646747"/>
                    </a:xfrm>
                    <a:prstGeom prst="rect"/>
                  </pic:spPr>
                </pic:pic>
              </a:graphicData>
            </a:graphic>
          </wp:inline>
        </w:drawing>
      </w:r>
    </w:p>
    <w:p>
      <w:pPr>
        <w:spacing w:after="200"/>
        <w:jc w:val="center"/>
      </w:pPr>
      <w:r>
        <w:rPr>
          <w:rFonts w:ascii="Calibri" w:hAnsi="Calibri"/>
          <w:i/>
          <w:color w:val="64748B"/>
          <w:sz w:val="17"/>
        </w:rPr>
        <w:t xml:space="preserve">Figure A1. Feedly, dossier « Veille data, projet 13 » : les huit flux suivis (blogs de DuckDB et de Polars, notes de version de pandera, polars, scikit-learn, shap, duckdb et pandas). Parmi les derniers articles, l'annonce de scikit-learn 1.9.1, reçue le 11 septembre 2026.</w:t>
      </w:r>
    </w:p>
    <w:p>
      <w:pPr>
        <w:keepNext/>
        <w:spacing w:after="60"/>
        <w:jc w:val="center"/>
      </w:pPr>
      <w:r>
        <w:drawing>
          <wp:inline xmlns:a="http://schemas.openxmlformats.org/drawingml/2006/main" xmlns:pic="http://schemas.openxmlformats.org/drawingml/2006/picture">
            <wp:extent cx="5760000" cy="1315794"/>
            <wp:docPr id="6" name="Picture 6" descr="GitHub, page Watching, quatre dépôts suivis pour leurs versions"/>
            <wp:cNvGraphicFramePr>
              <a:graphicFrameLocks noChangeAspect="1"/>
            </wp:cNvGraphicFramePr>
            <a:graphic>
              <a:graphicData uri="http://schemas.openxmlformats.org/drawingml/2006/picture">
                <pic:pic>
                  <pic:nvPicPr>
                    <pic:cNvPr id="0" name="GitHub, page Watching, quatre dépôts suivis pour leurs versions"/>
                    <pic:cNvPicPr/>
                  </pic:nvPicPr>
                  <pic:blipFill>
                    <a:blip r:embed="rId15"/>
                    <a:stretch>
                      <a:fillRect/>
                    </a:stretch>
                  </pic:blipFill>
                  <pic:spPr>
                    <a:xfrm>
                      <a:off x="0" y="0"/>
                      <a:ext cx="5760000" cy="1315794"/>
                    </a:xfrm>
                    <a:prstGeom prst="rect"/>
                  </pic:spPr>
                </pic:pic>
              </a:graphicData>
            </a:graphic>
          </wp:inline>
        </w:drawing>
      </w:r>
    </w:p>
    <w:p>
      <w:pPr>
        <w:spacing w:after="200"/>
        <w:jc w:val="center"/>
      </w:pPr>
      <w:r>
        <w:rPr>
          <w:rFonts w:ascii="Calibri" w:hAnsi="Calibri"/>
          <w:i/>
          <w:color w:val="64748B"/>
          <w:sz w:val="17"/>
        </w:rPr>
        <w:t xml:space="preserve">Figure A2. GitHub, page « Watching » du compte : les dépôts unionai-oss/pandera, pola-rs/polars, duckdb/duckdb et shap/shap suivis en mode personnalisé, notification à chaque publication de version.</w:t>
      </w:r>
    </w:p>
    <w:p>
      <w:pPr>
        <w:keepNext/>
        <w:spacing w:after="60"/>
        <w:jc w:val="center"/>
      </w:pPr>
      <w:r>
        <w:drawing>
          <wp:inline xmlns:a="http://schemas.openxmlformats.org/drawingml/2006/main" xmlns:pic="http://schemas.openxmlformats.org/drawingml/2006/picture">
            <wp:extent cx="4600000" cy="1167692"/>
            <wp:docPr id="7" name="Picture 7" descr="Google Scholar, liste des deux alertes"/>
            <wp:cNvGraphicFramePr>
              <a:graphicFrameLocks noChangeAspect="1"/>
            </wp:cNvGraphicFramePr>
            <a:graphic>
              <a:graphicData uri="http://schemas.openxmlformats.org/drawingml/2006/picture">
                <pic:pic>
                  <pic:nvPicPr>
                    <pic:cNvPr id="0" name="Google Scholar, liste des deux alertes"/>
                    <pic:cNvPicPr/>
                  </pic:nvPicPr>
                  <pic:blipFill>
                    <a:blip r:embed="rId16"/>
                    <a:stretch>
                      <a:fillRect/>
                    </a:stretch>
                  </pic:blipFill>
                  <pic:spPr>
                    <a:xfrm>
                      <a:off x="0" y="0"/>
                      <a:ext cx="4600000" cy="1167692"/>
                    </a:xfrm>
                    <a:prstGeom prst="rect"/>
                  </pic:spPr>
                </pic:pic>
              </a:graphicData>
            </a:graphic>
          </wp:inline>
        </w:drawing>
      </w:r>
    </w:p>
    <w:p>
      <w:pPr>
        <w:spacing w:after="200"/>
        <w:jc w:val="center"/>
      </w:pPr>
      <w:r>
        <w:rPr>
          <w:rFonts w:ascii="Calibri" w:hAnsi="Calibri"/>
          <w:i/>
          <w:color w:val="64748B"/>
          <w:sz w:val="17"/>
        </w:rPr>
        <w:t xml:space="preserve">Figure A3. Google Scholar : les deux alertes hebdomadaires, « dataframe validation schema pandas » et « SHAP model interpretability retail sales », créées le 17 septembre 2026.</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2E8F0"/>
      </w:pBdr>
      <w:tabs>
        <w:tab w:pos="9298" w:val="right"/>
      </w:tabs>
    </w:pPr>
    <w:r/>
    <w:r>
      <w:rPr>
        <w:rFonts w:ascii="Calibri" w:hAnsi="Calibri"/>
        <w:color w:val="64748B"/>
        <w:sz w:val="15"/>
      </w:rPr>
      <w:t>BottleNeck, veille métier et technologique</w:t>
    </w:r>
    <w:r>
      <w:rPr>
        <w:sz w:val="15"/>
      </w:rPr>
      <w:tab/>
    </w:r>
    <w:r>
      <w:rPr>
        <w:rFonts w:ascii="Calibri" w:hAnsi="Calibri"/>
        <w:color w:val="64748B"/>
        <w:sz w:val="15"/>
      </w:rPr>
      <w:t xml:space="preserve">Page </w:t>
    </w:r>
    <w:r>
      <w:rPr>
        <w:rFonts w:ascii="Calibri" w:hAnsi="Calibri"/>
        <w:color w:val="64748B"/>
        <w:sz w:val="15"/>
      </w:rPr>
      <w:fldChar w:fldCharType="begin"/>
      <w:instrText xml:space="preserve"> PAGE </w:instrText>
      <w:fldChar w:fldCharType="separate"/>
      <w:fldChar w:fldCharType="end"/>
    </w:r>
    <w:r>
      <w:rPr>
        <w:rFonts w:ascii="Calibri" w:hAnsi="Calibri"/>
        <w:color w:val="64748B"/>
        <w:sz w:val="15"/>
      </w:rPr>
      <w:t xml:space="preserve"> sur </w:t>
    </w:r>
    <w:r>
      <w:rPr>
        <w:rFonts w:ascii="Calibri" w:hAnsi="Calibri"/>
        <w:color w:val="64748B"/>
        <w:sz w:val="15"/>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aps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3D5A8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aps w:val="0"/>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Lien1" Type="http://schemas.openxmlformats.org/officeDocument/2006/relationships/hyperlink" Target="https://arxiv.org/abs/1705.07874" TargetMode="External"/><Relationship Id="rIdLien2" Type="http://schemas.openxmlformats.org/officeDocument/2006/relationships/hyperlink" Target="https://dataelixir.com/" TargetMode="External"/><Relationship Id="rIdLien3" Type="http://schemas.openxmlformats.org/officeDocument/2006/relationships/hyperlink" Target="https://docs.greatexpectations.io/docs/core/introduction/try_gx" TargetMode="External"/><Relationship Id="rIdLien4" Type="http://schemas.openxmlformats.org/officeDocument/2006/relationships/hyperlink" Target="https://docs.pola.rs/" TargetMode="External"/><Relationship Id="rIdLien5" Type="http://schemas.openxmlformats.org/officeDocument/2006/relationships/hyperlink" Target="https://duckdb.org/docs/current/" TargetMode="External"/><Relationship Id="rIdLien6" Type="http://schemas.openxmlformats.org/officeDocument/2006/relationships/hyperlink" Target="https://duckdb.org/news/" TargetMode="External"/><Relationship Id="rIdLien7" Type="http://schemas.openxmlformats.org/officeDocument/2006/relationships/hyperlink" Target="https://duckdblabs.github.io/db-benchmark/" TargetMode="External"/><Relationship Id="rIdLien8" Type="http://schemas.openxmlformats.org/officeDocument/2006/relationships/hyperlink" Target="https://github.com/duckdb/duckdb" TargetMode="External"/><Relationship Id="rIdLien9" Type="http://schemas.openxmlformats.org/officeDocument/2006/relationships/hyperlink" Target="https://github.com/pola-rs/polars" TargetMode="External"/><Relationship Id="rIdLien10" Type="http://schemas.openxmlformats.org/officeDocument/2006/relationships/hyperlink" Target="https://github.com/shap/shap" TargetMode="External"/><Relationship Id="rIdLien11" Type="http://schemas.openxmlformats.org/officeDocument/2006/relationships/hyperlink" Target="https://github.com/unionai-oss/pandera" TargetMode="External"/><Relationship Id="rIdLien12" Type="http://schemas.openxmlformats.org/officeDocument/2006/relationships/hyperlink" Target="https://pandas.pydata.org/docs/whatsnew/index.html" TargetMode="External"/><Relationship Id="rIdLien13" Type="http://schemas.openxmlformats.org/officeDocument/2006/relationships/hyperlink" Target="https://pandera.readthedocs.io/en/stable/" TargetMode="External"/><Relationship Id="rIdLien14" Type="http://schemas.openxmlformats.org/officeDocument/2006/relationships/hyperlink" Target="https://pola.rs/posts/" TargetMode="External"/><Relationship Id="rIdLien15" Type="http://schemas.openxmlformats.org/officeDocument/2006/relationships/hyperlink" Target="https://scikit-learn.org/1.8/modules/outlier_detection.html" TargetMode="External"/><Relationship Id="rIdLien16" Type="http://schemas.openxmlformats.org/officeDocument/2006/relationships/hyperlink" Target="https://scikit-learn.org/stable/whats_new.html" TargetMode="External"/><Relationship Id="rIdLien17" Type="http://schemas.openxmlformats.org/officeDocument/2006/relationships/hyperlink" Target="https://shap.readthedocs.io/en/latest/release_notes.html" TargetMode="External"/><Relationship Id="rIdLien18" Type="http://schemas.openxmlformats.org/officeDocument/2006/relationships/hyperlink" Target="https://shap.readthedocs.io/en/stable/" TargetMode="External"/><Relationship Id="rIdLien19" Type="http://schemas.openxmlformats.org/officeDocument/2006/relationships/hyperlink" Target="https://tldr.tech/data" TargetMode="External"/><Relationship Id="rIdLien20" Type="http://schemas.openxmlformats.org/officeDocument/2006/relationships/hyperlink" Target="https://www.cnil.fr/fr/intelligence-artificielle" TargetMode="External"/><Relationship Id="rIdLien21" Type="http://schemas.openxmlformats.org/officeDocument/2006/relationships/hyperlink" Target="https://www.cnil.fr/fr/les-questions-reponses-de-la-cnil-sur-lutilisation-dun-systeme-dia-generative" TargetMode="External"/><Relationship Id="rIdLien22" Type="http://schemas.openxmlformats.org/officeDocument/2006/relationships/hyperlink" Target="https://www.data.gouv.fr/datasets/aires-et-produits-aoc-aop-et-igp" TargetMode="External"/><Relationship Id="rIdLien23" Type="http://schemas.openxmlformats.org/officeDocument/2006/relationships/hyperlink" Target="https://www.drogues.gouv.fr/en-matiere-dalcool" TargetMode="External"/><Relationship Id="rIdLien24" Type="http://schemas.openxmlformats.org/officeDocument/2006/relationships/hyperlink" Target="https://www.economie.gouv.fr/dgccrf/les-fiches-pratiques/e-commerce-les-regles-entre-professionnels-et-consommateurs" TargetMode="External"/><Relationship Id="rIdLien25" Type="http://schemas.openxmlformats.org/officeDocument/2006/relationships/hyperlink" Target="https://www.fevad.com/le-e-commerce-progresse-de-66-au-premier-semestre-2026/" TargetMode="External"/><Relationship Id="rIdLien26" Type="http://schemas.openxmlformats.org/officeDocument/2006/relationships/hyperlink" Target="https://www.franceagrimer.fr/chiffre-et-analyses-economiques/note-de-conjoncture-mensuelle-sur-la-filiere-viti-vinicole" TargetMode="External"/><Relationship Id="rIdLien27" Type="http://schemas.openxmlformats.org/officeDocument/2006/relationships/hyperlink" Target="https://www.oiv.int/sites/default/files/2026-05/OIV-State_of_the_World_Wine_Sector_in_2025_1.pdf" TargetMode="External"/><Relationship Id="rIdLien28" Type="http://schemas.openxmlformats.org/officeDocument/2006/relationships/hyperlink" Target="https://www.pythonweek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4638</Words>
  <Characters>25507</Characters>
  <Application>Microsoft Office Word</Application>
  <DocSecurity>0</DocSecurity>
  <Lines>549</Lines>
  <Paragraphs>549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Lippens</dc:creator>
  <cp:keywords/>
  <dc:description/>
  <cp:lastModifiedBy>Charles Lippens</cp:lastModifiedBy>
  <cp:revision>1</cp:revision>
  <dcterms:created xsi:type="dcterms:W3CDTF">2026-10-09T10:08:35Z</dcterms:created>
  <dcterms:modified xsi:type="dcterms:W3CDTF">2026-10-13T21:55:00Z</dcterms:modified>
</cp:coreProperties>
</file>