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rFonts w:ascii="Calibri" w:hAnsi="Calibri"/>
          <w:b/>
          <w:caps/>
          <w:color w:val="6B7280"/>
          <w:sz w:val="18"/>
        </w:rPr>
        <w:t>Projet 13, partie 1, livrable 2, documentation</w:t>
      </w:r>
    </w:p>
    <w:p>
      <w:pPr>
        <w:pStyle w:val="Title"/>
        <w:spacing w:after="60"/>
      </w:pPr>
      <w:r>
        <w:t>Cahier des charges fonctionnel</w:t>
      </w:r>
    </w:p>
    <w:p>
      <w:pPr>
        <w:spacing w:after="360"/>
      </w:pPr>
      <w:r>
        <w:rPr>
          <w:rFonts w:ascii="Calibri" w:hAnsi="Calibri"/>
          <w:color w:val="3D5A80"/>
          <w:sz w:val="24"/>
        </w:rPr>
        <w:t>Cadrage du besoin métier et plan d'accompagnement des utilisateurs</w:t>
      </w:r>
    </w:p>
    <w:p>
      <w:pPr>
        <w:pBdr>
          <w:bottom w:val="single" w:sz="8" w:space="1" w:color="C9D3DF"/>
        </w:pBdr>
        <w:spacing w:after="280"/>
      </w:pPr>
    </w:p>
    <w:p>
      <w:pPr>
        <w:spacing w:after="60"/>
      </w:pPr>
      <w:r>
        <w:rPr>
          <w:rFonts w:ascii="Calibri" w:hAnsi="Calibri"/>
          <w:b/>
          <w:color w:val="1F2937"/>
          <w:sz w:val="20"/>
        </w:rPr>
        <w:t xml:space="preserve">Auteur : </w:t>
      </w:r>
      <w:r>
        <w:rPr>
          <w:rFonts w:ascii="Calibri" w:hAnsi="Calibri"/>
          <w:color w:val="333333"/>
          <w:sz w:val="20"/>
        </w:rPr>
        <w:t>Charles Lippens, Data Analyst</w:t>
      </w:r>
    </w:p>
    <w:p>
      <w:pPr>
        <w:spacing w:after="60"/>
      </w:pPr>
      <w:r>
        <w:rPr>
          <w:rFonts w:ascii="Calibri" w:hAnsi="Calibri"/>
          <w:b/>
          <w:color w:val="1F2937"/>
          <w:sz w:val="20"/>
        </w:rPr>
        <w:t xml:space="preserve">Commanditaire : </w:t>
      </w:r>
      <w:r>
        <w:rPr>
          <w:rFonts w:ascii="Calibri" w:hAnsi="Calibri"/>
          <w:color w:val="333333"/>
          <w:sz w:val="20"/>
        </w:rPr>
        <w:t xml:space="preserve">Nicolas, responsable des ventes de BottleNeck, pour la direction et les services (scénario du projet 6) ; utilisateurs au quotidien : ceux qui passent les commandes de réassort, appelés ici le service achats (voir 1.2)</w:t>
      </w:r>
    </w:p>
    <w:p>
      <w:pPr>
        <w:spacing w:after="60"/>
      </w:pPr>
      <w:r>
        <w:rPr>
          <w:rFonts w:ascii="Calibri" w:hAnsi="Calibri"/>
          <w:b/>
          <w:color w:val="1F2937"/>
          <w:sz w:val="20"/>
        </w:rPr>
        <w:t xml:space="preserve">Objectif : </w:t>
      </w:r>
      <w:r>
        <w:rPr>
          <w:rFonts w:ascii="Calibri" w:hAnsi="Calibri"/>
          <w:color w:val="333333"/>
          <w:sz w:val="20"/>
        </w:rPr>
        <w:t xml:space="preserve">Passer du notebook technique du projet 6 à une réponse mesurable et utile à la direction</w:t>
      </w:r>
    </w:p>
    <w:p>
      <w:pPr>
        <w:spacing w:after="60"/>
      </w:pPr>
      <w:r>
        <w:rPr>
          <w:rFonts w:ascii="Calibri" w:hAnsi="Calibri"/>
          <w:b/>
          <w:color w:val="1F2937"/>
          <w:sz w:val="20"/>
        </w:rPr>
        <w:t xml:space="preserve">Date : </w:t>
      </w:r>
      <w:r>
        <w:rPr>
          <w:rFonts w:ascii="Calibri" w:hAnsi="Calibri"/>
          <w:color w:val="333333"/>
          <w:sz w:val="20"/>
        </w:rPr>
        <w:t xml:space="preserve">Octobre 2026, dépôt du projet</w:t>
      </w:r>
    </w:p>
    <w:p>
      <w:pPr>
        <w:spacing w:after="60"/>
      </w:pPr>
      <w:r>
        <w:rPr>
          <w:rFonts w:ascii="Calibri" w:hAnsi="Calibri"/>
          <w:b/>
          <w:color w:val="333333"/>
          <w:sz w:val="20"/>
        </w:rPr>
        <w:t xml:space="preserve">Version : </w:t>
      </w:r>
      <w:r>
        <w:rPr>
          <w:rFonts w:ascii="Calibri" w:hAnsi="Calibri"/>
          <w:b w:val="0"/>
          <w:color w:val="333333"/>
          <w:sz w:val="20"/>
        </w:rPr>
        <w:t xml:space="preserve">2.11, le 7 octobre 2026 : mise en situation faite, clarté de la restitution atteinte ; 2.10, jalon J4 validé en séance 3, le 2 octobre 2026 ; 2.9, mise à jour du 1er octobre 2026 (jalon J4 réussi le 30 septembre, reproductibilité, date du dépôt, typographie) ; 2.8, fonctionnalité F8 (listes de réassort) et stabilité du modèle mesurée (essais C et D du notebook complémentaire), puis relecture finale (couverture de stock, annexe A), le 25 septembre 2026, et mise à jour du 28 septembre 2026 (jalons validés et soutenance, problématique, performance datée, reproductibilité, texte allégé) ; 2.7, relecture après l'audit de l'énoncé : chronologie des seuils, portée du contrat de qualité, facteurs de performance, temps de travail, rédaction allégée, puis relecture indépendante (portée de la cellule d'audit, stabilité en partiel), le 25 septembre 2026 ; 2.6, structure calée sur l'étape 2 de l'énoncé (décisions des parties prenantes, périmètre par dimension, valeurs manquantes et stabilité), le 25 septembre 2026 ; 2.5, problématique et besoins métier reformulés plus simplement, commanditaire et période précisés, le 24 septembre 2026 ; 2.4, dates réelles des séances de mentorat et de la soutenance reportées le 17 septembre 2026 ; 2.3, cadrage en une page et fonctionnalités avec critères d'acceptation ; 2.2, corrigée après les deux passages d'audit</w:t>
      </w:r>
    </w:p>
    <w:p>
      <w:r>
        <w:br w:type="page"/>
      </w:r>
    </w:p>
    <w:p>
      <w:pPr>
        <w:spacing w:after="200"/>
      </w:pPr>
      <w:r>
        <w:rPr>
          <w:rFonts w:ascii="Calibri" w:hAnsi="Calibri"/>
          <w:b/>
          <w:color w:val="6B7280"/>
          <w:sz w:val="30"/>
        </w:rPr>
        <w:t>Sommaire</w:t>
      </w:r>
    </w:p>
    <w:p>
      <w:pPr>
        <w:tabs>
          <w:tab w:val="right" w:leader="dot" w:pos="9298"/>
        </w:tabs>
        <w:spacing w:after="40"/>
        <w:ind w:left="0"/>
      </w:pPr>
      <w:r>
        <w:fldChar w:fldCharType="begin"/>
      </w:r>
      <w:r>
        <w:instrText xml:space="preserve">TOC \o "1-3" \h \z \u</w:instrText>
      </w:r>
      <w:r>
        <w:fldChar w:fldCharType="separate"/>
      </w:r>
      <w:hyperlink w:anchor="_TocP130001" w:history="1">
        <w:r>
          <w:rPr>
            <w:rFonts w:ascii="Calibri" w:hAnsi="Calibri"/>
            <w:color w:val="1F2937"/>
            <w:sz w:val="21"/>
          </w:rPr>
          <w:t xml:space="preserve">1. Contexte, état actuel et parties prenantes</w:t>
        </w:r>
        <w:r>
          <w:rPr>
            <w:rFonts w:ascii="Calibri" w:hAnsi="Calibri"/>
            <w:color w:val="1F2937"/>
            <w:sz w:val="21"/>
          </w:rPr>
          <w:tab/>
        </w:r>
        <w:r>
          <w:rPr>
            <w:rFonts w:ascii="Calibri" w:hAnsi="Calibri"/>
            <w:color w:val="1F2937"/>
            <w:sz w:val="21"/>
          </w:rPr>
          <w:t>4</w:t>
        </w:r>
      </w:hyperlink>
    </w:p>
    <w:p>
      <w:pPr>
        <w:tabs>
          <w:tab w:val="right" w:leader="dot" w:pos="9298"/>
        </w:tabs>
        <w:spacing w:after="40"/>
        <w:ind w:left="340"/>
      </w:pPr>
      <w:hyperlink w:anchor="_TocP130002" w:history="1">
        <w:r>
          <w:rPr>
            <w:rFonts w:ascii="Calibri" w:hAnsi="Calibri"/>
            <w:color w:val="1F2937"/>
            <w:sz w:val="21"/>
          </w:rPr>
          <w:t xml:space="preserve">1.1 Un environnement complexe et changeant</w:t>
        </w:r>
        <w:r>
          <w:rPr>
            <w:rFonts w:ascii="Calibri" w:hAnsi="Calibri"/>
            <w:color w:val="1F2937"/>
            <w:sz w:val="21"/>
          </w:rPr>
          <w:tab/>
        </w:r>
        <w:r>
          <w:rPr>
            <w:rFonts w:ascii="Calibri" w:hAnsi="Calibri"/>
            <w:color w:val="1F2937"/>
            <w:sz w:val="21"/>
          </w:rPr>
          <w:t>4</w:t>
        </w:r>
      </w:hyperlink>
    </w:p>
    <w:p>
      <w:pPr>
        <w:tabs>
          <w:tab w:val="right" w:leader="dot" w:pos="9298"/>
        </w:tabs>
        <w:spacing w:after="40"/>
        <w:ind w:left="340"/>
      </w:pPr>
      <w:hyperlink w:anchor="_TocP130003" w:history="1">
        <w:r>
          <w:rPr>
            <w:rFonts w:ascii="Calibri" w:hAnsi="Calibri"/>
            <w:color w:val="1F2937"/>
            <w:sz w:val="21"/>
          </w:rPr>
          <w:t xml:space="preserve">1.2 Parties prenantes</w:t>
        </w:r>
        <w:r>
          <w:rPr>
            <w:rFonts w:ascii="Calibri" w:hAnsi="Calibri"/>
            <w:color w:val="1F2937"/>
            <w:sz w:val="21"/>
          </w:rPr>
          <w:tab/>
        </w:r>
        <w:r>
          <w:rPr>
            <w:rFonts w:ascii="Calibri" w:hAnsi="Calibri"/>
            <w:color w:val="1F2937"/>
            <w:sz w:val="21"/>
          </w:rPr>
          <w:t>4</w:t>
        </w:r>
      </w:hyperlink>
    </w:p>
    <w:p>
      <w:pPr>
        <w:tabs>
          <w:tab w:val="right" w:leader="dot" w:pos="9298"/>
        </w:tabs>
        <w:spacing w:after="40"/>
        <w:ind w:left="0"/>
      </w:pPr>
      <w:hyperlink w:anchor="_TocP130004" w:history="1">
        <w:r>
          <w:rPr>
            <w:rFonts w:ascii="Calibri" w:hAnsi="Calibri"/>
            <w:color w:val="1F2937"/>
            <w:sz w:val="21"/>
          </w:rPr>
          <w:t xml:space="preserve">2. Problématique métier reformulée</w:t>
        </w:r>
        <w:r>
          <w:rPr>
            <w:rFonts w:ascii="Calibri" w:hAnsi="Calibri"/>
            <w:color w:val="1F2937"/>
            <w:sz w:val="21"/>
          </w:rPr>
          <w:tab/>
        </w:r>
        <w:r>
          <w:rPr>
            <w:rFonts w:ascii="Calibri" w:hAnsi="Calibri"/>
            <w:color w:val="1F2937"/>
            <w:sz w:val="21"/>
          </w:rPr>
          <w:t>5</w:t>
        </w:r>
      </w:hyperlink>
    </w:p>
    <w:p>
      <w:pPr>
        <w:tabs>
          <w:tab w:val="right" w:leader="dot" w:pos="9298"/>
        </w:tabs>
        <w:spacing w:after="40"/>
        <w:ind w:left="340"/>
      </w:pPr>
      <w:hyperlink w:anchor="_TocP130005" w:history="1">
        <w:r>
          <w:rPr>
            <w:rFonts w:ascii="Calibri" w:hAnsi="Calibri"/>
            <w:color w:val="1F2937"/>
            <w:sz w:val="21"/>
          </w:rPr>
          <w:t xml:space="preserve">2.1 Objectifs et enjeux</w:t>
        </w:r>
        <w:r>
          <w:rPr>
            <w:rFonts w:ascii="Calibri" w:hAnsi="Calibri"/>
            <w:color w:val="1F2937"/>
            <w:sz w:val="21"/>
          </w:rPr>
          <w:tab/>
        </w:r>
        <w:r>
          <w:rPr>
            <w:rFonts w:ascii="Calibri" w:hAnsi="Calibri"/>
            <w:color w:val="1F2937"/>
            <w:sz w:val="21"/>
          </w:rPr>
          <w:t>5</w:t>
        </w:r>
      </w:hyperlink>
    </w:p>
    <w:p>
      <w:pPr>
        <w:tabs>
          <w:tab w:val="right" w:leader="dot" w:pos="9298"/>
        </w:tabs>
        <w:spacing w:after="40"/>
        <w:ind w:left="340"/>
      </w:pPr>
      <w:hyperlink w:anchor="_TocP130006" w:history="1">
        <w:r>
          <w:rPr>
            <w:rFonts w:ascii="Calibri" w:hAnsi="Calibri"/>
            <w:color w:val="1F2937"/>
            <w:sz w:val="21"/>
          </w:rPr>
          <w:t xml:space="preserve">2.2 Éléments prioritaires</w:t>
        </w:r>
        <w:r>
          <w:rPr>
            <w:rFonts w:ascii="Calibri" w:hAnsi="Calibri"/>
            <w:color w:val="1F2937"/>
            <w:sz w:val="21"/>
          </w:rPr>
          <w:tab/>
        </w:r>
        <w:r>
          <w:rPr>
            <w:rFonts w:ascii="Calibri" w:hAnsi="Calibri"/>
            <w:color w:val="1F2937"/>
            <w:sz w:val="21"/>
          </w:rPr>
          <w:t>6</w:t>
        </w:r>
      </w:hyperlink>
    </w:p>
    <w:p>
      <w:pPr>
        <w:tabs>
          <w:tab w:val="right" w:leader="dot" w:pos="9298"/>
        </w:tabs>
        <w:spacing w:after="40"/>
        <w:ind w:left="0"/>
      </w:pPr>
      <w:hyperlink w:anchor="_TocP130007" w:history="1">
        <w:r>
          <w:rPr>
            <w:rFonts w:ascii="Calibri" w:hAnsi="Calibri"/>
            <w:color w:val="1F2937"/>
            <w:sz w:val="21"/>
          </w:rPr>
          <w:t xml:space="preserve">3. Périmètre du projet</w:t>
        </w:r>
        <w:r>
          <w:rPr>
            <w:rFonts w:ascii="Calibri" w:hAnsi="Calibri"/>
            <w:color w:val="1F2937"/>
            <w:sz w:val="21"/>
          </w:rPr>
          <w:tab/>
        </w:r>
        <w:r>
          <w:rPr>
            <w:rFonts w:ascii="Calibri" w:hAnsi="Calibri"/>
            <w:color w:val="1F2937"/>
            <w:sz w:val="21"/>
          </w:rPr>
          <w:t>6</w:t>
        </w:r>
      </w:hyperlink>
    </w:p>
    <w:p>
      <w:pPr>
        <w:tabs>
          <w:tab w:val="right" w:leader="dot" w:pos="9298"/>
        </w:tabs>
        <w:spacing w:after="40"/>
        <w:ind w:left="340"/>
      </w:pPr>
      <w:hyperlink w:anchor="_TocP130008" w:history="1">
        <w:r>
          <w:rPr>
            <w:rFonts w:ascii="Calibri" w:hAnsi="Calibri"/>
            <w:color w:val="1F2937"/>
            <w:sz w:val="21"/>
          </w:rPr>
          <w:t xml:space="preserve">3.1 Fonctionnalités attendues et critères d'acceptation</w:t>
        </w:r>
        <w:r>
          <w:rPr>
            <w:rFonts w:ascii="Calibri" w:hAnsi="Calibri"/>
            <w:color w:val="1F2937"/>
            <w:sz w:val="21"/>
          </w:rPr>
          <w:tab/>
        </w:r>
        <w:r>
          <w:rPr>
            <w:rFonts w:ascii="Calibri" w:hAnsi="Calibri"/>
            <w:color w:val="1F2937"/>
            <w:sz w:val="21"/>
          </w:rPr>
          <w:t>7</w:t>
        </w:r>
      </w:hyperlink>
    </w:p>
    <w:p>
      <w:pPr>
        <w:tabs>
          <w:tab w:val="right" w:leader="dot" w:pos="9298"/>
        </w:tabs>
        <w:spacing w:after="40"/>
        <w:ind w:left="0"/>
      </w:pPr>
      <w:hyperlink w:anchor="_TocP130009" w:history="1">
        <w:r>
          <w:rPr>
            <w:rFonts w:ascii="Calibri" w:hAnsi="Calibri"/>
            <w:color w:val="1F2937"/>
            <w:sz w:val="21"/>
          </w:rPr>
          <w:t xml:space="preserve">4. Contraintes et réponses apportées</w:t>
        </w:r>
        <w:r>
          <w:rPr>
            <w:rFonts w:ascii="Calibri" w:hAnsi="Calibri"/>
            <w:color w:val="1F2937"/>
            <w:sz w:val="21"/>
          </w:rPr>
          <w:tab/>
        </w:r>
        <w:r>
          <w:rPr>
            <w:rFonts w:ascii="Calibri" w:hAnsi="Calibri"/>
            <w:color w:val="1F2937"/>
            <w:sz w:val="21"/>
          </w:rPr>
          <w:t>8</w:t>
        </w:r>
      </w:hyperlink>
    </w:p>
    <w:p>
      <w:pPr>
        <w:tabs>
          <w:tab w:val="right" w:leader="dot" w:pos="9298"/>
        </w:tabs>
        <w:spacing w:after="40"/>
        <w:ind w:left="0"/>
      </w:pPr>
      <w:hyperlink w:anchor="_TocP130010" w:history="1">
        <w:r>
          <w:rPr>
            <w:rFonts w:ascii="Calibri" w:hAnsi="Calibri"/>
            <w:color w:val="1F2937"/>
            <w:sz w:val="21"/>
          </w:rPr>
          <w:t xml:space="preserve">5. Critères de réussite et indicateurs (KPI)</w:t>
        </w:r>
        <w:r>
          <w:rPr>
            <w:rFonts w:ascii="Calibri" w:hAnsi="Calibri"/>
            <w:color w:val="1F2937"/>
            <w:sz w:val="21"/>
          </w:rPr>
          <w:tab/>
        </w:r>
        <w:r>
          <w:rPr>
            <w:rFonts w:ascii="Calibri" w:hAnsi="Calibri"/>
            <w:color w:val="1F2937"/>
            <w:sz w:val="21"/>
          </w:rPr>
          <w:t>8</w:t>
        </w:r>
      </w:hyperlink>
    </w:p>
    <w:p>
      <w:pPr>
        <w:tabs>
          <w:tab w:val="right" w:leader="dot" w:pos="9298"/>
        </w:tabs>
        <w:spacing w:after="40"/>
        <w:ind w:left="340"/>
      </w:pPr>
      <w:hyperlink w:anchor="_TocP130011" w:history="1">
        <w:r>
          <w:rPr>
            <w:rFonts w:ascii="Calibri" w:hAnsi="Calibri"/>
            <w:color w:val="1F2937"/>
            <w:sz w:val="21"/>
          </w:rPr>
          <w:t xml:space="preserve">5.1 Indicateurs de qualité des données</w:t>
        </w:r>
        <w:r>
          <w:rPr>
            <w:rFonts w:ascii="Calibri" w:hAnsi="Calibri"/>
            <w:color w:val="1F2937"/>
            <w:sz w:val="21"/>
          </w:rPr>
          <w:tab/>
        </w:r>
        <w:r>
          <w:rPr>
            <w:rFonts w:ascii="Calibri" w:hAnsi="Calibri"/>
            <w:color w:val="1F2937"/>
            <w:sz w:val="21"/>
          </w:rPr>
          <w:t>9</w:t>
        </w:r>
      </w:hyperlink>
    </w:p>
    <w:p>
      <w:pPr>
        <w:tabs>
          <w:tab w:val="right" w:leader="dot" w:pos="9298"/>
        </w:tabs>
        <w:spacing w:after="40"/>
        <w:ind w:left="340"/>
      </w:pPr>
      <w:hyperlink w:anchor="_TocP130012" w:history="1">
        <w:r>
          <w:rPr>
            <w:rFonts w:ascii="Calibri" w:hAnsi="Calibri"/>
            <w:color w:val="1F2937"/>
            <w:sz w:val="21"/>
          </w:rPr>
          <w:t xml:space="preserve">5.2 Indicateurs de modèle et d'analyse</w:t>
        </w:r>
        <w:r>
          <w:rPr>
            <w:rFonts w:ascii="Calibri" w:hAnsi="Calibri"/>
            <w:color w:val="1F2937"/>
            <w:sz w:val="21"/>
          </w:rPr>
          <w:tab/>
        </w:r>
        <w:r>
          <w:rPr>
            <w:rFonts w:ascii="Calibri" w:hAnsi="Calibri"/>
            <w:color w:val="1F2937"/>
            <w:sz w:val="21"/>
          </w:rPr>
          <w:t>9</w:t>
        </w:r>
      </w:hyperlink>
    </w:p>
    <w:p>
      <w:pPr>
        <w:tabs>
          <w:tab w:val="right" w:leader="dot" w:pos="9298"/>
        </w:tabs>
        <w:spacing w:after="40"/>
        <w:ind w:left="340"/>
      </w:pPr>
      <w:hyperlink w:anchor="_TocP130013" w:history="1">
        <w:r>
          <w:rPr>
            <w:rFonts w:ascii="Calibri" w:hAnsi="Calibri"/>
            <w:color w:val="1F2937"/>
            <w:sz w:val="21"/>
          </w:rPr>
          <w:t xml:space="preserve">5.3 Indicateurs opérationnels</w:t>
        </w:r>
        <w:r>
          <w:rPr>
            <w:rFonts w:ascii="Calibri" w:hAnsi="Calibri"/>
            <w:color w:val="1F2937"/>
            <w:sz w:val="21"/>
          </w:rPr>
          <w:tab/>
        </w:r>
        <w:r>
          <w:rPr>
            <w:rFonts w:ascii="Calibri" w:hAnsi="Calibri"/>
            <w:color w:val="1F2937"/>
            <w:sz w:val="21"/>
          </w:rPr>
          <w:t>10</w:t>
        </w:r>
      </w:hyperlink>
    </w:p>
    <w:p>
      <w:pPr>
        <w:tabs>
          <w:tab w:val="right" w:leader="dot" w:pos="9298"/>
        </w:tabs>
        <w:spacing w:after="40"/>
        <w:ind w:left="0"/>
      </w:pPr>
      <w:hyperlink w:anchor="_TocP130014" w:history="1">
        <w:r>
          <w:rPr>
            <w:rFonts w:ascii="Calibri" w:hAnsi="Calibri"/>
            <w:color w:val="1F2937"/>
            <w:sz w:val="21"/>
          </w:rPr>
          <w:t xml:space="preserve">6. Livrables et jalons</w:t>
        </w:r>
        <w:r>
          <w:rPr>
            <w:rFonts w:ascii="Calibri" w:hAnsi="Calibri"/>
            <w:color w:val="1F2937"/>
            <w:sz w:val="21"/>
          </w:rPr>
          <w:tab/>
        </w:r>
        <w:r>
          <w:rPr>
            <w:rFonts w:ascii="Calibri" w:hAnsi="Calibri"/>
            <w:color w:val="1F2937"/>
            <w:sz w:val="21"/>
          </w:rPr>
          <w:t>10</w:t>
        </w:r>
      </w:hyperlink>
    </w:p>
    <w:p>
      <w:pPr>
        <w:tabs>
          <w:tab w:val="right" w:leader="dot" w:pos="9298"/>
        </w:tabs>
        <w:spacing w:after="40"/>
        <w:ind w:left="0"/>
      </w:pPr>
      <w:hyperlink w:anchor="_TocP130015" w:history="1">
        <w:r>
          <w:rPr>
            <w:rFonts w:ascii="Calibri" w:hAnsi="Calibri"/>
            <w:color w:val="1F2937"/>
            <w:sz w:val="21"/>
          </w:rPr>
          <w:t xml:space="preserve">7. Mini-plan de formation et accompagnement des utilisateurs</w:t>
        </w:r>
        <w:r>
          <w:rPr>
            <w:rFonts w:ascii="Calibri" w:hAnsi="Calibri"/>
            <w:color w:val="1F2937"/>
            <w:sz w:val="21"/>
          </w:rPr>
          <w:tab/>
        </w:r>
        <w:r>
          <w:rPr>
            <w:rFonts w:ascii="Calibri" w:hAnsi="Calibri"/>
            <w:color w:val="1F2937"/>
            <w:sz w:val="21"/>
          </w:rPr>
          <w:t>11</w:t>
        </w:r>
      </w:hyperlink>
    </w:p>
    <w:p>
      <w:pPr>
        <w:tabs>
          <w:tab w:val="right" w:leader="dot" w:pos="9298"/>
        </w:tabs>
        <w:spacing w:after="40"/>
        <w:ind w:left="340"/>
      </w:pPr>
      <w:hyperlink w:anchor="_TocP130016" w:history="1">
        <w:r>
          <w:rPr>
            <w:rFonts w:ascii="Calibri" w:hAnsi="Calibri"/>
            <w:color w:val="1F2937"/>
            <w:sz w:val="21"/>
          </w:rPr>
          <w:t xml:space="preserve">7.1 Identification des besoins de formation</w:t>
        </w:r>
        <w:r>
          <w:rPr>
            <w:rFonts w:ascii="Calibri" w:hAnsi="Calibri"/>
            <w:color w:val="1F2937"/>
            <w:sz w:val="21"/>
          </w:rPr>
          <w:tab/>
        </w:r>
        <w:r>
          <w:rPr>
            <w:rFonts w:ascii="Calibri" w:hAnsi="Calibri"/>
            <w:color w:val="1F2937"/>
            <w:sz w:val="21"/>
          </w:rPr>
          <w:t>11</w:t>
        </w:r>
      </w:hyperlink>
    </w:p>
    <w:p>
      <w:pPr>
        <w:tabs>
          <w:tab w:val="right" w:leader="dot" w:pos="9298"/>
        </w:tabs>
        <w:spacing w:after="40"/>
        <w:ind w:left="340"/>
      </w:pPr>
      <w:hyperlink w:anchor="_TocP130017" w:history="1">
        <w:r>
          <w:rPr>
            <w:rFonts w:ascii="Calibri" w:hAnsi="Calibri"/>
            <w:color w:val="1F2937"/>
            <w:sz w:val="21"/>
          </w:rPr>
          <w:t xml:space="preserve">7.2 Mini-plan de formation en quatre séquences</w:t>
        </w:r>
        <w:r>
          <w:rPr>
            <w:rFonts w:ascii="Calibri" w:hAnsi="Calibri"/>
            <w:color w:val="1F2937"/>
            <w:sz w:val="21"/>
          </w:rPr>
          <w:tab/>
        </w:r>
        <w:r>
          <w:rPr>
            <w:rFonts w:ascii="Calibri" w:hAnsi="Calibri"/>
            <w:color w:val="1F2937"/>
            <w:sz w:val="21"/>
          </w:rPr>
          <w:t>11</w:t>
        </w:r>
      </w:hyperlink>
    </w:p>
    <w:p>
      <w:pPr>
        <w:tabs>
          <w:tab w:val="right" w:leader="dot" w:pos="9298"/>
        </w:tabs>
        <w:spacing w:after="40"/>
        <w:ind w:left="340"/>
      </w:pPr>
      <w:hyperlink w:anchor="_TocP130018" w:history="1">
        <w:r>
          <w:rPr>
            <w:rFonts w:ascii="Calibri" w:hAnsi="Calibri"/>
            <w:color w:val="1F2937"/>
            <w:sz w:val="21"/>
          </w:rPr>
          <w:t xml:space="preserve">7.3 Principe d'accessibilité retenu</w:t>
        </w:r>
        <w:r>
          <w:rPr>
            <w:rFonts w:ascii="Calibri" w:hAnsi="Calibri"/>
            <w:color w:val="1F2937"/>
            <w:sz w:val="21"/>
          </w:rPr>
          <w:tab/>
        </w:r>
        <w:r>
          <w:rPr>
            <w:rFonts w:ascii="Calibri" w:hAnsi="Calibri"/>
            <w:color w:val="1F2937"/>
            <w:sz w:val="21"/>
          </w:rPr>
          <w:t>12</w:t>
        </w:r>
      </w:hyperlink>
    </w:p>
    <w:p>
      <w:pPr>
        <w:tabs>
          <w:tab w:val="right" w:leader="dot" w:pos="9298"/>
        </w:tabs>
        <w:spacing w:after="40"/>
        <w:ind w:left="0"/>
      </w:pPr>
      <w:hyperlink w:anchor="_TocP130019" w:history="1">
        <w:r>
          <w:rPr>
            <w:rFonts w:ascii="Calibri" w:hAnsi="Calibri"/>
            <w:color w:val="1F2937"/>
            <w:sz w:val="21"/>
          </w:rPr>
          <w:t xml:space="preserve">8. Ressources et budget indicatif</w:t>
        </w:r>
        <w:r>
          <w:rPr>
            <w:rFonts w:ascii="Calibri" w:hAnsi="Calibri"/>
            <w:color w:val="1F2937"/>
            <w:sz w:val="21"/>
          </w:rPr>
          <w:tab/>
        </w:r>
        <w:r>
          <w:rPr>
            <w:rFonts w:ascii="Calibri" w:hAnsi="Calibri"/>
            <w:color w:val="1F2937"/>
            <w:sz w:val="21"/>
          </w:rPr>
          <w:t>12</w:t>
        </w:r>
      </w:hyperlink>
    </w:p>
    <w:p>
      <w:pPr>
        <w:tabs>
          <w:tab w:val="right" w:leader="dot" w:pos="9298"/>
        </w:tabs>
        <w:spacing w:after="40"/>
        <w:ind w:left="0"/>
      </w:pPr>
      <w:hyperlink w:anchor="_TocP130020" w:history="1">
        <w:r>
          <w:rPr>
            <w:rFonts w:ascii="Calibri" w:hAnsi="Calibri"/>
            <w:color w:val="1F2937"/>
            <w:sz w:val="21"/>
          </w:rPr>
          <w:t xml:space="preserve">Annexe A. Documents de référence</w:t>
        </w:r>
        <w:r>
          <w:rPr>
            <w:rFonts w:ascii="Calibri" w:hAnsi="Calibri"/>
            <w:color w:val="1F2937"/>
            <w:sz w:val="21"/>
          </w:rPr>
          <w:tab/>
        </w:r>
        <w:r>
          <w:rPr>
            <w:rFonts w:ascii="Calibri" w:hAnsi="Calibri"/>
            <w:color w:val="1F2937"/>
            <w:sz w:val="21"/>
          </w:rPr>
          <w:t>12</w:t>
        </w:r>
      </w:hyperlink>
      <w:r>
        <w:fldChar w:fldCharType="end"/>
      </w:r>
    </w:p>
    <w:p>
      <w:r>
        <w:br w:type="page"/>
      </w:r>
    </w:p>
    <w:p>
      <w:pPr>
        <w:spacing w:after="200"/>
      </w:pPr>
      <w:r>
        <w:rPr>
          <w:rFonts w:ascii="Calibri" w:hAnsi="Calibri"/>
          <w:b/>
          <w:color w:val="6B7280"/>
          <w:sz w:val="30"/>
        </w:rPr>
        <w:t xml:space="preserve">Le cadrage en une page</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2000"/>
        <w:gridCol w:w="7298"/>
      </w:tblGrid>
      <w:tr>
        <w:trPr>
          <w:cantSplit/>
          <w:tblHeader w:val="true"/>
        </w:trPr>
        <w:tc>
          <w:tcPr>
            <w:tcW w:type="dxa" w:w="2000"/>
            <w:shd w:val="clear" w:color="auto" w:fill="1F2937"/>
          </w:tcPr>
          <w:p>
            <w:pPr>
              <w:spacing w:after="0"/>
            </w:pPr>
            <w:r>
              <w:rPr>
                <w:rFonts w:ascii="Calibri" w:hAnsi="Calibri"/>
                <w:b/>
                <w:color w:val="FFFFFF"/>
                <w:sz w:val="18"/>
              </w:rPr>
              <w:t xml:space="preserve">Rubrique</w:t>
            </w:r>
          </w:p>
        </w:tc>
        <w:tc>
          <w:tcPr>
            <w:tcW w:type="dxa" w:w="7298"/>
            <w:shd w:val="clear" w:color="auto" w:fill="1F2937"/>
          </w:tcPr>
          <w:p>
            <w:pPr>
              <w:spacing w:after="0"/>
            </w:pPr>
            <w:r>
              <w:rPr>
                <w:rFonts w:ascii="Calibri" w:hAnsi="Calibri"/>
                <w:b/>
                <w:color w:val="FFFFFF"/>
                <w:sz w:val="18"/>
              </w:rPr>
              <w:t xml:space="preserve">Contenu</w:t>
            </w:r>
          </w:p>
        </w:tc>
      </w:tr>
      <w:tr>
        <w:trPr>
          <w:cantSplit/>
        </w:trPr>
        <w:tc>
          <w:tcPr>
            <w:tcW w:type="dxa" w:w="2000"/>
          </w:tcPr>
          <w:p>
            <w:pPr>
              <w:spacing w:after="0"/>
            </w:pPr>
            <w:r>
              <w:rPr>
                <w:rFonts w:ascii="Calibri" w:hAnsi="Calibri"/>
                <w:color w:val="333333"/>
                <w:sz w:val="18"/>
              </w:rPr>
              <w:t xml:space="preserve">Besoin</w:t>
            </w:r>
          </w:p>
        </w:tc>
        <w:tc>
          <w:tcPr>
            <w:tcW w:type="dxa" w:w="7298"/>
          </w:tcPr>
          <w:p>
            <w:pPr>
              <w:spacing w:after="0"/>
            </w:pPr>
            <w:r>
              <w:rPr>
                <w:rFonts w:ascii="Calibri" w:hAnsi="Calibri"/>
                <w:b w:val="0"/>
                <w:color w:val="333333"/>
                <w:sz w:val="18"/>
              </w:rPr>
              <w:t xml:space="preserve">Chaque mois, des chiffres fiables de ventes, de marges et de stocks, tirés de l'ERP et du site. Sur cette base, la direction et les services de BottleNeck décident quelles références réassortir en priorité et quelles erreurs faire corriger dans ces deux outils. Concrètement : une vue produit unifiée, contrôlée à chaque extraction, et une analyse rejouable, même avec plus de produits ou de ventes</w:t>
            </w:r>
          </w:p>
        </w:tc>
      </w:tr>
      <w:tr>
        <w:trPr>
          <w:cantSplit/>
        </w:trPr>
        <w:tc>
          <w:tcPr>
            <w:tcW w:type="dxa" w:w="2000"/>
          </w:tcPr>
          <w:p>
            <w:pPr>
              <w:spacing w:after="0"/>
            </w:pPr>
            <w:r>
              <w:rPr>
                <w:rFonts w:ascii="Calibri" w:hAnsi="Calibri"/>
                <w:color w:val="333333"/>
                <w:sz w:val="18"/>
              </w:rPr>
              <w:t xml:space="preserve">Bénéficiaires</w:t>
            </w:r>
          </w:p>
        </w:tc>
        <w:tc>
          <w:tcPr>
            <w:tcW w:type="dxa" w:w="7298"/>
          </w:tcPr>
          <w:p>
            <w:pPr>
              <w:spacing w:after="0"/>
            </w:pPr>
            <w:r>
              <w:rPr>
                <w:rFonts w:ascii="Calibri" w:hAnsi="Calibri"/>
                <w:b w:val="0"/>
                <w:color w:val="333333"/>
                <w:sz w:val="18"/>
              </w:rPr>
              <w:t xml:space="preserve">Nicolas, responsable des ventes : commande l'analyse, que je présente à la direction. Comité de direction : décide chaque mois du réassort et des corrections. Service achats : commande le réassort. Équipe commerce en ligne : corrige les fiches du site. Direction des systèmes d'information : support. Les trois derniers rôles sont supposés (voir 1.2)</w:t>
            </w:r>
          </w:p>
        </w:tc>
      </w:tr>
      <w:tr>
        <w:trPr>
          <w:cantSplit/>
        </w:trPr>
        <w:tc>
          <w:tcPr>
            <w:tcW w:type="dxa" w:w="2000"/>
          </w:tcPr>
          <w:p>
            <w:pPr>
              <w:spacing w:after="0"/>
            </w:pPr>
            <w:r>
              <w:rPr>
                <w:rFonts w:ascii="Calibri" w:hAnsi="Calibri"/>
                <w:color w:val="333333"/>
                <w:sz w:val="18"/>
              </w:rPr>
              <w:t xml:space="preserve">Périmètre</w:t>
            </w:r>
          </w:p>
        </w:tc>
        <w:tc>
          <w:tcPr>
            <w:tcW w:type="dxa" w:w="7298"/>
          </w:tcPr>
          <w:p>
            <w:pPr>
              <w:spacing w:after="0"/>
            </w:pPr>
            <w:r>
              <w:rPr>
                <w:rFonts w:ascii="Calibri" w:hAnsi="Calibri"/>
                <w:color w:val="333333"/>
                <w:sz w:val="18"/>
              </w:rPr>
              <w:t xml:space="preserve">Stocks et prix au 31 octobre, ventes du 1er au 31 octobre. Nettoyage et validation des trois sources, jointure (714 produits), chiffre d'affaires, marges, stocks et concentration, anomalies univariées et multivariées, explication des ventes, documentation et accompagnement. Hors périmètre : refonte des systèmes, données personnelles, prévision en production, correction automatique, interface temps réel, formation longue, industrialisation</w:t>
            </w:r>
          </w:p>
        </w:tc>
      </w:tr>
      <w:tr>
        <w:trPr>
          <w:cantSplit/>
        </w:trPr>
        <w:tc>
          <w:tcPr>
            <w:tcW w:type="dxa" w:w="2000"/>
          </w:tcPr>
          <w:p>
            <w:pPr>
              <w:spacing w:after="0"/>
            </w:pPr>
            <w:r>
              <w:rPr>
                <w:rFonts w:ascii="Calibri" w:hAnsi="Calibri"/>
                <w:color w:val="333333"/>
                <w:sz w:val="18"/>
              </w:rPr>
              <w:t xml:space="preserve">Priorités</w:t>
            </w:r>
          </w:p>
        </w:tc>
        <w:tc>
          <w:tcPr>
            <w:tcW w:type="dxa" w:w="7298"/>
          </w:tcPr>
          <w:p>
            <w:pPr>
              <w:spacing w:after="0"/>
            </w:pPr>
            <w:r>
              <w:rPr>
                <w:rFonts w:ascii="Calibri" w:hAnsi="Calibri"/>
                <w:color w:val="333333"/>
                <w:sz w:val="18"/>
              </w:rPr>
              <w:t xml:space="preserve">P1 qualité des données, P2 vue unifiée et chiffre d'affaires, P3 anomalies, P4 interprétabilité et recommandations, P5 montée en charge</w:t>
            </w:r>
          </w:p>
        </w:tc>
      </w:tr>
      <w:tr>
        <w:trPr>
          <w:cantSplit/>
        </w:trPr>
        <w:tc>
          <w:tcPr>
            <w:tcW w:type="dxa" w:w="2000"/>
          </w:tcPr>
          <w:p>
            <w:pPr>
              <w:spacing w:after="0"/>
            </w:pPr>
            <w:r>
              <w:rPr>
                <w:rFonts w:ascii="Calibri" w:hAnsi="Calibri"/>
                <w:color w:val="333333"/>
                <w:sz w:val="18"/>
              </w:rPr>
              <w:t xml:space="preserve">Critères de réussite</w:t>
            </w:r>
          </w:p>
        </w:tc>
        <w:tc>
          <w:tcPr>
            <w:tcW w:type="dxa" w:w="7298"/>
          </w:tcPr>
          <w:p>
            <w:pPr>
              <w:spacing w:after="0"/>
            </w:pPr>
            <w:r>
              <w:rPr>
                <w:rFonts w:ascii="Calibri" w:hAnsi="Calibri"/>
                <w:b w:val="0"/>
                <w:color w:val="333333"/>
                <w:sz w:val="18"/>
              </w:rPr>
              <w:t xml:space="preserve">Au moins 8 types d'anomalies (9). Lignes en infraction signalées (9 sur 825). Contrat rejouable. Anomalies multivariées en plus (26). Pouvoir explicatif supérieur à 0,60 (0,72 sur le jeu de test ; 0,53 à 0,76 selon le découpage, 0,67 en moyenne). Erreur moyenne inférieure à 3 unités (1,54). Exécution en moins d'une seconde (moins de 40 ms). Accélération d'au moins 3 à gros volume (Polars : 4,1 dans l'exécution livrée, 8,1 sur mon poste). Résultats rejouables. Restitution lisible par un non-technicien</w:t>
            </w:r>
          </w:p>
        </w:tc>
      </w:tr>
      <w:tr>
        <w:trPr>
          <w:cantSplit/>
        </w:trPr>
        <w:tc>
          <w:tcPr>
            <w:tcW w:type="dxa" w:w="2000"/>
          </w:tcPr>
          <w:p>
            <w:pPr>
              <w:spacing w:after="0"/>
            </w:pPr>
            <w:r>
              <w:rPr>
                <w:rFonts w:ascii="Calibri" w:hAnsi="Calibri"/>
                <w:color w:val="333333"/>
                <w:sz w:val="18"/>
              </w:rPr>
              <w:t xml:space="preserve">Jalons</w:t>
            </w:r>
          </w:p>
        </w:tc>
        <w:tc>
          <w:tcPr>
            <w:tcW w:type="dxa" w:w="7298"/>
          </w:tcPr>
          <w:p>
            <w:pPr>
              <w:spacing w:after="0"/>
            </w:pPr>
            <w:r>
              <w:rPr>
                <w:rFonts w:ascii="Calibri" w:hAnsi="Calibri"/>
                <w:b w:val="0"/>
                <w:color w:val="333333"/>
                <w:sz w:val="18"/>
              </w:rPr>
              <w:t xml:space="preserve">J1 cadrage : validé en séance 1, vendredi 18 septembre 2026. J2 audit qualité et J3 analyse augmentée : validés en séance 2, vendredi 25 septembre. J4 documentation : réussi sur mon poste le 30 septembre, validé en séance 3, vendredi 2 octobre. J5 restitution : à la soutenance, le vendredi 16 octobre 2026, après une répétition chronométrée</w:t>
            </w:r>
          </w:p>
        </w:tc>
      </w:tr>
      <w:tr>
        <w:trPr>
          <w:cantSplit/>
        </w:trPr>
        <w:tc>
          <w:tcPr>
            <w:tcW w:type="dxa" w:w="2000"/>
          </w:tcPr>
          <w:p>
            <w:pPr>
              <w:spacing w:after="0"/>
            </w:pPr>
            <w:r>
              <w:rPr>
                <w:rFonts w:ascii="Calibri" w:hAnsi="Calibri"/>
                <w:color w:val="333333"/>
                <w:sz w:val="18"/>
              </w:rPr>
              <w:t xml:space="preserve">Ressources et budget</w:t>
            </w:r>
          </w:p>
        </w:tc>
        <w:tc>
          <w:tcPr>
            <w:tcW w:type="dxa" w:w="7298"/>
          </w:tcPr>
          <w:p>
            <w:pPr>
              <w:spacing w:after="0"/>
            </w:pPr>
            <w:r>
              <w:rPr>
                <w:rFonts w:ascii="Calibri" w:hAnsi="Calibri"/>
                <w:color w:val="333333"/>
                <w:sz w:val="18"/>
              </w:rPr>
              <w:t xml:space="preserve">Bibliothèques libres sans coût de licence, environ 70 heures de travail supervisé et autant de travail personnel, une demi-journée de formation, poste de travail standard, environ 4 heures de maintenance par an</w:t>
            </w:r>
          </w:p>
        </w:tc>
      </w:tr>
      <w:tr>
        <w:trPr>
          <w:cantSplit/>
        </w:trPr>
        <w:tc>
          <w:tcPr>
            <w:tcW w:type="dxa" w:w="2000"/>
          </w:tcPr>
          <w:p>
            <w:pPr>
              <w:spacing w:after="0"/>
            </w:pPr>
            <w:r>
              <w:rPr>
                <w:rFonts w:ascii="Calibri" w:hAnsi="Calibri"/>
                <w:color w:val="333333"/>
                <w:sz w:val="18"/>
              </w:rPr>
              <w:t xml:space="preserve">Conditions de réception</w:t>
            </w:r>
          </w:p>
        </w:tc>
        <w:tc>
          <w:tcPr>
            <w:tcW w:type="dxa" w:w="7298"/>
          </w:tcPr>
          <w:p>
            <w:pPr>
              <w:spacing w:after="0"/>
            </w:pPr>
            <w:r>
              <w:rPr>
                <w:rFonts w:ascii="Calibri" w:hAnsi="Calibri"/>
                <w:color w:val="333333"/>
                <w:sz w:val="18"/>
              </w:rPr>
              <w:t xml:space="preserve">Notebook exécuté intégralement sur un poste vierge ; indicateurs de la section 5 atteints ; service achats autonome sur la lecture des résultats, vérifié par une mise en situation</w:t>
            </w:r>
          </w:p>
        </w:tc>
      </w:tr>
    </w:tbl>
    <w:p>
      <w:pPr>
        <w:spacing w:after="120"/>
      </w:pPr>
    </w:p>
    <w:p>
      <w:r>
        <w:br w:type="page"/>
      </w:r>
    </w:p>
    <w:p>
      <w:pPr>
        <w:pStyle w:val="Heading1"/>
      </w:pPr>
      <w:bookmarkStart w:id="7001" w:name="_TocP130001"/>
      <w:r>
        <w:t xml:space="preserve">1. Contexte, état actuel et parties prenantes</w:t>
      </w:r>
      <w:bookmarkEnd w:id="7001"/>
    </w:p>
    <w:p>
      <w:r>
        <w:rPr>
          <w:rFonts w:ascii="Calibri" w:hAnsi="Calibri"/>
          <w:b w:val="0"/>
          <w:i w:val="0"/>
          <w:color w:val="333333"/>
          <w:sz w:val="21"/>
        </w:rPr>
        <w:t xml:space="preserve">BottleNeck est un marchand de vins. Il a deux systèmes qui ne se parlent pas : un ERP, qui tient les produits, les prix et les stocks, et un site de vente sous WordPress, qui enregistre les ventes. Une table de liaison fait le pont entre les deux, avec des identifiants différents de chaque côté. Le projet 6 a produit un notebook qui rapproche ces sources, détecte des anomalies et reconstitue le chiffre d'affaires.</w:t>
      </w:r>
    </w:p>
    <w:p>
      <w:r>
        <w:rPr>
          <w:rFonts w:ascii="Calibri" w:hAnsi="Calibri"/>
          <w:b/>
          <w:i w:val="0"/>
          <w:color w:val="333333"/>
          <w:sz w:val="21"/>
        </w:rPr>
        <w:t xml:space="preserve">État actuel.</w:t>
      </w:r>
      <w:r>
        <w:rPr>
          <w:rFonts w:ascii="Calibri" w:hAnsi="Calibri"/>
          <w:b w:val="0"/>
          <w:i w:val="0"/>
          <w:color w:val="333333"/>
          <w:sz w:val="21"/>
        </w:rPr>
        <w:t xml:space="preserve"> L'existant, c'est le notebook du projet 6. Il s'exécute et produit un chiffre d'affaires. Mais ses contrôles de qualité sont écrits à la main et ne se rejouent pas, son outil de calcul n'a jamais été questionné, sa détection d'anomalies ne regarde qu'une variable, et rien n'explique les ventes. L'ERP et le site restent en place : le projet ne les modifie pas.</w:t>
      </w:r>
    </w:p>
    <w:p>
      <w:pPr>
        <w:pStyle w:val="Heading2"/>
      </w:pPr>
      <w:bookmarkStart w:id="7002" w:name="_TocP130002"/>
      <w:r>
        <w:t>1.1 Un environnement complexe et changeant</w:t>
      </w:r>
      <w:bookmarkEnd w:id="7002"/>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099"/>
        <w:gridCol w:w="3099"/>
        <w:gridCol w:w="3099"/>
      </w:tblGrid>
      <w:tr>
        <w:trPr>
          <w:cantSplit/>
          <w:tblHeader w:val="true"/>
        </w:trPr>
        <w:tc>
          <w:tcPr>
            <w:tcW w:type="dxa" w:w="1928"/>
            <w:shd w:val="clear" w:color="auto" w:fill="1F2937"/>
          </w:tcPr>
          <w:p>
            <w:pPr>
              <w:spacing w:after="0"/>
            </w:pPr>
            <w:r>
              <w:rPr>
                <w:rFonts w:ascii="Calibri" w:hAnsi="Calibri"/>
                <w:b/>
                <w:color w:val="FFFFFF"/>
                <w:sz w:val="18"/>
              </w:rPr>
              <w:t>Dimension</w:t>
            </w:r>
          </w:p>
        </w:tc>
        <w:tc>
          <w:tcPr>
            <w:tcW w:type="dxa" w:w="3742"/>
            <w:shd w:val="clear" w:color="auto" w:fill="1F2937"/>
          </w:tcPr>
          <w:p>
            <w:pPr>
              <w:spacing w:after="0"/>
            </w:pPr>
            <w:r>
              <w:rPr>
                <w:rFonts w:ascii="Calibri" w:hAnsi="Calibri"/>
                <w:b/>
                <w:color w:val="FFFFFF"/>
                <w:sz w:val="18"/>
              </w:rPr>
              <w:t>Situation constatée</w:t>
            </w:r>
          </w:p>
        </w:tc>
        <w:tc>
          <w:tcPr>
            <w:tcW w:type="dxa" w:w="3628"/>
            <w:shd w:val="clear" w:color="auto" w:fill="1F2937"/>
          </w:tcPr>
          <w:p>
            <w:pPr>
              <w:spacing w:after="0"/>
            </w:pPr>
            <w:r>
              <w:rPr>
                <w:rFonts w:ascii="Calibri" w:hAnsi="Calibri"/>
                <w:b/>
                <w:color w:val="FFFFFF"/>
                <w:sz w:val="18"/>
              </w:rPr>
              <w:t>Ce que cela impose au projet</w:t>
            </w:r>
          </w:p>
        </w:tc>
      </w:tr>
      <w:tr>
        <w:trPr>
          <w:cantSplit/>
        </w:trPr>
        <w:tc>
          <w:tcPr>
            <w:tcW w:type="dxa" w:w="1928"/>
          </w:tcPr>
          <w:p>
            <w:pPr>
              <w:spacing w:after="0" w:line="252" w:lineRule="auto"/>
            </w:pPr>
            <w:r>
              <w:rPr>
                <w:rFonts w:ascii="Calibri" w:hAnsi="Calibri"/>
                <w:b w:val="0"/>
                <w:i w:val="0"/>
                <w:color w:val="333333"/>
                <w:sz w:val="18"/>
              </w:rPr>
              <w:t>Hétérogénéité technique</w:t>
            </w:r>
          </w:p>
        </w:tc>
        <w:tc>
          <w:tcPr>
            <w:tcW w:type="dxa" w:w="3742"/>
          </w:tcPr>
          <w:p>
            <w:pPr>
              <w:spacing w:after="0" w:line="252" w:lineRule="auto"/>
            </w:pPr>
            <w:r>
              <w:rPr>
                <w:rFonts w:ascii="Calibri" w:hAnsi="Calibri"/>
                <w:b w:val="0"/>
                <w:i w:val="0"/>
                <w:color w:val="333333"/>
                <w:sz w:val="18"/>
              </w:rPr>
              <w:t>Deux systèmes, deux formats, deux identifiants distincts</w:t>
            </w:r>
          </w:p>
        </w:tc>
        <w:tc>
          <w:tcPr>
            <w:tcW w:type="dxa" w:w="3628"/>
          </w:tcPr>
          <w:p>
            <w:pPr>
              <w:spacing w:after="0" w:line="252" w:lineRule="auto"/>
            </w:pPr>
            <w:r>
              <w:rPr>
                <w:rFonts w:ascii="Calibri" w:hAnsi="Calibri"/>
                <w:b w:val="0"/>
                <w:i w:val="0"/>
                <w:color w:val="333333"/>
                <w:sz w:val="18"/>
              </w:rPr>
              <w:t>Une jointure en deux temps, tracée et vérifiable</w:t>
            </w:r>
          </w:p>
        </w:tc>
      </w:tr>
      <w:tr>
        <w:trPr>
          <w:cantSplit/>
        </w:trPr>
        <w:tc>
          <w:tcPr>
            <w:tcW w:type="dxa" w:w="1928"/>
            <w:shd w:val="clear" w:color="auto" w:fill="F1F5F9"/>
          </w:tcPr>
          <w:p>
            <w:pPr>
              <w:spacing w:after="0" w:line="252" w:lineRule="auto"/>
            </w:pPr>
            <w:r>
              <w:rPr>
                <w:rFonts w:ascii="Calibri" w:hAnsi="Calibri"/>
                <w:b w:val="0"/>
                <w:i w:val="0"/>
                <w:color w:val="333333"/>
                <w:sz w:val="18"/>
              </w:rPr>
              <w:t>Qualité inégale</w:t>
            </w:r>
          </w:p>
        </w:tc>
        <w:tc>
          <w:tcPr>
            <w:tcW w:type="dxa" w:w="3742"/>
            <w:shd w:val="clear" w:color="auto" w:fill="F1F5F9"/>
          </w:tcPr>
          <w:p>
            <w:pPr>
              <w:spacing w:after="0" w:line="252" w:lineRule="auto"/>
            </w:pPr>
            <w:r>
              <w:rPr>
                <w:rFonts w:ascii="Calibri" w:hAnsi="Calibri"/>
                <w:b w:val="0"/>
                <w:i w:val="0"/>
                <w:color w:val="333333"/>
                <w:sz w:val="18"/>
              </w:rPr>
              <w:t xml:space="preserve">Anomalies de saisie, statuts de stock contraires à la quantité, valeurs manquantes, formats non standard</w:t>
            </w:r>
          </w:p>
        </w:tc>
        <w:tc>
          <w:tcPr>
            <w:tcW w:type="dxa" w:w="3628"/>
            <w:shd w:val="clear" w:color="auto" w:fill="F1F5F9"/>
          </w:tcPr>
          <w:p>
            <w:pPr>
              <w:spacing w:after="0" w:line="252" w:lineRule="auto"/>
            </w:pPr>
            <w:r>
              <w:rPr>
                <w:rFonts w:ascii="Calibri" w:hAnsi="Calibri"/>
                <w:b w:val="0"/>
                <w:i w:val="0"/>
                <w:color w:val="333333"/>
                <w:sz w:val="18"/>
              </w:rPr>
              <w:t>Un contrôle de qualité placé en amont de toute analyse</w:t>
            </w:r>
          </w:p>
        </w:tc>
      </w:tr>
      <w:tr>
        <w:trPr>
          <w:cantSplit/>
        </w:trPr>
        <w:tc>
          <w:tcPr>
            <w:tcW w:type="dxa" w:w="1928"/>
          </w:tcPr>
          <w:p>
            <w:pPr>
              <w:spacing w:after="0" w:line="252" w:lineRule="auto"/>
            </w:pPr>
            <w:r>
              <w:rPr>
                <w:rFonts w:ascii="Calibri" w:hAnsi="Calibri"/>
                <w:b w:val="0"/>
                <w:i w:val="0"/>
                <w:color w:val="333333"/>
                <w:sz w:val="18"/>
              </w:rPr>
              <w:t xml:space="preserve">Évolution attendue (hypothèses de cadrage)</w:t>
            </w:r>
          </w:p>
        </w:tc>
        <w:tc>
          <w:tcPr>
            <w:tcW w:type="dxa" w:w="3742"/>
          </w:tcPr>
          <w:p>
            <w:pPr>
              <w:spacing w:after="0" w:line="252" w:lineRule="auto"/>
            </w:pPr>
            <w:r>
              <w:rPr>
                <w:rFonts w:ascii="Calibri" w:hAnsi="Calibri"/>
                <w:b w:val="0"/>
                <w:i w:val="0"/>
                <w:color w:val="333333"/>
                <w:sz w:val="18"/>
              </w:rPr>
              <w:t>Ouverture de nouvelles références, historisation des ventes prévue, projet d'ERP unifié</w:t>
            </w:r>
          </w:p>
        </w:tc>
        <w:tc>
          <w:tcPr>
            <w:tcW w:type="dxa" w:w="3628"/>
          </w:tcPr>
          <w:p>
            <w:pPr>
              <w:spacing w:after="0" w:line="252" w:lineRule="auto"/>
            </w:pPr>
            <w:r>
              <w:rPr>
                <w:rFonts w:ascii="Calibri" w:hAnsi="Calibri"/>
                <w:b w:val="0"/>
                <w:i w:val="0"/>
                <w:color w:val="333333"/>
                <w:sz w:val="18"/>
              </w:rPr>
              <w:t>Une solution qui reste valable après changement d'échelle</w:t>
            </w:r>
          </w:p>
        </w:tc>
      </w:tr>
      <w:tr>
        <w:trPr>
          <w:cantSplit/>
        </w:trPr>
        <w:tc>
          <w:tcPr>
            <w:tcW w:type="dxa" w:w="1928"/>
            <w:shd w:val="clear" w:color="auto" w:fill="F1F5F9"/>
          </w:tcPr>
          <w:p>
            <w:pPr>
              <w:spacing w:after="0" w:line="252" w:lineRule="auto"/>
            </w:pPr>
            <w:r>
              <w:rPr>
                <w:rFonts w:ascii="Calibri" w:hAnsi="Calibri"/>
                <w:b w:val="0"/>
                <w:i w:val="0"/>
                <w:color w:val="333333"/>
                <w:sz w:val="18"/>
              </w:rPr>
              <w:t>Cadre réglementaire</w:t>
            </w:r>
          </w:p>
        </w:tc>
        <w:tc>
          <w:tcPr>
            <w:tcW w:type="dxa" w:w="3742"/>
            <w:shd w:val="clear" w:color="auto" w:fill="F1F5F9"/>
          </w:tcPr>
          <w:p>
            <w:pPr>
              <w:spacing w:after="0" w:line="252" w:lineRule="auto"/>
            </w:pPr>
            <w:r>
              <w:rPr>
                <w:rFonts w:ascii="Calibri" w:hAnsi="Calibri"/>
                <w:b w:val="0"/>
                <w:i w:val="0"/>
                <w:color w:val="333333"/>
                <w:sz w:val="18"/>
              </w:rPr>
              <w:t>Aucune donnée personnelle dans ce jeu, mais un cadre RGPD applicable aux autres traitements de l'entreprise</w:t>
            </w:r>
          </w:p>
        </w:tc>
        <w:tc>
          <w:tcPr>
            <w:tcW w:type="dxa" w:w="3628"/>
            <w:shd w:val="clear" w:color="auto" w:fill="F1F5F9"/>
          </w:tcPr>
          <w:p>
            <w:pPr>
              <w:spacing w:after="0" w:line="252" w:lineRule="auto"/>
            </w:pPr>
            <w:r>
              <w:rPr>
                <w:rFonts w:ascii="Calibri" w:hAnsi="Calibri"/>
                <w:b w:val="0"/>
                <w:i w:val="0"/>
                <w:color w:val="333333"/>
                <w:sz w:val="18"/>
              </w:rPr>
              <w:t>Une démarche conçue avec la protection des données par défaut</w:t>
            </w:r>
          </w:p>
        </w:tc>
      </w:tr>
      <w:tr>
        <w:trPr>
          <w:cantSplit/>
        </w:trPr>
        <w:tc>
          <w:tcPr>
            <w:tcW w:type="dxa" w:w="1928"/>
          </w:tcPr>
          <w:p>
            <w:pPr>
              <w:spacing w:after="0" w:line="252" w:lineRule="auto"/>
            </w:pPr>
            <w:r>
              <w:rPr>
                <w:rFonts w:ascii="Calibri" w:hAnsi="Calibri"/>
                <w:b w:val="0"/>
                <w:i w:val="0"/>
                <w:color w:val="333333"/>
                <w:sz w:val="18"/>
              </w:rPr>
              <w:t>Contrainte d'outillage</w:t>
            </w:r>
          </w:p>
        </w:tc>
        <w:tc>
          <w:tcPr>
            <w:tcW w:type="dxa" w:w="3742"/>
          </w:tcPr>
          <w:p>
            <w:pPr>
              <w:spacing w:after="0" w:line="252" w:lineRule="auto"/>
            </w:pPr>
            <w:r>
              <w:rPr>
                <w:rFonts w:ascii="Calibri" w:hAnsi="Calibri"/>
                <w:b w:val="0"/>
                <w:i w:val="0"/>
                <w:color w:val="333333"/>
                <w:sz w:val="18"/>
              </w:rPr>
              <w:t>Écosystème Python imposé, aucun budget logiciel</w:t>
            </w:r>
          </w:p>
        </w:tc>
        <w:tc>
          <w:tcPr>
            <w:tcW w:type="dxa" w:w="3628"/>
          </w:tcPr>
          <w:p>
            <w:pPr>
              <w:spacing w:after="0" w:line="252" w:lineRule="auto"/>
            </w:pPr>
            <w:r>
              <w:rPr>
                <w:rFonts w:ascii="Calibri" w:hAnsi="Calibri"/>
                <w:b w:val="0"/>
                <w:i w:val="0"/>
                <w:color w:val="333333"/>
                <w:sz w:val="18"/>
              </w:rPr>
              <w:t>Uniquement des bibliothèques libres et des standards du marché</w:t>
            </w:r>
          </w:p>
        </w:tc>
      </w:tr>
      <w:tr>
        <w:trPr>
          <w:cantSplit/>
        </w:trPr>
        <w:tc>
          <w:tcPr>
            <w:tcW w:type="dxa" w:w="1928"/>
            <w:shd w:val="clear" w:color="auto" w:fill="F1F5F9"/>
          </w:tcPr>
          <w:p>
            <w:pPr>
              <w:spacing w:after="0" w:line="252" w:lineRule="auto"/>
            </w:pPr>
            <w:r>
              <w:rPr>
                <w:rFonts w:ascii="Calibri" w:hAnsi="Calibri"/>
                <w:b w:val="0"/>
                <w:i w:val="0"/>
                <w:color w:val="333333"/>
                <w:sz w:val="18"/>
              </w:rPr>
              <w:t>Contrainte de compétence</w:t>
            </w:r>
          </w:p>
        </w:tc>
        <w:tc>
          <w:tcPr>
            <w:tcW w:type="dxa" w:w="3742"/>
            <w:shd w:val="clear" w:color="auto" w:fill="F1F5F9"/>
          </w:tcPr>
          <w:p>
            <w:pPr>
              <w:spacing w:after="0" w:line="252" w:lineRule="auto"/>
            </w:pPr>
            <w:r>
              <w:rPr>
                <w:rFonts w:ascii="Calibri" w:hAnsi="Calibri"/>
                <w:b w:val="0"/>
                <w:i w:val="0"/>
                <w:color w:val="333333"/>
                <w:sz w:val="18"/>
              </w:rPr>
              <w:t>Les utilisateurs finaux ne sont pas techniciens</w:t>
            </w:r>
          </w:p>
        </w:tc>
        <w:tc>
          <w:tcPr>
            <w:tcW w:type="dxa" w:w="3628"/>
            <w:shd w:val="clear" w:color="auto" w:fill="F1F5F9"/>
          </w:tcPr>
          <w:p>
            <w:pPr>
              <w:spacing w:after="0" w:line="252" w:lineRule="auto"/>
            </w:pPr>
            <w:r>
              <w:rPr>
                <w:rFonts w:ascii="Calibri" w:hAnsi="Calibri"/>
                <w:b w:val="0"/>
                <w:i w:val="0"/>
                <w:color w:val="333333"/>
                <w:sz w:val="18"/>
              </w:rPr>
              <w:t>Une restitution lisible et un accompagnement à la prise en main</w:t>
            </w:r>
          </w:p>
        </w:tc>
      </w:tr>
    </w:tbl>
    <w:p>
      <w:pPr>
        <w:spacing w:after="40"/>
      </w:pPr>
    </w:p>
    <w:p>
      <w:r>
        <w:rPr>
          <w:rFonts w:ascii="Calibri" w:hAnsi="Calibri"/>
          <w:b w:val="0"/>
          <w:i w:val="0"/>
          <w:color w:val="333333"/>
          <w:sz w:val="21"/>
        </w:rPr>
        <w:t xml:space="preserve">La solution doit être fiable, facile à reprendre par un tiers et prête pour la croissance attendue.</w:t>
      </w:r>
    </w:p>
    <w:p>
      <w:pPr>
        <w:pStyle w:val="Heading2"/>
      </w:pPr>
      <w:bookmarkStart w:id="7003" w:name="_TocP130003"/>
      <w:r>
        <w:t>1.2 Parties prenantes</w:t>
      </w:r>
      <w:bookmarkEnd w:id="7003"/>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1928"/>
        <w:gridCol w:w="1474"/>
        <w:gridCol w:w="3175"/>
        <w:gridCol w:w="2721"/>
      </w:tblGrid>
      <w:tr>
        <w:trPr>
          <w:cantSplit/>
          <w:tblHeader w:val="true"/>
        </w:trPr>
        <w:tc>
          <w:tcPr>
            <w:tcW w:type="dxa" w:w="1928"/>
            <w:shd w:val="clear" w:color="auto" w:fill="1F2937"/>
          </w:tcPr>
          <w:p>
            <w:pPr>
              <w:spacing w:after="0"/>
            </w:pPr>
            <w:r>
              <w:rPr>
                <w:rFonts w:ascii="Calibri" w:hAnsi="Calibri"/>
                <w:b/>
                <w:color w:val="FFFFFF"/>
                <w:sz w:val="17"/>
              </w:rPr>
              <w:t xml:space="preserve">Partie prenante</w:t>
            </w:r>
          </w:p>
        </w:tc>
        <w:tc>
          <w:tcPr>
            <w:tcW w:type="dxa" w:w="1474"/>
            <w:shd w:val="clear" w:color="auto" w:fill="1F2937"/>
          </w:tcPr>
          <w:p>
            <w:pPr>
              <w:spacing w:after="0"/>
            </w:pPr>
            <w:r>
              <w:rPr>
                <w:rFonts w:ascii="Calibri" w:hAnsi="Calibri"/>
                <w:b/>
                <w:color w:val="FFFFFF"/>
                <w:sz w:val="17"/>
              </w:rPr>
              <w:t xml:space="preserve">Rôle</w:t>
            </w:r>
          </w:p>
        </w:tc>
        <w:tc>
          <w:tcPr>
            <w:tcW w:type="dxa" w:w="3175"/>
            <w:shd w:val="clear" w:color="auto" w:fill="1F2937"/>
          </w:tcPr>
          <w:p>
            <w:pPr>
              <w:spacing w:after="0"/>
            </w:pPr>
            <w:r>
              <w:rPr>
                <w:rFonts w:ascii="Calibri" w:hAnsi="Calibri"/>
                <w:b/>
                <w:color w:val="FFFFFF"/>
                <w:sz w:val="17"/>
              </w:rPr>
              <w:t xml:space="preserve">Ce qu'elle décide ou fait avec l'analyse</w:t>
            </w:r>
          </w:p>
        </w:tc>
        <w:tc>
          <w:tcPr>
            <w:tcW w:type="dxa" w:w="2721"/>
            <w:shd w:val="clear" w:color="auto" w:fill="1F2937"/>
          </w:tcPr>
          <w:p>
            <w:pPr>
              <w:spacing w:after="0"/>
            </w:pPr>
            <w:r>
              <w:rPr>
                <w:rFonts w:ascii="Calibri" w:hAnsi="Calibri"/>
                <w:b/>
                <w:color w:val="FFFFFF"/>
                <w:sz w:val="17"/>
              </w:rPr>
              <w:t xml:space="preserve">Format de restitution adapté</w:t>
            </w:r>
          </w:p>
        </w:tc>
      </w:tr>
      <w:tr>
        <w:trPr>
          <w:cantSplit/>
        </w:trPr>
        <w:tc>
          <w:tcPr>
            <w:tcW w:type="dxa" w:w="1928"/>
          </w:tcPr>
          <w:p>
            <w:pPr>
              <w:spacing w:after="0" w:line="252" w:lineRule="auto"/>
            </w:pPr>
            <w:r>
              <w:rPr>
                <w:rFonts w:ascii="Calibri" w:hAnsi="Calibri"/>
                <w:b w:val="0"/>
                <w:i w:val="0"/>
                <w:color w:val="333333"/>
                <w:sz w:val="17"/>
              </w:rPr>
              <w:t xml:space="preserve">Nicolas, responsable des ventes (projet 6)</w:t>
            </w:r>
          </w:p>
        </w:tc>
        <w:tc>
          <w:tcPr>
            <w:tcW w:type="dxa" w:w="1474"/>
          </w:tcPr>
          <w:p>
            <w:pPr>
              <w:spacing w:after="0" w:line="252" w:lineRule="auto"/>
            </w:pPr>
            <w:r>
              <w:rPr>
                <w:rFonts w:ascii="Calibri" w:hAnsi="Calibri"/>
                <w:b w:val="0"/>
                <w:i w:val="0"/>
                <w:color w:val="333333"/>
                <w:sz w:val="17"/>
              </w:rPr>
              <w:t xml:space="preserve">Commande l'analyse ; je la présente à la direction</w:t>
            </w:r>
          </w:p>
        </w:tc>
        <w:tc>
          <w:tcPr>
            <w:tcW w:type="dxa" w:w="3175"/>
          </w:tcPr>
          <w:p>
            <w:pPr>
              <w:spacing w:after="0" w:line="252" w:lineRule="auto"/>
            </w:pPr>
            <w:r>
              <w:rPr>
                <w:rFonts w:ascii="Calibri" w:hAnsi="Calibri"/>
                <w:b w:val="0"/>
                <w:i w:val="0"/>
                <w:color w:val="333333"/>
                <w:sz w:val="17"/>
              </w:rPr>
              <w:t xml:space="preserve">Choisit les corrections à demander dans l'ERP, sur le site et dans la table de liaison ; reprend le rapport pour le futur projet de data visualisation</w:t>
            </w:r>
          </w:p>
        </w:tc>
        <w:tc>
          <w:tcPr>
            <w:tcW w:type="dxa" w:w="2721"/>
          </w:tcPr>
          <w:p>
            <w:pPr>
              <w:spacing w:after="0" w:line="252" w:lineRule="auto"/>
            </w:pPr>
            <w:r>
              <w:rPr>
                <w:rFonts w:ascii="Calibri" w:hAnsi="Calibri"/>
                <w:b w:val="0"/>
                <w:i w:val="0"/>
                <w:color w:val="333333"/>
                <w:sz w:val="17"/>
              </w:rPr>
              <w:t xml:space="preserve">Synthèse, notebook commenté, rapport du contrat de qualité</w:t>
            </w:r>
          </w:p>
        </w:tc>
      </w:tr>
      <w:tr>
        <w:trPr>
          <w:cantSplit/>
        </w:trPr>
        <w:tc>
          <w:tcPr>
            <w:tcW w:type="dxa" w:w="1928"/>
          </w:tcPr>
          <w:p>
            <w:pPr>
              <w:spacing w:after="0" w:line="252" w:lineRule="auto"/>
            </w:pPr>
            <w:r>
              <w:rPr>
                <w:rFonts w:ascii="Calibri" w:hAnsi="Calibri"/>
                <w:b w:val="0"/>
                <w:i w:val="0"/>
                <w:color w:val="333333"/>
                <w:sz w:val="17"/>
              </w:rPr>
              <w:t xml:space="preserve">Comité de direction (projet 6)</w:t>
            </w:r>
          </w:p>
        </w:tc>
        <w:tc>
          <w:tcPr>
            <w:tcW w:type="dxa" w:w="1474"/>
          </w:tcPr>
          <w:p>
            <w:pPr>
              <w:spacing w:after="0" w:line="252" w:lineRule="auto"/>
            </w:pPr>
            <w:r>
              <w:rPr>
                <w:rFonts w:ascii="Calibri" w:hAnsi="Calibri"/>
                <w:b w:val="0"/>
                <w:i w:val="0"/>
                <w:color w:val="333333"/>
                <w:sz w:val="17"/>
              </w:rPr>
              <w:t xml:space="preserve">Décide</w:t>
            </w:r>
          </w:p>
        </w:tc>
        <w:tc>
          <w:tcPr>
            <w:tcW w:type="dxa" w:w="3175"/>
          </w:tcPr>
          <w:p>
            <w:pPr>
              <w:spacing w:after="0" w:line="252" w:lineRule="auto"/>
            </w:pPr>
            <w:r>
              <w:rPr>
                <w:rFonts w:ascii="Calibri" w:hAnsi="Calibri"/>
                <w:b w:val="0"/>
                <w:i w:val="0"/>
                <w:color w:val="333333"/>
                <w:sz w:val="17"/>
              </w:rPr>
              <w:t xml:space="preserve">Arbitre chaque mois les références à réassortir en priorité et les corrections à lancer</w:t>
            </w:r>
          </w:p>
        </w:tc>
        <w:tc>
          <w:tcPr>
            <w:tcW w:type="dxa" w:w="2721"/>
          </w:tcPr>
          <w:p>
            <w:pPr>
              <w:spacing w:after="0" w:line="252" w:lineRule="auto"/>
            </w:pPr>
            <w:r>
              <w:rPr>
                <w:rFonts w:ascii="Calibri" w:hAnsi="Calibri"/>
                <w:b w:val="0"/>
                <w:i w:val="0"/>
                <w:color w:val="333333"/>
                <w:sz w:val="17"/>
              </w:rPr>
              <w:t xml:space="preserve">Synthèse d'une page (étape 6 du notebook), quatre chiffres clés, quatre recommandations</w:t>
            </w:r>
          </w:p>
        </w:tc>
      </w:tr>
      <w:tr>
        <w:trPr>
          <w:cantSplit/>
        </w:trPr>
        <w:tc>
          <w:tcPr>
            <w:tcW w:type="dxa" w:w="1928"/>
          </w:tcPr>
          <w:p>
            <w:pPr>
              <w:spacing w:after="0" w:line="252" w:lineRule="auto"/>
            </w:pPr>
            <w:r>
              <w:rPr>
                <w:rFonts w:ascii="Calibri" w:hAnsi="Calibri"/>
                <w:b w:val="0"/>
                <w:i w:val="0"/>
                <w:color w:val="333333"/>
                <w:sz w:val="17"/>
              </w:rPr>
              <w:t xml:space="preserve">Service achats (rôle supposé)</w:t>
            </w:r>
          </w:p>
        </w:tc>
        <w:tc>
          <w:tcPr>
            <w:tcW w:type="dxa" w:w="1474"/>
          </w:tcPr>
          <w:p>
            <w:pPr>
              <w:spacing w:after="0" w:line="252" w:lineRule="auto"/>
            </w:pPr>
            <w:r>
              <w:rPr>
                <w:rFonts w:ascii="Calibri" w:hAnsi="Calibri"/>
                <w:b w:val="0"/>
                <w:i w:val="0"/>
                <w:color w:val="333333"/>
                <w:sz w:val="17"/>
              </w:rPr>
              <w:t xml:space="preserve">Utilise au quotidien</w:t>
            </w:r>
          </w:p>
        </w:tc>
        <w:tc>
          <w:tcPr>
            <w:tcW w:type="dxa" w:w="3175"/>
          </w:tcPr>
          <w:p>
            <w:pPr>
              <w:spacing w:after="0" w:line="252" w:lineRule="auto"/>
            </w:pPr>
            <w:r>
              <w:rPr>
                <w:rFonts w:ascii="Calibri" w:hAnsi="Calibri"/>
                <w:b w:val="0"/>
                <w:i w:val="0"/>
                <w:color w:val="333333"/>
                <w:sz w:val="17"/>
              </w:rPr>
              <w:t xml:space="preserve">Choisit les références à commander en premier et vérifie les fiches signalées avant de commander</w:t>
            </w:r>
          </w:p>
        </w:tc>
        <w:tc>
          <w:tcPr>
            <w:tcW w:type="dxa" w:w="2721"/>
          </w:tcPr>
          <w:p>
            <w:pPr>
              <w:spacing w:after="0" w:line="252" w:lineRule="auto"/>
            </w:pPr>
            <w:r>
              <w:rPr>
                <w:rFonts w:ascii="Calibri" w:hAnsi="Calibri"/>
                <w:b w:val="0"/>
                <w:i w:val="0"/>
                <w:color w:val="333333"/>
                <w:sz w:val="17"/>
              </w:rPr>
              <w:t xml:space="preserve">Tableau opérationnel, liste triée, anomalies signalées</w:t>
            </w:r>
          </w:p>
        </w:tc>
      </w:tr>
      <w:tr>
        <w:trPr>
          <w:cantSplit/>
        </w:trPr>
        <w:tc>
          <w:tcPr>
            <w:tcW w:type="dxa" w:w="1928"/>
          </w:tcPr>
          <w:p>
            <w:pPr>
              <w:spacing w:after="0" w:line="252" w:lineRule="auto"/>
            </w:pPr>
            <w:r>
              <w:rPr>
                <w:rFonts w:ascii="Calibri" w:hAnsi="Calibri"/>
                <w:b w:val="0"/>
                <w:i w:val="0"/>
                <w:color w:val="333333"/>
                <w:sz w:val="17"/>
              </w:rPr>
              <w:t xml:space="preserve">Équipe commerce en ligne (rôle supposé)</w:t>
            </w:r>
          </w:p>
        </w:tc>
        <w:tc>
          <w:tcPr>
            <w:tcW w:type="dxa" w:w="1474"/>
          </w:tcPr>
          <w:p>
            <w:pPr>
              <w:spacing w:after="0" w:line="252" w:lineRule="auto"/>
            </w:pPr>
            <w:r>
              <w:rPr>
                <w:rFonts w:ascii="Calibri" w:hAnsi="Calibri"/>
                <w:b w:val="0"/>
                <w:i w:val="0"/>
                <w:color w:val="333333"/>
                <w:sz w:val="17"/>
              </w:rPr>
              <w:t xml:space="preserve">Fournit les données de vente</w:t>
            </w:r>
          </w:p>
        </w:tc>
        <w:tc>
          <w:tcPr>
            <w:tcW w:type="dxa" w:w="3175"/>
          </w:tcPr>
          <w:p>
            <w:pPr>
              <w:spacing w:after="0" w:line="252" w:lineRule="auto"/>
            </w:pPr>
            <w:r>
              <w:rPr>
                <w:rFonts w:ascii="Calibri" w:hAnsi="Calibri"/>
                <w:b w:val="0"/>
                <w:i w:val="0"/>
                <w:color w:val="333333"/>
                <w:sz w:val="17"/>
              </w:rPr>
              <w:t xml:space="preserve">Corrige les fiches du site signalées : prix, identifiants, mise en ligne</w:t>
            </w:r>
          </w:p>
        </w:tc>
        <w:tc>
          <w:tcPr>
            <w:tcW w:type="dxa" w:w="2721"/>
          </w:tcPr>
          <w:p>
            <w:pPr>
              <w:spacing w:after="0" w:line="252" w:lineRule="auto"/>
            </w:pPr>
            <w:r>
              <w:rPr>
                <w:rFonts w:ascii="Calibri" w:hAnsi="Calibri"/>
                <w:b w:val="0"/>
                <w:i w:val="0"/>
                <w:color w:val="333333"/>
                <w:sz w:val="17"/>
              </w:rPr>
              <w:t xml:space="preserve">Rapport d'écarts après chaque extraction</w:t>
            </w:r>
          </w:p>
        </w:tc>
      </w:tr>
      <w:tr>
        <w:trPr>
          <w:cantSplit/>
        </w:trPr>
        <w:tc>
          <w:tcPr>
            <w:tcW w:type="dxa" w:w="1928"/>
          </w:tcPr>
          <w:p>
            <w:pPr>
              <w:spacing w:after="0" w:line="252" w:lineRule="auto"/>
            </w:pPr>
            <w:r>
              <w:rPr>
                <w:rFonts w:ascii="Calibri" w:hAnsi="Calibri"/>
                <w:b w:val="0"/>
                <w:i w:val="0"/>
                <w:color w:val="333333"/>
                <w:sz w:val="17"/>
              </w:rPr>
              <w:t xml:space="preserve">Personne qui tient la table de liaison (au projet 6, un stagiaire)</w:t>
            </w:r>
          </w:p>
        </w:tc>
        <w:tc>
          <w:tcPr>
            <w:tcW w:type="dxa" w:w="1474"/>
          </w:tcPr>
          <w:p>
            <w:pPr>
              <w:spacing w:after="0" w:line="252" w:lineRule="auto"/>
            </w:pPr>
            <w:r>
              <w:rPr>
                <w:rFonts w:ascii="Calibri" w:hAnsi="Calibri"/>
                <w:b w:val="0"/>
                <w:i w:val="0"/>
                <w:color w:val="333333"/>
                <w:sz w:val="17"/>
              </w:rPr>
              <w:t xml:space="preserve">Met à jour les correspondances</w:t>
            </w:r>
          </w:p>
        </w:tc>
        <w:tc>
          <w:tcPr>
            <w:tcW w:type="dxa" w:w="3175"/>
          </w:tcPr>
          <w:p>
            <w:pPr>
              <w:spacing w:after="0" w:line="252" w:lineRule="auto"/>
            </w:pPr>
            <w:r>
              <w:rPr>
                <w:rFonts w:ascii="Calibri" w:hAnsi="Calibri"/>
                <w:b w:val="0"/>
                <w:i w:val="0"/>
                <w:color w:val="333333"/>
                <w:sz w:val="17"/>
              </w:rPr>
              <w:t xml:space="preserve">Complète les identifiants manquants : 91 lignes sans identifiant du site</w:t>
            </w:r>
          </w:p>
        </w:tc>
        <w:tc>
          <w:tcPr>
            <w:tcW w:type="dxa" w:w="2721"/>
          </w:tcPr>
          <w:p>
            <w:pPr>
              <w:spacing w:after="0" w:line="252" w:lineRule="auto"/>
            </w:pPr>
            <w:r>
              <w:rPr>
                <w:rFonts w:ascii="Calibri" w:hAnsi="Calibri"/>
                <w:b w:val="0"/>
                <w:i w:val="0"/>
                <w:color w:val="333333"/>
                <w:sz w:val="17"/>
              </w:rPr>
              <w:t xml:space="preserve">Liste des lignes sans correspondance</w:t>
            </w:r>
          </w:p>
        </w:tc>
      </w:tr>
      <w:tr>
        <w:trPr>
          <w:cantSplit/>
        </w:trPr>
        <w:tc>
          <w:tcPr>
            <w:tcW w:type="dxa" w:w="1928"/>
          </w:tcPr>
          <w:p>
            <w:pPr>
              <w:spacing w:after="0" w:line="252" w:lineRule="auto"/>
            </w:pPr>
            <w:r>
              <w:rPr>
                <w:rFonts w:ascii="Calibri" w:hAnsi="Calibri"/>
                <w:b w:val="0"/>
                <w:i w:val="0"/>
                <w:color w:val="333333"/>
                <w:sz w:val="17"/>
              </w:rPr>
              <w:t xml:space="preserve">Direction des systèmes d'information (rôle supposé)</w:t>
            </w:r>
          </w:p>
        </w:tc>
        <w:tc>
          <w:tcPr>
            <w:tcW w:type="dxa" w:w="1474"/>
          </w:tcPr>
          <w:p>
            <w:pPr>
              <w:spacing w:after="0" w:line="252" w:lineRule="auto"/>
            </w:pPr>
            <w:r>
              <w:rPr>
                <w:rFonts w:ascii="Calibri" w:hAnsi="Calibri"/>
                <w:b w:val="0"/>
                <w:i w:val="0"/>
                <w:color w:val="333333"/>
                <w:sz w:val="17"/>
              </w:rPr>
              <w:t xml:space="preserve">Assure le support</w:t>
            </w:r>
          </w:p>
        </w:tc>
        <w:tc>
          <w:tcPr>
            <w:tcW w:type="dxa" w:w="3175"/>
          </w:tcPr>
          <w:p>
            <w:pPr>
              <w:spacing w:after="0" w:line="252" w:lineRule="auto"/>
            </w:pPr>
            <w:r>
              <w:rPr>
                <w:rFonts w:ascii="Calibri" w:hAnsi="Calibri"/>
                <w:b w:val="0"/>
                <w:i w:val="0"/>
                <w:color w:val="333333"/>
                <w:sz w:val="17"/>
              </w:rPr>
              <w:t xml:space="preserve">Valide l'installation, les versions et l'exécution planifiée</w:t>
            </w:r>
          </w:p>
        </w:tc>
        <w:tc>
          <w:tcPr>
            <w:tcW w:type="dxa" w:w="2721"/>
          </w:tcPr>
          <w:p>
            <w:pPr>
              <w:spacing w:after="0" w:line="252" w:lineRule="auto"/>
            </w:pPr>
            <w:r>
              <w:rPr>
                <w:rFonts w:ascii="Calibri" w:hAnsi="Calibri"/>
                <w:b w:val="0"/>
                <w:i w:val="0"/>
                <w:color w:val="333333"/>
                <w:sz w:val="17"/>
              </w:rPr>
              <w:t xml:space="preserve">Liste des dépendances, versions, procédure d'exécution</w:t>
            </w:r>
          </w:p>
        </w:tc>
      </w:tr>
      <w:tr>
        <w:trPr>
          <w:cantSplit/>
        </w:trPr>
        <w:tc>
          <w:tcPr>
            <w:tcW w:type="dxa" w:w="1928"/>
          </w:tcPr>
          <w:p>
            <w:pPr>
              <w:spacing w:after="0" w:line="252" w:lineRule="auto"/>
            </w:pPr>
            <w:r>
              <w:rPr>
                <w:rFonts w:ascii="Calibri" w:hAnsi="Calibri"/>
                <w:b w:val="0"/>
                <w:i w:val="0"/>
                <w:color w:val="333333"/>
                <w:sz w:val="17"/>
              </w:rPr>
              <w:t xml:space="preserve">Data Analyst, en posture de conseil</w:t>
            </w:r>
          </w:p>
        </w:tc>
        <w:tc>
          <w:tcPr>
            <w:tcW w:type="dxa" w:w="1474"/>
          </w:tcPr>
          <w:p>
            <w:pPr>
              <w:spacing w:after="0" w:line="252" w:lineRule="auto"/>
            </w:pPr>
            <w:r>
              <w:rPr>
                <w:rFonts w:ascii="Calibri" w:hAnsi="Calibri"/>
                <w:b w:val="0"/>
                <w:i w:val="0"/>
                <w:color w:val="333333"/>
                <w:sz w:val="17"/>
              </w:rPr>
              <w:t xml:space="preserve">Conçoit et livre</w:t>
            </w:r>
          </w:p>
        </w:tc>
        <w:tc>
          <w:tcPr>
            <w:tcW w:type="dxa" w:w="3175"/>
          </w:tcPr>
          <w:p>
            <w:pPr>
              <w:spacing w:after="0" w:line="252" w:lineRule="auto"/>
            </w:pPr>
            <w:r>
              <w:rPr>
                <w:rFonts w:ascii="Calibri" w:hAnsi="Calibri"/>
                <w:b w:val="0"/>
                <w:i w:val="0"/>
                <w:color w:val="333333"/>
                <w:sz w:val="17"/>
              </w:rPr>
              <w:t xml:space="preserve">Propose les priorités et les corrections, sans décider à la place du métier</w:t>
            </w:r>
          </w:p>
        </w:tc>
        <w:tc>
          <w:tcPr>
            <w:tcW w:type="dxa" w:w="2721"/>
          </w:tcPr>
          <w:p>
            <w:pPr>
              <w:spacing w:after="0" w:line="252" w:lineRule="auto"/>
            </w:pPr>
            <w:r>
              <w:rPr>
                <w:rFonts w:ascii="Calibri" w:hAnsi="Calibri"/>
                <w:b w:val="0"/>
                <w:i w:val="0"/>
                <w:color w:val="333333"/>
                <w:sz w:val="17"/>
              </w:rPr>
              <w:t xml:space="preserve">Notebook, documentation, journal des essais</w:t>
            </w:r>
          </w:p>
        </w:tc>
      </w:tr>
    </w:tbl>
    <w:p>
      <w:pPr>
        <w:spacing w:after="160"/>
      </w:pPr>
      <w:r>
        <w:rPr>
          <w:rFonts w:ascii="Calibri" w:hAnsi="Calibri"/>
          <w:b/>
          <w:i w:val="0"/>
          <w:color w:val="333333"/>
          <w:sz w:val="21"/>
        </w:rPr>
        <w:t xml:space="preserve">D'où viennent ces rôles.</w:t>
      </w:r>
      <w:r>
        <w:rPr>
          <w:rFonts w:ascii="Calibri" w:hAnsi="Calibri"/>
          <w:b w:val="0"/>
          <w:i w:val="0"/>
          <w:color w:val="333333"/>
          <w:sz w:val="21"/>
        </w:rPr>
        <w:t xml:space="preserve"> Le projet 6 nomme Nicolas, responsable des ventes, l'équipe de son service, le comité de direction et le stagiaire qui a mis à jour la table de liaison. Il annonce aussi un futur projet de data visualisation. Il ne dit pas qui passe les commandes, qui tient le site ni qui assure le support : j'appelle ces rôles service achats, équipe commerce en ligne et direction des systèmes d'information. Ce sont des hypothèses de cadrage : dans une mission réelle, je les ferais valider par Nicolas. Si c'est son équipe qui passe les commandes, elle prend la place du service achats et rien d'autre ne change.</w:t>
      </w:r>
    </w:p>
    <w:p>
      <w:pPr>
        <w:spacing w:after="40"/>
      </w:pPr>
    </w:p>
    <w:p>
      <w:pPr>
        <w:pStyle w:val="Heading1"/>
      </w:pPr>
      <w:bookmarkStart w:id="7004" w:name="_TocP130004"/>
      <w:r>
        <w:t>2. Problématique métier reformulée</w:t>
      </w:r>
      <w:bookmarkEnd w:id="7004"/>
    </w:p>
    <w:p>
      <w:pPr>
        <w:spacing w:before="60" w:after="160"/>
      </w:pPr>
      <w:r>
        <w:rPr>
          <w:rFonts w:ascii="Calibri" w:hAnsi="Calibri"/>
          <w:b/>
          <w:i w:val="0"/>
          <w:color w:val="333333"/>
          <w:sz w:val="20"/>
        </w:rPr>
        <w:t xml:space="preserve">Problématique.</w:t>
      </w:r>
      <w:r>
        <w:rPr>
          <w:rFonts w:ascii="Calibri" w:hAnsi="Calibri"/>
          <w:b w:val="0"/>
          <w:i w:val="0"/>
          <w:color w:val="333333"/>
          <w:sz w:val="20"/>
        </w:rPr>
        <w:t xml:space="preserve"> « Comment donner chaque mois à la direction et aux services de BottleNeck des chiffres fiables de ventes, de marges et de stocks, tirés de l'ERP et du site, pour décider quelles références réassortir en priorité et quelles erreurs faire corriger dans ces deux outils ? »</w:t>
      </w:r>
    </w:p>
    <w:p>
      <w:pPr>
        <w:spacing w:before="60" w:after="160"/>
      </w:pPr>
      <w:r>
        <w:rPr>
          <w:rFonts w:ascii="Calibri" w:hAnsi="Calibri"/>
          <w:b/>
          <w:i w:val="0"/>
          <w:color w:val="333333"/>
          <w:sz w:val="20"/>
        </w:rPr>
        <w:t xml:space="preserve">Besoin reformulé.</w:t>
      </w:r>
      <w:r>
        <w:rPr>
          <w:rFonts w:ascii="Calibri" w:hAnsi="Calibri"/>
          <w:b w:val="0"/>
          <w:i w:val="0"/>
          <w:color w:val="333333"/>
          <w:sz w:val="20"/>
        </w:rPr>
        <w:t xml:space="preserve"> Un tableau unique par produit, la vue produit unifiée, qui réunit l'ERP et le site et se contrôle à chaque extraction. La direction et les services y lisent le chiffre d'affaires réel, les références qui le portent, les priorités de réassort et de correction. L'analyse se refait chaque mois à l'identique, même avec plus de produits ou de ventes.</w:t>
      </w:r>
    </w:p>
    <w:p>
      <w:pPr>
        <w:spacing w:after="40"/>
      </w:pPr>
    </w:p>
    <w:p>
      <w:r>
        <w:rPr>
          <w:rFonts w:ascii="Calibri" w:hAnsi="Calibri"/>
          <w:b w:val="0"/>
          <w:i w:val="0"/>
          <w:color w:val="333333"/>
          <w:sz w:val="21"/>
        </w:rPr>
        <w:t xml:space="preserve">Un notebook technique est réussi s'il s'exécute sans erreur. Ici, il faut en plus que la direction puisse s'y fier pour décider. Je mesure donc la fiabilité, la reproductibilité et la clarté de la restitution, pas seulement l'exactitude du calcul. Le rythme mensuel est mon choix ; dans une mission réelle, Nicolas le validerait.</w:t>
      </w:r>
    </w:p>
    <w:p>
      <w:r>
        <w:rPr>
          <w:rFonts w:ascii="Calibri" w:hAnsi="Calibri"/>
          <w:b/>
          <w:i w:val="0"/>
          <w:color w:val="333333"/>
          <w:sz w:val="21"/>
        </w:rPr>
        <w:t xml:space="preserve">Ce que « fiable » veut dire ici.</w:t>
      </w:r>
      <w:r>
        <w:rPr>
          <w:rFonts w:ascii="Calibri" w:hAnsi="Calibri"/>
          <w:b w:val="0"/>
          <w:i w:val="0"/>
          <w:color w:val="333333"/>
          <w:sz w:val="21"/>
        </w:rPr>
        <w:t xml:space="preserve"> Un chiffre est fiable s'il remplit trois conditions. Il passe le contrôle de qualité : 9 lignes signalées, dont 2 restent dans les 714 produits, pour 356 euros de chiffre d'affaires. Il vient d'un rapprochement tracé entre l'ERP et le site. Et une nouvelle exécution le redonne à l'identique, graine fixée et versions listées.</w:t>
      </w:r>
    </w:p>
    <w:p>
      <w:r>
        <w:rPr>
          <w:rFonts w:ascii="Calibri" w:hAnsi="Calibri"/>
          <w:b/>
          <w:i w:val="0"/>
          <w:color w:val="333333"/>
          <w:sz w:val="21"/>
        </w:rPr>
        <w:t xml:space="preserve">Pourquoi ce besoin et pas un autre.</w:t>
      </w:r>
      <w:r>
        <w:rPr>
          <w:rFonts w:ascii="Calibri" w:hAnsi="Calibri"/>
          <w:b w:val="0"/>
          <w:i w:val="0"/>
          <w:color w:val="333333"/>
          <w:sz w:val="21"/>
        </w:rPr>
        <w:t xml:space="preserve"> C'est la demande de Nicolas au projet 6, rendue mesurable et rejouable. C'est aussi le seul besoin étudié qui améliore le notebook, sert ceux qui décident, se mesure et reste faisable avec les données disponibles. Les autres pistes ont été comparées sur les mêmes critères. La couverture de stock est désormais outillée (fonctionnalité F8, essai C) ; la politique de prix et l'enrichissement du catalogue par des données ouvertes se branchent sur le même tableau et restent des pistes d'évolution. Un chatbot pour les clients ou la collecte d'avis de concurrents visent les clients plutôt que la direction, ou demandent des données dont BottleNeck ne dispose pas. Quant aux avis du site, ils sont désactivés : il n'y en a aucun à analyser.</w:t>
      </w:r>
    </w:p>
    <w:p>
      <w:pPr>
        <w:pStyle w:val="Heading2"/>
      </w:pPr>
      <w:bookmarkStart w:id="7005" w:name="_TocP130005"/>
      <w:r>
        <w:t>2.1 Objectifs et enjeux</w:t>
      </w:r>
      <w:bookmarkEnd w:id="7005"/>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099"/>
        <w:gridCol w:w="3099"/>
        <w:gridCol w:w="3099"/>
      </w:tblGrid>
      <w:tr>
        <w:trPr>
          <w:cantSplit/>
          <w:tblHeader w:val="true"/>
        </w:trPr>
        <w:tc>
          <w:tcPr>
            <w:tcW w:type="dxa" w:w="2494"/>
            <w:shd w:val="clear" w:color="auto" w:fill="1F2937"/>
          </w:tcPr>
          <w:p>
            <w:pPr>
              <w:spacing w:after="0"/>
            </w:pPr>
            <w:r>
              <w:rPr>
                <w:rFonts w:ascii="Calibri" w:hAnsi="Calibri"/>
                <w:b/>
                <w:color w:val="FFFFFF"/>
                <w:sz w:val="18"/>
              </w:rPr>
              <w:t>Objectif</w:t>
            </w:r>
          </w:p>
        </w:tc>
        <w:tc>
          <w:tcPr>
            <w:tcW w:type="dxa" w:w="2835"/>
            <w:shd w:val="clear" w:color="auto" w:fill="1F2937"/>
          </w:tcPr>
          <w:p>
            <w:pPr>
              <w:spacing w:after="0"/>
            </w:pPr>
            <w:r>
              <w:rPr>
                <w:rFonts w:ascii="Calibri" w:hAnsi="Calibri"/>
                <w:b/>
                <w:color w:val="FFFFFF"/>
                <w:sz w:val="18"/>
              </w:rPr>
              <w:t>Enjeu métier associé</w:t>
            </w:r>
          </w:p>
        </w:tc>
        <w:tc>
          <w:tcPr>
            <w:tcW w:type="dxa" w:w="3969"/>
            <w:shd w:val="clear" w:color="auto" w:fill="1F2937"/>
          </w:tcPr>
          <w:p>
            <w:pPr>
              <w:spacing w:after="0"/>
            </w:pPr>
            <w:r>
              <w:rPr>
                <w:rFonts w:ascii="Calibri" w:hAnsi="Calibri"/>
                <w:b/>
                <w:color w:val="FFFFFF"/>
                <w:sz w:val="18"/>
              </w:rPr>
              <w:t>Ce qui se passe si l'objectif n'est pas atteint</w:t>
            </w:r>
          </w:p>
        </w:tc>
      </w:tr>
      <w:tr>
        <w:trPr>
          <w:cantSplit/>
        </w:trPr>
        <w:tc>
          <w:tcPr>
            <w:tcW w:type="dxa" w:w="2494"/>
          </w:tcPr>
          <w:p>
            <w:pPr>
              <w:spacing w:after="0" w:line="252" w:lineRule="auto"/>
            </w:pPr>
            <w:r>
              <w:rPr>
                <w:rFonts w:ascii="Calibri" w:hAnsi="Calibri"/>
                <w:b w:val="0"/>
                <w:i w:val="0"/>
                <w:color w:val="333333"/>
                <w:sz w:val="18"/>
              </w:rPr>
              <w:t xml:space="preserve">Contrôler la qualité des données à chaque extraction</w:t>
            </w:r>
          </w:p>
        </w:tc>
        <w:tc>
          <w:tcPr>
            <w:tcW w:type="dxa" w:w="2835"/>
          </w:tcPr>
          <w:p>
            <w:pPr>
              <w:spacing w:after="0" w:line="252" w:lineRule="auto"/>
            </w:pPr>
            <w:r>
              <w:rPr>
                <w:rFonts w:ascii="Calibri" w:hAnsi="Calibri"/>
                <w:b w:val="0"/>
                <w:i w:val="0"/>
                <w:color w:val="333333"/>
                <w:sz w:val="18"/>
              </w:rPr>
              <w:t>Décider sur des chiffres exacts</w:t>
            </w:r>
          </w:p>
        </w:tc>
        <w:tc>
          <w:tcPr>
            <w:tcW w:type="dxa" w:w="3969"/>
          </w:tcPr>
          <w:p>
            <w:pPr>
              <w:spacing w:after="0" w:line="252" w:lineRule="auto"/>
            </w:pPr>
            <w:r>
              <w:rPr>
                <w:rFonts w:ascii="Calibri" w:hAnsi="Calibri"/>
                <w:b w:val="0"/>
                <w:i w:val="0"/>
                <w:color w:val="333333"/>
                <w:sz w:val="18"/>
              </w:rPr>
              <w:t>Des arbitrages de réassort fondés sur des prix ou des stocks erronés</w:t>
            </w:r>
          </w:p>
        </w:tc>
      </w:tr>
      <w:tr>
        <w:trPr>
          <w:cantSplit/>
        </w:trPr>
        <w:tc>
          <w:tcPr>
            <w:tcW w:type="dxa" w:w="2494"/>
            <w:shd w:val="clear" w:color="auto" w:fill="F1F5F9"/>
          </w:tcPr>
          <w:p>
            <w:pPr>
              <w:spacing w:after="0" w:line="252" w:lineRule="auto"/>
            </w:pPr>
            <w:r>
              <w:rPr>
                <w:rFonts w:ascii="Calibri" w:hAnsi="Calibri"/>
                <w:b w:val="0"/>
                <w:i w:val="0"/>
                <w:color w:val="333333"/>
                <w:sz w:val="18"/>
              </w:rPr>
              <w:t>Mesurer le chiffre d'affaires et sa concentration</w:t>
            </w:r>
          </w:p>
        </w:tc>
        <w:tc>
          <w:tcPr>
            <w:tcW w:type="dxa" w:w="2835"/>
            <w:shd w:val="clear" w:color="auto" w:fill="F1F5F9"/>
          </w:tcPr>
          <w:p>
            <w:pPr>
              <w:spacing w:after="0" w:line="252" w:lineRule="auto"/>
            </w:pPr>
            <w:r>
              <w:rPr>
                <w:rFonts w:ascii="Calibri" w:hAnsi="Calibri"/>
                <w:b w:val="0"/>
                <w:i w:val="0"/>
                <w:color w:val="333333"/>
                <w:sz w:val="18"/>
              </w:rPr>
              <w:t>Concentrer les efforts sur les références clés</w:t>
            </w:r>
          </w:p>
        </w:tc>
        <w:tc>
          <w:tcPr>
            <w:tcW w:type="dxa" w:w="3969"/>
            <w:shd w:val="clear" w:color="auto" w:fill="F1F5F9"/>
          </w:tcPr>
          <w:p>
            <w:pPr>
              <w:spacing w:after="0" w:line="252" w:lineRule="auto"/>
            </w:pPr>
            <w:r>
              <w:rPr>
                <w:rFonts w:ascii="Calibri" w:hAnsi="Calibri"/>
                <w:b w:val="0"/>
                <w:i w:val="0"/>
                <w:color w:val="333333"/>
                <w:sz w:val="18"/>
              </w:rPr>
              <w:t>Un effort commercial dispersé sur des références sans poids</w:t>
            </w:r>
          </w:p>
        </w:tc>
      </w:tr>
      <w:tr>
        <w:trPr>
          <w:cantSplit/>
        </w:trPr>
        <w:tc>
          <w:tcPr>
            <w:tcW w:type="dxa" w:w="2494"/>
          </w:tcPr>
          <w:p>
            <w:pPr>
              <w:spacing w:after="0" w:line="252" w:lineRule="auto"/>
            </w:pPr>
            <w:r>
              <w:rPr>
                <w:rFonts w:ascii="Calibri" w:hAnsi="Calibri"/>
                <w:b w:val="0"/>
                <w:i w:val="0"/>
                <w:color w:val="333333"/>
                <w:sz w:val="18"/>
              </w:rPr>
              <w:t>Expliquer les facteurs de vente</w:t>
            </w:r>
          </w:p>
        </w:tc>
        <w:tc>
          <w:tcPr>
            <w:tcW w:type="dxa" w:w="2835"/>
          </w:tcPr>
          <w:p>
            <w:pPr>
              <w:spacing w:after="0" w:line="252" w:lineRule="auto"/>
            </w:pPr>
            <w:r>
              <w:rPr>
                <w:rFonts w:ascii="Calibri" w:hAnsi="Calibri"/>
                <w:b w:val="0"/>
                <w:i w:val="0"/>
                <w:color w:val="333333"/>
                <w:sz w:val="18"/>
              </w:rPr>
              <w:t xml:space="preserve">Repérer ce qui est associé aux ventes, sans lecture causale</w:t>
            </w:r>
          </w:p>
        </w:tc>
        <w:tc>
          <w:tcPr>
            <w:tcW w:type="dxa" w:w="3969"/>
          </w:tcPr>
          <w:p>
            <w:pPr>
              <w:spacing w:after="0" w:line="252" w:lineRule="auto"/>
            </w:pPr>
            <w:r>
              <w:rPr>
                <w:rFonts w:ascii="Calibri" w:hAnsi="Calibri"/>
                <w:b w:val="0"/>
                <w:i w:val="0"/>
                <w:color w:val="333333"/>
                <w:sz w:val="18"/>
              </w:rPr>
              <w:t>Des décisions de réassort prises à l'intuition</w:t>
            </w:r>
          </w:p>
        </w:tc>
      </w:tr>
      <w:tr>
        <w:trPr>
          <w:cantSplit/>
        </w:trPr>
        <w:tc>
          <w:tcPr>
            <w:tcW w:type="dxa" w:w="2494"/>
            <w:shd w:val="clear" w:color="auto" w:fill="F1F5F9"/>
          </w:tcPr>
          <w:p>
            <w:pPr>
              <w:spacing w:after="0" w:line="252" w:lineRule="auto"/>
            </w:pPr>
            <w:r>
              <w:rPr>
                <w:rFonts w:ascii="Calibri" w:hAnsi="Calibri"/>
                <w:b w:val="0"/>
                <w:i w:val="0"/>
                <w:color w:val="333333"/>
                <w:sz w:val="18"/>
              </w:rPr>
              <w:t>Rendre la démarche reproductible</w:t>
            </w:r>
          </w:p>
        </w:tc>
        <w:tc>
          <w:tcPr>
            <w:tcW w:type="dxa" w:w="2835"/>
            <w:shd w:val="clear" w:color="auto" w:fill="F1F5F9"/>
          </w:tcPr>
          <w:p>
            <w:pPr>
              <w:spacing w:after="0" w:line="252" w:lineRule="auto"/>
            </w:pPr>
            <w:r>
              <w:rPr>
                <w:rFonts w:ascii="Calibri" w:hAnsi="Calibri"/>
                <w:b w:val="0"/>
                <w:i w:val="0"/>
                <w:color w:val="333333"/>
                <w:sz w:val="18"/>
              </w:rPr>
              <w:t>Rejouer l'analyse chaque mois sans retravail</w:t>
            </w:r>
          </w:p>
        </w:tc>
        <w:tc>
          <w:tcPr>
            <w:tcW w:type="dxa" w:w="3969"/>
            <w:shd w:val="clear" w:color="auto" w:fill="F1F5F9"/>
          </w:tcPr>
          <w:p>
            <w:pPr>
              <w:spacing w:after="0" w:line="252" w:lineRule="auto"/>
            </w:pPr>
            <w:r>
              <w:rPr>
                <w:rFonts w:ascii="Calibri" w:hAnsi="Calibri"/>
                <w:b w:val="0"/>
                <w:i w:val="0"/>
                <w:color w:val="333333"/>
                <w:sz w:val="18"/>
              </w:rPr>
              <w:t>Un coût de reprise à chaque nouvelle extraction</w:t>
            </w:r>
          </w:p>
        </w:tc>
      </w:tr>
      <w:tr>
        <w:trPr>
          <w:cantSplit/>
        </w:trPr>
        <w:tc>
          <w:tcPr>
            <w:tcW w:type="dxa" w:w="2494"/>
          </w:tcPr>
          <w:p>
            <w:pPr>
              <w:spacing w:after="0" w:line="252" w:lineRule="auto"/>
            </w:pPr>
            <w:r>
              <w:rPr>
                <w:rFonts w:ascii="Calibri" w:hAnsi="Calibri"/>
                <w:b w:val="0"/>
                <w:i w:val="0"/>
                <w:color w:val="333333"/>
                <w:sz w:val="18"/>
              </w:rPr>
              <w:t>Préparer la montée en charge</w:t>
            </w:r>
          </w:p>
        </w:tc>
        <w:tc>
          <w:tcPr>
            <w:tcW w:type="dxa" w:w="2835"/>
          </w:tcPr>
          <w:p>
            <w:pPr>
              <w:spacing w:after="0" w:line="252" w:lineRule="auto"/>
            </w:pPr>
            <w:r>
              <w:rPr>
                <w:rFonts w:ascii="Calibri" w:hAnsi="Calibri"/>
                <w:b w:val="0"/>
                <w:i w:val="0"/>
                <w:color w:val="333333"/>
                <w:sz w:val="18"/>
              </w:rPr>
              <w:t>Ne pas refaire l'outil quand le volume croît</w:t>
            </w:r>
          </w:p>
        </w:tc>
        <w:tc>
          <w:tcPr>
            <w:tcW w:type="dxa" w:w="3969"/>
          </w:tcPr>
          <w:p>
            <w:pPr>
              <w:spacing w:after="0" w:line="252" w:lineRule="auto"/>
            </w:pPr>
            <w:r>
              <w:rPr>
                <w:rFonts w:ascii="Calibri" w:hAnsi="Calibri"/>
                <w:b w:val="0"/>
                <w:i w:val="0"/>
                <w:color w:val="333333"/>
                <w:sz w:val="18"/>
              </w:rPr>
              <w:t>Une refonte complète au moment où l'entreprise en aura le moins le temps</w:t>
            </w:r>
          </w:p>
        </w:tc>
      </w:tr>
    </w:tbl>
    <w:p>
      <w:pPr>
        <w:spacing w:after="40"/>
      </w:pPr>
    </w:p>
    <w:p>
      <w:pPr>
        <w:pStyle w:val="Heading2"/>
      </w:pPr>
      <w:bookmarkStart w:id="7006" w:name="_TocP130006"/>
      <w:r>
        <w:t>2.2 Éléments prioritaires</w:t>
      </w:r>
      <w:bookmarkEnd w:id="7006"/>
    </w:p>
    <w:p>
      <w:r>
        <w:rPr>
          <w:rFonts w:ascii="Calibri" w:hAnsi="Calibri"/>
          <w:b w:val="0"/>
          <w:i w:val="0"/>
          <w:color w:val="333333"/>
          <w:sz w:val="21"/>
        </w:rPr>
        <w:t xml:space="preserve">Par ordre de priorité décroissante. Ce classement, proposé au cadrage et validé en séance 1 le 18 septembre, fixe l'ordre de réalisation ; dans une mission réelle, Nicolas le validerait.</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099"/>
        <w:gridCol w:w="3099"/>
        <w:gridCol w:w="3099"/>
      </w:tblGrid>
      <w:tr>
        <w:trPr>
          <w:cantSplit/>
          <w:tblHeader w:val="true"/>
        </w:trPr>
        <w:tc>
          <w:tcPr>
            <w:tcW w:type="dxa" w:w="794"/>
            <w:shd w:val="clear" w:color="auto" w:fill="1F2937"/>
          </w:tcPr>
          <w:p>
            <w:pPr>
              <w:spacing w:after="0"/>
            </w:pPr>
            <w:r>
              <w:rPr>
                <w:rFonts w:ascii="Calibri" w:hAnsi="Calibri"/>
                <w:b/>
                <w:color w:val="FFFFFF"/>
                <w:sz w:val="18"/>
              </w:rPr>
              <w:t>Rang</w:t>
            </w:r>
          </w:p>
        </w:tc>
        <w:tc>
          <w:tcPr>
            <w:tcW w:type="dxa" w:w="3175"/>
            <w:shd w:val="clear" w:color="auto" w:fill="1F2937"/>
          </w:tcPr>
          <w:p>
            <w:pPr>
              <w:spacing w:after="0"/>
            </w:pPr>
            <w:r>
              <w:rPr>
                <w:rFonts w:ascii="Calibri" w:hAnsi="Calibri"/>
                <w:b/>
                <w:color w:val="FFFFFF"/>
                <w:sz w:val="18"/>
              </w:rPr>
              <w:t>Élément</w:t>
            </w:r>
          </w:p>
        </w:tc>
        <w:tc>
          <w:tcPr>
            <w:tcW w:type="dxa" w:w="5329"/>
            <w:shd w:val="clear" w:color="auto" w:fill="1F2937"/>
          </w:tcPr>
          <w:p>
            <w:pPr>
              <w:spacing w:after="0"/>
            </w:pPr>
            <w:r>
              <w:rPr>
                <w:rFonts w:ascii="Calibri" w:hAnsi="Calibri"/>
                <w:b/>
                <w:color w:val="FFFFFF"/>
                <w:sz w:val="18"/>
              </w:rPr>
              <w:t>Pourquoi cette place</w:t>
            </w:r>
          </w:p>
        </w:tc>
      </w:tr>
      <w:tr>
        <w:trPr>
          <w:cantSplit/>
        </w:trPr>
        <w:tc>
          <w:tcPr>
            <w:tcW w:type="dxa" w:w="794"/>
          </w:tcPr>
          <w:p>
            <w:pPr>
              <w:spacing w:after="0" w:line="252" w:lineRule="auto"/>
            </w:pPr>
            <w:r>
              <w:rPr>
                <w:rFonts w:ascii="Calibri" w:hAnsi="Calibri"/>
                <w:b w:val="0"/>
                <w:i w:val="0"/>
                <w:color w:val="333333"/>
                <w:sz w:val="18"/>
              </w:rPr>
              <w:t>P1</w:t>
            </w:r>
          </w:p>
        </w:tc>
        <w:tc>
          <w:tcPr>
            <w:tcW w:type="dxa" w:w="3175"/>
          </w:tcPr>
          <w:p>
            <w:pPr>
              <w:spacing w:after="0" w:line="252" w:lineRule="auto"/>
            </w:pPr>
            <w:r>
              <w:rPr>
                <w:rFonts w:ascii="Calibri" w:hAnsi="Calibri"/>
                <w:b w:val="0"/>
                <w:i w:val="0"/>
                <w:color w:val="333333"/>
                <w:sz w:val="18"/>
              </w:rPr>
              <w:t xml:space="preserve">Qualité des données, par un contrat de qualité automatisé</w:t>
            </w:r>
          </w:p>
        </w:tc>
        <w:tc>
          <w:tcPr>
            <w:tcW w:type="dxa" w:w="5329"/>
          </w:tcPr>
          <w:p>
            <w:pPr>
              <w:spacing w:after="0" w:line="252" w:lineRule="auto"/>
            </w:pPr>
            <w:r>
              <w:rPr>
                <w:rFonts w:ascii="Calibri" w:hAnsi="Calibri"/>
                <w:b w:val="0"/>
                <w:i w:val="0"/>
                <w:color w:val="333333"/>
                <w:sz w:val="18"/>
              </w:rPr>
              <w:t>C'est le prérequis de toute analyse fiable. Sans lui, les quatre priorités suivantes produisent des résultats invérifiables.</w:t>
            </w:r>
          </w:p>
        </w:tc>
      </w:tr>
      <w:tr>
        <w:trPr>
          <w:cantSplit/>
        </w:trPr>
        <w:tc>
          <w:tcPr>
            <w:tcW w:type="dxa" w:w="794"/>
            <w:shd w:val="clear" w:color="auto" w:fill="F1F5F9"/>
          </w:tcPr>
          <w:p>
            <w:pPr>
              <w:spacing w:after="0" w:line="252" w:lineRule="auto"/>
            </w:pPr>
            <w:r>
              <w:rPr>
                <w:rFonts w:ascii="Calibri" w:hAnsi="Calibri"/>
                <w:b w:val="0"/>
                <w:i w:val="0"/>
                <w:color w:val="333333"/>
                <w:sz w:val="18"/>
              </w:rPr>
              <w:t>P2</w:t>
            </w:r>
          </w:p>
        </w:tc>
        <w:tc>
          <w:tcPr>
            <w:tcW w:type="dxa" w:w="3175"/>
            <w:shd w:val="clear" w:color="auto" w:fill="F1F5F9"/>
          </w:tcPr>
          <w:p>
            <w:pPr>
              <w:spacing w:after="0" w:line="252" w:lineRule="auto"/>
            </w:pPr>
            <w:r>
              <w:rPr>
                <w:rFonts w:ascii="Calibri" w:hAnsi="Calibri"/>
                <w:b w:val="0"/>
                <w:i w:val="0"/>
                <w:color w:val="333333"/>
                <w:sz w:val="18"/>
              </w:rPr>
              <w:t>Vue produit unifiée et chiffre d'affaires</w:t>
            </w:r>
          </w:p>
        </w:tc>
        <w:tc>
          <w:tcPr>
            <w:tcW w:type="dxa" w:w="5329"/>
            <w:shd w:val="clear" w:color="auto" w:fill="F1F5F9"/>
          </w:tcPr>
          <w:p>
            <w:pPr>
              <w:spacing w:after="0" w:line="252" w:lineRule="auto"/>
            </w:pPr>
            <w:r>
              <w:rPr>
                <w:rFonts w:ascii="Calibri" w:hAnsi="Calibri"/>
                <w:b w:val="0"/>
                <w:i w:val="0"/>
                <w:color w:val="333333"/>
                <w:sz w:val="18"/>
              </w:rPr>
              <w:t>C'est le cœur de la valeur attendue par la direction, et la base de tout le reste.</w:t>
            </w:r>
          </w:p>
        </w:tc>
      </w:tr>
      <w:tr>
        <w:trPr>
          <w:cantSplit/>
        </w:trPr>
        <w:tc>
          <w:tcPr>
            <w:tcW w:type="dxa" w:w="794"/>
          </w:tcPr>
          <w:p>
            <w:pPr>
              <w:spacing w:after="0" w:line="252" w:lineRule="auto"/>
            </w:pPr>
            <w:r>
              <w:rPr>
                <w:rFonts w:ascii="Calibri" w:hAnsi="Calibri"/>
                <w:b w:val="0"/>
                <w:i w:val="0"/>
                <w:color w:val="333333"/>
                <w:sz w:val="18"/>
              </w:rPr>
              <w:t>P3</w:t>
            </w:r>
          </w:p>
        </w:tc>
        <w:tc>
          <w:tcPr>
            <w:tcW w:type="dxa" w:w="3175"/>
          </w:tcPr>
          <w:p>
            <w:pPr>
              <w:spacing w:after="0" w:line="252" w:lineRule="auto"/>
            </w:pPr>
            <w:r>
              <w:rPr>
                <w:rFonts w:ascii="Calibri" w:hAnsi="Calibri"/>
                <w:b w:val="0"/>
                <w:i w:val="0"/>
                <w:color w:val="333333"/>
                <w:sz w:val="18"/>
              </w:rPr>
              <w:t>Détection d'anomalies enrichie</w:t>
            </w:r>
          </w:p>
        </w:tc>
        <w:tc>
          <w:tcPr>
            <w:tcW w:type="dxa" w:w="5329"/>
          </w:tcPr>
          <w:p>
            <w:pPr>
              <w:spacing w:after="0" w:line="252" w:lineRule="auto"/>
            </w:pPr>
            <w:r>
              <w:rPr>
                <w:rFonts w:ascii="Calibri" w:hAnsi="Calibri"/>
                <w:b w:val="0"/>
                <w:i w:val="0"/>
                <w:color w:val="333333"/>
                <w:sz w:val="18"/>
              </w:rPr>
              <w:t xml:space="preserve">Dernier contrôle avant la restitution : les cas douteux sont signalés avant que les chiffres partent.</w:t>
            </w:r>
          </w:p>
        </w:tc>
      </w:tr>
      <w:tr>
        <w:trPr>
          <w:cantSplit/>
        </w:trPr>
        <w:tc>
          <w:tcPr>
            <w:tcW w:type="dxa" w:w="794"/>
            <w:shd w:val="clear" w:color="auto" w:fill="F1F5F9"/>
          </w:tcPr>
          <w:p>
            <w:pPr>
              <w:spacing w:after="0" w:line="252" w:lineRule="auto"/>
            </w:pPr>
            <w:r>
              <w:rPr>
                <w:rFonts w:ascii="Calibri" w:hAnsi="Calibri"/>
                <w:b w:val="0"/>
                <w:i w:val="0"/>
                <w:color w:val="333333"/>
                <w:sz w:val="18"/>
              </w:rPr>
              <w:t>P4</w:t>
            </w:r>
          </w:p>
        </w:tc>
        <w:tc>
          <w:tcPr>
            <w:tcW w:type="dxa" w:w="3175"/>
            <w:shd w:val="clear" w:color="auto" w:fill="F1F5F9"/>
          </w:tcPr>
          <w:p>
            <w:pPr>
              <w:spacing w:after="0" w:line="252" w:lineRule="auto"/>
            </w:pPr>
            <w:r>
              <w:rPr>
                <w:rFonts w:ascii="Calibri" w:hAnsi="Calibri"/>
                <w:b w:val="0"/>
                <w:i w:val="0"/>
                <w:color w:val="333333"/>
                <w:sz w:val="18"/>
              </w:rPr>
              <w:t>Interprétabilité et recommandations</w:t>
            </w:r>
          </w:p>
        </w:tc>
        <w:tc>
          <w:tcPr>
            <w:tcW w:type="dxa" w:w="5329"/>
            <w:shd w:val="clear" w:color="auto" w:fill="F1F5F9"/>
          </w:tcPr>
          <w:p>
            <w:pPr>
              <w:spacing w:after="0" w:line="252" w:lineRule="auto"/>
            </w:pPr>
            <w:r>
              <w:rPr>
                <w:rFonts w:ascii="Calibri" w:hAnsi="Calibri"/>
                <w:b w:val="0"/>
                <w:i w:val="0"/>
                <w:color w:val="333333"/>
                <w:sz w:val="18"/>
              </w:rPr>
              <w:t>Transforme une analyse descriptive en aide à la décision opérationnelle.</w:t>
            </w:r>
          </w:p>
        </w:tc>
      </w:tr>
      <w:tr>
        <w:trPr>
          <w:cantSplit/>
        </w:trPr>
        <w:tc>
          <w:tcPr>
            <w:tcW w:type="dxa" w:w="794"/>
          </w:tcPr>
          <w:p>
            <w:pPr>
              <w:spacing w:after="0" w:line="252" w:lineRule="auto"/>
            </w:pPr>
            <w:r>
              <w:rPr>
                <w:rFonts w:ascii="Calibri" w:hAnsi="Calibri"/>
                <w:b w:val="0"/>
                <w:i w:val="0"/>
                <w:color w:val="333333"/>
                <w:sz w:val="18"/>
              </w:rPr>
              <w:t>P5</w:t>
            </w:r>
          </w:p>
        </w:tc>
        <w:tc>
          <w:tcPr>
            <w:tcW w:type="dxa" w:w="3175"/>
          </w:tcPr>
          <w:p>
            <w:pPr>
              <w:spacing w:after="0" w:line="252" w:lineRule="auto"/>
            </w:pPr>
            <w:r>
              <w:rPr>
                <w:rFonts w:ascii="Calibri" w:hAnsi="Calibri"/>
                <w:b w:val="0"/>
                <w:i w:val="0"/>
                <w:color w:val="333333"/>
                <w:sz w:val="18"/>
              </w:rPr>
              <w:t>Préparation à la montée en charge</w:t>
            </w:r>
          </w:p>
        </w:tc>
        <w:tc>
          <w:tcPr>
            <w:tcW w:type="dxa" w:w="5329"/>
          </w:tcPr>
          <w:p>
            <w:pPr>
              <w:spacing w:after="0" w:line="252" w:lineRule="auto"/>
            </w:pPr>
            <w:r>
              <w:rPr>
                <w:rFonts w:ascii="Calibri" w:hAnsi="Calibri"/>
                <w:b w:val="0"/>
                <w:i w:val="0"/>
                <w:color w:val="333333"/>
                <w:sz w:val="18"/>
              </w:rPr>
              <w:t>Utile mais non urgent : à activer selon la volumétrie réelle, pas par anticipation.</w:t>
            </w:r>
          </w:p>
        </w:tc>
      </w:tr>
    </w:tbl>
    <w:p>
      <w:pPr>
        <w:spacing w:after="40"/>
      </w:pPr>
    </w:p>
    <w:p>
      <w:pPr>
        <w:pStyle w:val="Heading1"/>
      </w:pPr>
      <w:bookmarkStart w:id="7007" w:name="_TocP130007"/>
      <w:r>
        <w:t>3. Périmètre du projet</w:t>
      </w:r>
      <w:bookmarkEnd w:id="7007"/>
    </w:p>
    <w:p>
      <w:pPr>
        <w:spacing w:after="80"/>
      </w:pPr>
      <w:r>
        <w:rPr>
          <w:rFonts w:ascii="Calibri" w:hAnsi="Calibri"/>
          <w:b w:val="0"/>
          <w:i w:val="0"/>
          <w:color w:val="333333"/>
          <w:sz w:val="21"/>
        </w:rPr>
        <w:t xml:space="preserve">Le périmètre, dimension par dimension :</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1600"/>
        <w:gridCol w:w="3900"/>
        <w:gridCol w:w="3798"/>
      </w:tblGrid>
      <w:tr>
        <w:trPr>
          <w:cantSplit/>
          <w:tblHeader w:val="true"/>
        </w:trPr>
        <w:tc>
          <w:tcPr>
            <w:tcW w:type="dxa" w:w="1600"/>
            <w:shd w:val="clear" w:color="auto" w:fill="1F2937"/>
          </w:tcPr>
          <w:p>
            <w:pPr>
              <w:spacing w:after="0"/>
            </w:pPr>
            <w:r>
              <w:rPr>
                <w:rFonts w:ascii="Calibri" w:hAnsi="Calibri"/>
                <w:b/>
                <w:color w:val="FFFFFF"/>
                <w:sz w:val="17"/>
              </w:rPr>
              <w:t xml:space="preserve">Dimension</w:t>
            </w:r>
          </w:p>
        </w:tc>
        <w:tc>
          <w:tcPr>
            <w:tcW w:type="dxa" w:w="3900"/>
            <w:shd w:val="clear" w:color="auto" w:fill="1F2937"/>
          </w:tcPr>
          <w:p>
            <w:pPr>
              <w:spacing w:after="0"/>
            </w:pPr>
            <w:r>
              <w:rPr>
                <w:rFonts w:ascii="Calibri" w:hAnsi="Calibri"/>
                <w:b/>
                <w:color w:val="FFFFFF"/>
                <w:sz w:val="17"/>
              </w:rPr>
              <w:t xml:space="preserve">Traité</w:t>
            </w:r>
          </w:p>
        </w:tc>
        <w:tc>
          <w:tcPr>
            <w:tcW w:type="dxa" w:w="3798"/>
            <w:shd w:val="clear" w:color="auto" w:fill="1F2937"/>
          </w:tcPr>
          <w:p>
            <w:pPr>
              <w:spacing w:after="0"/>
            </w:pPr>
            <w:r>
              <w:rPr>
                <w:rFonts w:ascii="Calibri" w:hAnsi="Calibri"/>
                <w:b/>
                <w:color w:val="FFFFFF"/>
                <w:sz w:val="17"/>
              </w:rPr>
              <w:t xml:space="preserve">Non traité</w:t>
            </w:r>
          </w:p>
        </w:tc>
      </w:tr>
      <w:tr>
        <w:trPr>
          <w:cantSplit/>
        </w:trPr>
        <w:tc>
          <w:tcPr>
            <w:tcW w:type="dxa" w:w="1600"/>
          </w:tcPr>
          <w:p>
            <w:pPr>
              <w:spacing w:after="0" w:line="252" w:lineRule="auto"/>
            </w:pPr>
            <w:r>
              <w:rPr>
                <w:rFonts w:ascii="Calibri" w:hAnsi="Calibri"/>
                <w:b w:val="0"/>
                <w:i w:val="0"/>
                <w:color w:val="333333"/>
                <w:sz w:val="17"/>
              </w:rPr>
              <w:t xml:space="preserve">Données</w:t>
            </w:r>
          </w:p>
        </w:tc>
        <w:tc>
          <w:tcPr>
            <w:tcW w:type="dxa" w:w="3900"/>
          </w:tcPr>
          <w:p>
            <w:pPr>
              <w:spacing w:after="0" w:line="252" w:lineRule="auto"/>
            </w:pPr>
            <w:r>
              <w:rPr>
                <w:rFonts w:ascii="Calibri" w:hAnsi="Calibri"/>
                <w:b w:val="0"/>
                <w:i w:val="0"/>
                <w:color w:val="333333"/>
                <w:sz w:val="17"/>
              </w:rPr>
              <w:t xml:space="preserve">Trois extractions figées. L'ERP : 825 références (prix, prix d'achat, stock). L'export du site : 1 513 lignes, dont 716 fiches produit (ventes et fiches). La table de liaison : 825 lignes, dont 91 sans identifiant du site</w:t>
            </w:r>
          </w:p>
        </w:tc>
        <w:tc>
          <w:tcPr>
            <w:tcW w:type="dxa" w:w="3798"/>
          </w:tcPr>
          <w:p>
            <w:pPr>
              <w:spacing w:after="0" w:line="252" w:lineRule="auto"/>
            </w:pPr>
            <w:r>
              <w:rPr>
                <w:rFonts w:ascii="Calibri" w:hAnsi="Calibri"/>
                <w:b w:val="0"/>
                <w:i w:val="0"/>
                <w:color w:val="333333"/>
                <w:sz w:val="17"/>
              </w:rPr>
              <w:t xml:space="preserve">Données clients ou personnelles ; historique des ventes, qui n'existe pas ; données externes (avis de concurrents, sources ouvertes), gardées en pistes</w:t>
            </w:r>
          </w:p>
        </w:tc>
      </w:tr>
      <w:tr>
        <w:trPr>
          <w:cantSplit/>
        </w:trPr>
        <w:tc>
          <w:tcPr>
            <w:tcW w:type="dxa" w:w="1600"/>
          </w:tcPr>
          <w:p>
            <w:pPr>
              <w:spacing w:after="0" w:line="252" w:lineRule="auto"/>
            </w:pPr>
            <w:r>
              <w:rPr>
                <w:rFonts w:ascii="Calibri" w:hAnsi="Calibri"/>
                <w:b w:val="0"/>
                <w:i w:val="0"/>
                <w:color w:val="333333"/>
                <w:sz w:val="17"/>
              </w:rPr>
              <w:t xml:space="preserve">Population</w:t>
            </w:r>
          </w:p>
        </w:tc>
        <w:tc>
          <w:tcPr>
            <w:tcW w:type="dxa" w:w="3900"/>
          </w:tcPr>
          <w:p>
            <w:pPr>
              <w:spacing w:after="0" w:line="252" w:lineRule="auto"/>
            </w:pPr>
            <w:r>
              <w:rPr>
                <w:rFonts w:ascii="Calibri" w:hAnsi="Calibri"/>
                <w:b w:val="0"/>
                <w:i w:val="0"/>
                <w:color w:val="333333"/>
                <w:sz w:val="17"/>
              </w:rPr>
              <w:t xml:space="preserve">Les 714 produits rapprochés entre l'ERP et le site, dont 689 ont au moins une vente en octobre</w:t>
            </w:r>
          </w:p>
        </w:tc>
        <w:tc>
          <w:tcPr>
            <w:tcW w:type="dxa" w:w="3798"/>
          </w:tcPr>
          <w:p>
            <w:pPr>
              <w:spacing w:after="0" w:line="252" w:lineRule="auto"/>
            </w:pPr>
            <w:r>
              <w:rPr>
                <w:rFonts w:ascii="Calibri" w:hAnsi="Calibri"/>
                <w:b w:val="0"/>
                <w:i w:val="0"/>
                <w:color w:val="333333"/>
                <w:sz w:val="17"/>
              </w:rPr>
              <w:t xml:space="preserve">Les 111 références de l'ERP sans correspondance sur le site (91 sans identifiant, 20 introuvables sur le site) : comptées et signalées, pas analysées</w:t>
            </w:r>
          </w:p>
        </w:tc>
      </w:tr>
      <w:tr>
        <w:trPr>
          <w:cantSplit/>
        </w:trPr>
        <w:tc>
          <w:tcPr>
            <w:tcW w:type="dxa" w:w="1600"/>
          </w:tcPr>
          <w:p>
            <w:pPr>
              <w:spacing w:after="0" w:line="252" w:lineRule="auto"/>
            </w:pPr>
            <w:r>
              <w:rPr>
                <w:rFonts w:ascii="Calibri" w:hAnsi="Calibri"/>
                <w:b w:val="0"/>
                <w:i w:val="0"/>
                <w:color w:val="333333"/>
                <w:sz w:val="17"/>
              </w:rPr>
              <w:t xml:space="preserve">Période</w:t>
            </w:r>
          </w:p>
        </w:tc>
        <w:tc>
          <w:tcPr>
            <w:tcW w:type="dxa" w:w="3900"/>
          </w:tcPr>
          <w:p>
            <w:pPr>
              <w:spacing w:after="0" w:line="252" w:lineRule="auto"/>
            </w:pPr>
            <w:r>
              <w:rPr>
                <w:rFonts w:ascii="Calibri" w:hAnsi="Calibri"/>
                <w:b w:val="0"/>
                <w:i w:val="0"/>
                <w:color w:val="333333"/>
                <w:sz w:val="17"/>
              </w:rPr>
              <w:t xml:space="preserve">Stocks et prix au 31 octobre, ventes du 1er au 31 octobre</w:t>
            </w:r>
          </w:p>
        </w:tc>
        <w:tc>
          <w:tcPr>
            <w:tcW w:type="dxa" w:w="3798"/>
          </w:tcPr>
          <w:p>
            <w:pPr>
              <w:spacing w:after="0" w:line="252" w:lineRule="auto"/>
            </w:pPr>
            <w:r>
              <w:rPr>
                <w:rFonts w:ascii="Calibri" w:hAnsi="Calibri"/>
                <w:b w:val="0"/>
                <w:i w:val="0"/>
                <w:color w:val="333333"/>
                <w:sz w:val="17"/>
              </w:rPr>
              <w:t xml:space="preserve">Les autres mois : ni saisonnalité ni tendance mesurables</w:t>
            </w:r>
          </w:p>
        </w:tc>
      </w:tr>
      <w:tr>
        <w:trPr>
          <w:cantSplit/>
        </w:trPr>
        <w:tc>
          <w:tcPr>
            <w:tcW w:type="dxa" w:w="1600"/>
          </w:tcPr>
          <w:p>
            <w:pPr>
              <w:spacing w:after="0" w:line="252" w:lineRule="auto"/>
            </w:pPr>
            <w:r>
              <w:rPr>
                <w:rFonts w:ascii="Calibri" w:hAnsi="Calibri"/>
                <w:b w:val="0"/>
                <w:i w:val="0"/>
                <w:color w:val="333333"/>
                <w:sz w:val="17"/>
              </w:rPr>
              <w:t xml:space="preserve">Cas d'usage</w:t>
            </w:r>
          </w:p>
        </w:tc>
        <w:tc>
          <w:tcPr>
            <w:tcW w:type="dxa" w:w="3900"/>
          </w:tcPr>
          <w:p>
            <w:pPr>
              <w:spacing w:after="0" w:line="252" w:lineRule="auto"/>
            </w:pPr>
            <w:r>
              <w:rPr>
                <w:rFonts w:ascii="Calibri" w:hAnsi="Calibri"/>
                <w:b w:val="0"/>
                <w:i w:val="0"/>
                <w:color w:val="333333"/>
                <w:sz w:val="17"/>
              </w:rPr>
              <w:t xml:space="preserve">Préparer le comité mensuel ; choisir les références à réassortir en premier ; faire corriger les erreurs de l'ERP, du site et de la table de liaison</w:t>
            </w:r>
          </w:p>
        </w:tc>
        <w:tc>
          <w:tcPr>
            <w:tcW w:type="dxa" w:w="3798"/>
          </w:tcPr>
          <w:p>
            <w:pPr>
              <w:spacing w:after="0" w:line="252" w:lineRule="auto"/>
            </w:pPr>
            <w:r>
              <w:rPr>
                <w:rFonts w:ascii="Calibri" w:hAnsi="Calibri"/>
                <w:b w:val="0"/>
                <w:i w:val="0"/>
                <w:color w:val="333333"/>
                <w:sz w:val="17"/>
              </w:rPr>
              <w:t xml:space="preserve">Prévoir la demande, fixer les prix, conseiller les clients du site : autres projets ou pistes d'évolution</w:t>
            </w:r>
          </w:p>
        </w:tc>
      </w:tr>
    </w:tbl>
    <w:p>
      <w:pPr>
        <w:spacing w:after="80"/>
      </w:pPr>
      <w:r>
        <w:rPr>
          <w:rFonts w:ascii="Calibri" w:hAnsi="Calibri"/>
          <w:b w:val="0"/>
          <w:i w:val="0"/>
          <w:color w:val="333333"/>
          <w:sz w:val="21"/>
        </w:rPr>
        <w:t xml:space="preserve">Les traitements prévus, et ceux qui restent hors du projet :</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4649"/>
        <w:gridCol w:w="4649"/>
      </w:tblGrid>
      <w:tr>
        <w:trPr>
          <w:cantSplit/>
          <w:tblHeader w:val="true"/>
        </w:trPr>
        <w:tc>
          <w:tcPr>
            <w:tcW w:type="dxa" w:w="4762"/>
            <w:shd w:val="clear" w:color="auto" w:fill="1F2937"/>
          </w:tcPr>
          <w:p>
            <w:pPr>
              <w:spacing w:after="0"/>
            </w:pPr>
            <w:r>
              <w:rPr>
                <w:rFonts w:ascii="Calibri" w:hAnsi="Calibri"/>
                <w:b/>
                <w:color w:val="FFFFFF"/>
                <w:sz w:val="18"/>
              </w:rPr>
              <w:t>Traité par le projet</w:t>
            </w:r>
          </w:p>
        </w:tc>
        <w:tc>
          <w:tcPr>
            <w:tcW w:type="dxa" w:w="4535"/>
            <w:shd w:val="clear" w:color="auto" w:fill="1F2937"/>
          </w:tcPr>
          <w:p>
            <w:pPr>
              <w:spacing w:after="0"/>
            </w:pPr>
            <w:r>
              <w:rPr>
                <w:rFonts w:ascii="Calibri" w:hAnsi="Calibri"/>
                <w:b/>
                <w:color w:val="FFFFFF"/>
                <w:sz w:val="18"/>
              </w:rPr>
              <w:t>Hors périmètre</w:t>
            </w:r>
          </w:p>
        </w:tc>
      </w:tr>
      <w:tr>
        <w:trPr>
          <w:cantSplit/>
        </w:trPr>
        <w:tc>
          <w:tcPr>
            <w:tcW w:type="dxa" w:w="4762"/>
          </w:tcPr>
          <w:p>
            <w:pPr>
              <w:spacing w:after="0" w:line="252" w:lineRule="auto"/>
            </w:pPr>
            <w:r>
              <w:rPr>
                <w:rFonts w:ascii="Calibri" w:hAnsi="Calibri"/>
                <w:b w:val="0"/>
                <w:i w:val="0"/>
                <w:color w:val="333333"/>
                <w:sz w:val="18"/>
              </w:rPr>
              <w:t>Nettoyage et validation des trois fichiers sources</w:t>
            </w:r>
          </w:p>
        </w:tc>
        <w:tc>
          <w:tcPr>
            <w:tcW w:type="dxa" w:w="4535"/>
          </w:tcPr>
          <w:p>
            <w:pPr>
              <w:spacing w:after="0" w:line="252" w:lineRule="auto"/>
            </w:pPr>
            <w:r>
              <w:rPr>
                <w:rFonts w:ascii="Calibri" w:hAnsi="Calibri"/>
                <w:b w:val="0"/>
                <w:i w:val="0"/>
                <w:color w:val="333333"/>
                <w:sz w:val="18"/>
              </w:rPr>
              <w:t>Refonte de l'ERP ou du site de vente</w:t>
            </w:r>
          </w:p>
        </w:tc>
      </w:tr>
      <w:tr>
        <w:trPr>
          <w:cantSplit/>
        </w:trPr>
        <w:tc>
          <w:tcPr>
            <w:tcW w:type="dxa" w:w="4762"/>
            <w:shd w:val="clear" w:color="auto" w:fill="F1F5F9"/>
          </w:tcPr>
          <w:p>
            <w:pPr>
              <w:spacing w:after="0" w:line="252" w:lineRule="auto"/>
            </w:pPr>
            <w:r>
              <w:rPr>
                <w:rFonts w:ascii="Calibri" w:hAnsi="Calibri"/>
                <w:b w:val="0"/>
                <w:i w:val="0"/>
                <w:color w:val="333333"/>
                <w:sz w:val="18"/>
              </w:rPr>
              <w:t>Jointure et vue produit unifiée, 714 produits analysables</w:t>
            </w:r>
          </w:p>
        </w:tc>
        <w:tc>
          <w:tcPr>
            <w:tcW w:type="dxa" w:w="4535"/>
            <w:shd w:val="clear" w:color="auto" w:fill="F1F5F9"/>
          </w:tcPr>
          <w:p>
            <w:pPr>
              <w:spacing w:after="0" w:line="252" w:lineRule="auto"/>
            </w:pPr>
            <w:r>
              <w:rPr>
                <w:rFonts w:ascii="Calibri" w:hAnsi="Calibri"/>
                <w:b w:val="0"/>
                <w:i w:val="0"/>
                <w:color w:val="333333"/>
                <w:sz w:val="18"/>
              </w:rPr>
              <w:t>Données clients et données personnelles</w:t>
            </w:r>
          </w:p>
        </w:tc>
      </w:tr>
      <w:tr>
        <w:trPr>
          <w:cantSplit/>
        </w:trPr>
        <w:tc>
          <w:tcPr>
            <w:tcW w:type="dxa" w:w="4762"/>
          </w:tcPr>
          <w:p>
            <w:pPr>
              <w:spacing w:after="0" w:line="252" w:lineRule="auto"/>
            </w:pPr>
            <w:r>
              <w:rPr>
                <w:rFonts w:ascii="Calibri" w:hAnsi="Calibri"/>
                <w:b w:val="0"/>
                <w:i w:val="0"/>
                <w:color w:val="333333"/>
                <w:sz w:val="18"/>
              </w:rPr>
              <w:t>Analyse du chiffre d'affaires, des marges, des stocks et de la concentration</w:t>
            </w:r>
          </w:p>
        </w:tc>
        <w:tc>
          <w:tcPr>
            <w:tcW w:type="dxa" w:w="4535"/>
          </w:tcPr>
          <w:p>
            <w:pPr>
              <w:spacing w:after="0" w:line="252" w:lineRule="auto"/>
            </w:pPr>
            <w:r>
              <w:rPr>
                <w:rFonts w:ascii="Calibri" w:hAnsi="Calibri"/>
                <w:b w:val="0"/>
                <w:i w:val="0"/>
                <w:color w:val="333333"/>
                <w:sz w:val="18"/>
              </w:rPr>
              <w:t>Prévision de la demande en production</w:t>
            </w:r>
          </w:p>
        </w:tc>
      </w:tr>
      <w:tr>
        <w:trPr>
          <w:cantSplit/>
        </w:trPr>
        <w:tc>
          <w:tcPr>
            <w:tcW w:type="dxa" w:w="4762"/>
            <w:shd w:val="clear" w:color="auto" w:fill="F1F5F9"/>
          </w:tcPr>
          <w:p>
            <w:pPr>
              <w:spacing w:after="0" w:line="252" w:lineRule="auto"/>
            </w:pPr>
            <w:r>
              <w:rPr>
                <w:rFonts w:ascii="Calibri" w:hAnsi="Calibri"/>
                <w:b w:val="0"/>
                <w:i w:val="0"/>
                <w:color w:val="333333"/>
                <w:sz w:val="18"/>
              </w:rPr>
              <w:t>Détection d'anomalies univariée et multivariée</w:t>
            </w:r>
          </w:p>
        </w:tc>
        <w:tc>
          <w:tcPr>
            <w:tcW w:type="dxa" w:w="4535"/>
            <w:shd w:val="clear" w:color="auto" w:fill="F1F5F9"/>
          </w:tcPr>
          <w:p>
            <w:pPr>
              <w:spacing w:after="0" w:line="252" w:lineRule="auto"/>
            </w:pPr>
            <w:r>
              <w:rPr>
                <w:rFonts w:ascii="Calibri" w:hAnsi="Calibri"/>
                <w:b w:val="0"/>
                <w:i w:val="0"/>
                <w:color w:val="333333"/>
                <w:sz w:val="18"/>
              </w:rPr>
              <w:t>Correction automatique sans validation métier</w:t>
            </w:r>
          </w:p>
        </w:tc>
      </w:tr>
      <w:tr>
        <w:trPr>
          <w:cantSplit/>
        </w:trPr>
        <w:tc>
          <w:tcPr>
            <w:tcW w:type="dxa" w:w="4762"/>
          </w:tcPr>
          <w:p>
            <w:pPr>
              <w:spacing w:after="0" w:line="252" w:lineRule="auto"/>
            </w:pPr>
            <w:r>
              <w:rPr>
                <w:rFonts w:ascii="Calibri" w:hAnsi="Calibri"/>
                <w:b w:val="0"/>
                <w:i w:val="0"/>
                <w:color w:val="333333"/>
                <w:sz w:val="18"/>
              </w:rPr>
              <w:t>Explication des facteurs de vente et recommandations de réassort</w:t>
            </w:r>
          </w:p>
        </w:tc>
        <w:tc>
          <w:tcPr>
            <w:tcW w:type="dxa" w:w="4535"/>
          </w:tcPr>
          <w:p>
            <w:pPr>
              <w:spacing w:after="0" w:line="252" w:lineRule="auto"/>
            </w:pPr>
            <w:r>
              <w:rPr>
                <w:rFonts w:ascii="Calibri" w:hAnsi="Calibri"/>
                <w:b w:val="0"/>
                <w:i w:val="0"/>
                <w:color w:val="333333"/>
                <w:sz w:val="18"/>
              </w:rPr>
              <w:t>Déploiement en temps réel ou exposition par une interface</w:t>
            </w:r>
          </w:p>
        </w:tc>
      </w:tr>
      <w:tr>
        <w:trPr>
          <w:cantSplit/>
        </w:trPr>
        <w:tc>
          <w:tcPr>
            <w:tcW w:type="dxa" w:w="4762"/>
            <w:shd w:val="clear" w:color="auto" w:fill="F1F5F9"/>
          </w:tcPr>
          <w:p>
            <w:pPr>
              <w:spacing w:after="0" w:line="252" w:lineRule="auto"/>
            </w:pPr>
            <w:r>
              <w:rPr>
                <w:rFonts w:ascii="Calibri" w:hAnsi="Calibri"/>
                <w:b w:val="0"/>
                <w:i w:val="0"/>
                <w:color w:val="333333"/>
                <w:sz w:val="18"/>
              </w:rPr>
              <w:t>Documentation, veille, procédures et accompagnement des utilisateurs</w:t>
            </w:r>
          </w:p>
        </w:tc>
        <w:tc>
          <w:tcPr>
            <w:tcW w:type="dxa" w:w="4535"/>
            <w:shd w:val="clear" w:color="auto" w:fill="F1F5F9"/>
          </w:tcPr>
          <w:p>
            <w:pPr>
              <w:spacing w:after="0" w:line="252" w:lineRule="auto"/>
            </w:pPr>
            <w:r>
              <w:rPr>
                <w:rFonts w:ascii="Calibri" w:hAnsi="Calibri"/>
                <w:b w:val="0"/>
                <w:i w:val="0"/>
                <w:color w:val="333333"/>
                <w:sz w:val="18"/>
              </w:rPr>
              <w:t>Formation longue ou certifiante</w:t>
            </w:r>
          </w:p>
        </w:tc>
      </w:tr>
      <w:tr>
        <w:trPr>
          <w:cantSplit/>
        </w:trPr>
        <w:tc>
          <w:tcPr>
            <w:tcW w:type="dxa" w:w="4762"/>
          </w:tcPr>
          <w:p>
            <w:pPr>
              <w:spacing w:after="0" w:line="252" w:lineRule="auto"/>
            </w:pPr>
            <w:r>
              <w:rPr>
                <w:rFonts w:ascii="Calibri" w:hAnsi="Calibri"/>
                <w:b w:val="0"/>
                <w:i w:val="0"/>
                <w:color w:val="333333"/>
                <w:sz w:val="18"/>
              </w:rPr>
              <w:t>Reproductibilité du traitement sur un poste standard</w:t>
            </w:r>
          </w:p>
        </w:tc>
        <w:tc>
          <w:tcPr>
            <w:tcW w:type="dxa" w:w="4535"/>
          </w:tcPr>
          <w:p>
            <w:pPr>
              <w:spacing w:after="0" w:line="252" w:lineRule="auto"/>
            </w:pPr>
            <w:r>
              <w:rPr>
                <w:rFonts w:ascii="Calibri" w:hAnsi="Calibri"/>
                <w:b w:val="0"/>
                <w:i w:val="0"/>
                <w:color w:val="333333"/>
                <w:sz w:val="18"/>
              </w:rPr>
              <w:t>Industrialisation complète sur une infrastructure dédiée</w:t>
            </w:r>
          </w:p>
        </w:tc>
      </w:tr>
    </w:tbl>
    <w:p>
      <w:pPr>
        <w:spacing w:after="40"/>
      </w:pPr>
    </w:p>
    <w:p>
      <w:r>
        <w:rPr>
          <w:rFonts w:ascii="Calibri" w:hAnsi="Calibri"/>
          <w:b w:val="0"/>
          <w:i w:val="0"/>
          <w:color w:val="333333"/>
          <w:sz w:val="21"/>
        </w:rPr>
        <w:t xml:space="preserve">Chaque exclusion est écrite, pour que le projet ne s'étende pas sans décision ; les pistes d'évolution sont reprises dans la documentation de la démarche, section 10.</w:t>
      </w:r>
    </w:p>
    <w:p>
      <w:pPr>
        <w:pStyle w:val="Heading2"/>
      </w:pPr>
      <w:bookmarkStart w:id="7008" w:name="_TocP130008"/>
      <w:r>
        <w:t xml:space="preserve">3.1 Fonctionnalités attendues et critères d'acceptation</w:t>
      </w:r>
      <w:bookmarkEnd w:id="7008"/>
    </w:p>
    <w:p>
      <w:r>
        <w:rPr>
          <w:rFonts w:ascii="Calibri" w:hAnsi="Calibri"/>
          <w:b w:val="0"/>
          <w:i w:val="0"/>
          <w:color w:val="333333"/>
          <w:sz w:val="21"/>
        </w:rPr>
        <w:t xml:space="preserve">Huit fonctionnalités traduisent le périmètre en livrables vérifiables. Chacune est acceptée quand son critère est constaté sur le notebook exécuté et ses documents.</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600"/>
        <w:gridCol w:w="3300"/>
        <w:gridCol w:w="4398"/>
        <w:gridCol w:w="1000"/>
      </w:tblGrid>
      <w:tr>
        <w:trPr>
          <w:cantSplit/>
          <w:tblHeader w:val="true"/>
        </w:trPr>
        <w:tc>
          <w:tcPr>
            <w:tcW w:type="dxa" w:w="600"/>
            <w:shd w:val="clear" w:color="auto" w:fill="1F2937"/>
          </w:tcPr>
          <w:p>
            <w:pPr>
              <w:spacing w:after="0"/>
            </w:pPr>
            <w:r>
              <w:rPr>
                <w:rFonts w:ascii="Calibri" w:hAnsi="Calibri"/>
                <w:b/>
                <w:color w:val="FFFFFF"/>
                <w:sz w:val="18"/>
              </w:rPr>
              <w:t xml:space="preserve">Réf.</w:t>
            </w:r>
          </w:p>
        </w:tc>
        <w:tc>
          <w:tcPr>
            <w:tcW w:type="dxa" w:w="3300"/>
            <w:shd w:val="clear" w:color="auto" w:fill="1F2937"/>
          </w:tcPr>
          <w:p>
            <w:pPr>
              <w:spacing w:after="0"/>
            </w:pPr>
            <w:r>
              <w:rPr>
                <w:rFonts w:ascii="Calibri" w:hAnsi="Calibri"/>
                <w:b/>
                <w:color w:val="FFFFFF"/>
                <w:sz w:val="18"/>
              </w:rPr>
              <w:t xml:space="preserve">Fonctionnalité</w:t>
            </w:r>
          </w:p>
        </w:tc>
        <w:tc>
          <w:tcPr>
            <w:tcW w:type="dxa" w:w="4398"/>
            <w:shd w:val="clear" w:color="auto" w:fill="1F2937"/>
          </w:tcPr>
          <w:p>
            <w:pPr>
              <w:spacing w:after="0"/>
            </w:pPr>
            <w:r>
              <w:rPr>
                <w:rFonts w:ascii="Calibri" w:hAnsi="Calibri"/>
                <w:b/>
                <w:color w:val="FFFFFF"/>
                <w:sz w:val="18"/>
              </w:rPr>
              <w:t xml:space="preserve">Critère d'acceptation</w:t>
            </w:r>
          </w:p>
        </w:tc>
        <w:tc>
          <w:tcPr>
            <w:tcW w:type="dxa" w:w="1000"/>
            <w:shd w:val="clear" w:color="auto" w:fill="1F2937"/>
          </w:tcPr>
          <w:p>
            <w:pPr>
              <w:spacing w:after="0"/>
            </w:pPr>
            <w:r>
              <w:rPr>
                <w:rFonts w:ascii="Calibri" w:hAnsi="Calibri"/>
                <w:b/>
                <w:color w:val="FFFFFF"/>
                <w:sz w:val="18"/>
              </w:rPr>
              <w:t xml:space="preserve">Priorité</w:t>
            </w:r>
          </w:p>
        </w:tc>
      </w:tr>
      <w:tr>
        <w:trPr>
          <w:cantSplit/>
        </w:trPr>
        <w:tc>
          <w:tcPr>
            <w:tcW w:type="dxa" w:w="600"/>
          </w:tcPr>
          <w:p>
            <w:pPr>
              <w:spacing w:after="0"/>
            </w:pPr>
            <w:r>
              <w:rPr>
                <w:rFonts w:ascii="Calibri" w:hAnsi="Calibri"/>
                <w:color w:val="333333"/>
                <w:sz w:val="18"/>
              </w:rPr>
              <w:t xml:space="preserve">F1</w:t>
            </w:r>
          </w:p>
        </w:tc>
        <w:tc>
          <w:tcPr>
            <w:tcW w:type="dxa" w:w="3300"/>
          </w:tcPr>
          <w:p>
            <w:pPr>
              <w:spacing w:after="0"/>
            </w:pPr>
            <w:r>
              <w:rPr>
                <w:rFonts w:ascii="Calibri" w:hAnsi="Calibri"/>
                <w:color w:val="333333"/>
                <w:sz w:val="18"/>
              </w:rPr>
              <w:t xml:space="preserve">Contrat de qualité des données : règles déclaratives sur l'ERP (prix, stocks, marges), rapport des lignes en infraction</w:t>
            </w:r>
          </w:p>
        </w:tc>
        <w:tc>
          <w:tcPr>
            <w:tcW w:type="dxa" w:w="4398"/>
          </w:tcPr>
          <w:p>
            <w:pPr>
              <w:spacing w:after="0"/>
            </w:pPr>
            <w:r>
              <w:rPr>
                <w:rFonts w:ascii="Calibri" w:hAnsi="Calibri"/>
                <w:b w:val="0"/>
                <w:color w:val="333333"/>
                <w:sz w:val="18"/>
              </w:rPr>
              <w:t xml:space="preserve">Le contrat contrôle les trois règles de l'ERP (prix, stocks, marges) : 9 lignes sur 825 en infraction. La cellule d'audit compte les autres types (site, table de liaison), sauf les 3 formats non standard, dont le nombre est saisi à la main. Deux statuts de stock contraires à la quantité, relevés le 25 septembre, restent à ajouter au contrat. Tout se rejoue à chaque extraction</w:t>
            </w:r>
          </w:p>
        </w:tc>
        <w:tc>
          <w:tcPr>
            <w:tcW w:type="dxa" w:w="1000"/>
          </w:tcPr>
          <w:p>
            <w:pPr>
              <w:spacing w:after="0"/>
            </w:pPr>
            <w:r>
              <w:rPr>
                <w:rFonts w:ascii="Calibri" w:hAnsi="Calibri"/>
                <w:color w:val="333333"/>
                <w:sz w:val="18"/>
              </w:rPr>
              <w:t xml:space="preserve">P1</w:t>
            </w:r>
          </w:p>
        </w:tc>
      </w:tr>
      <w:tr>
        <w:trPr>
          <w:cantSplit/>
        </w:trPr>
        <w:tc>
          <w:tcPr>
            <w:tcW w:type="dxa" w:w="600"/>
          </w:tcPr>
          <w:p>
            <w:pPr>
              <w:spacing w:after="0"/>
            </w:pPr>
            <w:r>
              <w:rPr>
                <w:rFonts w:ascii="Calibri" w:hAnsi="Calibri"/>
                <w:color w:val="333333"/>
                <w:sz w:val="18"/>
              </w:rPr>
              <w:t xml:space="preserve">F2</w:t>
            </w:r>
          </w:p>
        </w:tc>
        <w:tc>
          <w:tcPr>
            <w:tcW w:type="dxa" w:w="3300"/>
          </w:tcPr>
          <w:p>
            <w:pPr>
              <w:spacing w:after="0"/>
            </w:pPr>
            <w:r>
              <w:rPr>
                <w:rFonts w:ascii="Calibri" w:hAnsi="Calibri"/>
                <w:color w:val="333333"/>
                <w:sz w:val="18"/>
              </w:rPr>
              <w:t xml:space="preserve">Vue produit unifiée : jointure de l'ERP, de la table de liaison et du site, taux de rapprochement documenté</w:t>
            </w:r>
          </w:p>
        </w:tc>
        <w:tc>
          <w:tcPr>
            <w:tcW w:type="dxa" w:w="4398"/>
          </w:tcPr>
          <w:p>
            <w:pPr>
              <w:spacing w:after="0"/>
            </w:pPr>
            <w:r>
              <w:rPr>
                <w:rFonts w:ascii="Calibri" w:hAnsi="Calibri"/>
                <w:color w:val="333333"/>
                <w:sz w:val="18"/>
              </w:rPr>
              <w:t xml:space="preserve">714 produits rapprochés, jointure tracée en deux temps, écarts comptés et documentés</w:t>
            </w:r>
          </w:p>
        </w:tc>
        <w:tc>
          <w:tcPr>
            <w:tcW w:type="dxa" w:w="1000"/>
          </w:tcPr>
          <w:p>
            <w:pPr>
              <w:spacing w:after="0"/>
            </w:pPr>
            <w:r>
              <w:rPr>
                <w:rFonts w:ascii="Calibri" w:hAnsi="Calibri"/>
                <w:color w:val="333333"/>
                <w:sz w:val="18"/>
              </w:rPr>
              <w:t xml:space="preserve">P2</w:t>
            </w:r>
          </w:p>
        </w:tc>
      </w:tr>
      <w:tr>
        <w:trPr>
          <w:cantSplit/>
        </w:trPr>
        <w:tc>
          <w:tcPr>
            <w:tcW w:type="dxa" w:w="600"/>
          </w:tcPr>
          <w:p>
            <w:pPr>
              <w:spacing w:after="0"/>
            </w:pPr>
            <w:r>
              <w:rPr>
                <w:rFonts w:ascii="Calibri" w:hAnsi="Calibri"/>
                <w:color w:val="333333"/>
                <w:sz w:val="18"/>
              </w:rPr>
              <w:t xml:space="preserve">F3</w:t>
            </w:r>
          </w:p>
        </w:tc>
        <w:tc>
          <w:tcPr>
            <w:tcW w:type="dxa" w:w="3300"/>
          </w:tcPr>
          <w:p>
            <w:pPr>
              <w:spacing w:after="0"/>
            </w:pPr>
            <w:r>
              <w:rPr>
                <w:rFonts w:ascii="Calibri" w:hAnsi="Calibri"/>
                <w:color w:val="333333"/>
                <w:sz w:val="18"/>
              </w:rPr>
              <w:t xml:space="preserve">Indicateurs de vente : chiffre d'affaires reconstitué, unités, marges, concentration</w:t>
            </w:r>
          </w:p>
        </w:tc>
        <w:tc>
          <w:tcPr>
            <w:tcW w:type="dxa" w:w="4398"/>
          </w:tcPr>
          <w:p>
            <w:pPr>
              <w:spacing w:after="0"/>
            </w:pPr>
            <w:r>
              <w:rPr>
                <w:rFonts w:ascii="Calibri" w:hAnsi="Calibri"/>
                <w:color w:val="333333"/>
                <w:sz w:val="18"/>
              </w:rPr>
              <w:t xml:space="preserve">Chiffre d'affaires, unités vendues et concentration publiés avec leur base de calcul (689 références qui vendent)</w:t>
            </w:r>
          </w:p>
        </w:tc>
        <w:tc>
          <w:tcPr>
            <w:tcW w:type="dxa" w:w="1000"/>
          </w:tcPr>
          <w:p>
            <w:pPr>
              <w:spacing w:after="0"/>
            </w:pPr>
            <w:r>
              <w:rPr>
                <w:rFonts w:ascii="Calibri" w:hAnsi="Calibri"/>
                <w:color w:val="333333"/>
                <w:sz w:val="18"/>
              </w:rPr>
              <w:t xml:space="preserve">P2</w:t>
            </w:r>
          </w:p>
        </w:tc>
      </w:tr>
      <w:tr>
        <w:trPr>
          <w:cantSplit/>
        </w:trPr>
        <w:tc>
          <w:tcPr>
            <w:tcW w:type="dxa" w:w="600"/>
          </w:tcPr>
          <w:p>
            <w:pPr>
              <w:spacing w:after="0"/>
            </w:pPr>
            <w:r>
              <w:rPr>
                <w:rFonts w:ascii="Calibri" w:hAnsi="Calibri"/>
                <w:color w:val="333333"/>
                <w:sz w:val="18"/>
              </w:rPr>
              <w:t xml:space="preserve">F4</w:t>
            </w:r>
          </w:p>
        </w:tc>
        <w:tc>
          <w:tcPr>
            <w:tcW w:type="dxa" w:w="3300"/>
          </w:tcPr>
          <w:p>
            <w:pPr>
              <w:spacing w:after="0"/>
            </w:pPr>
            <w:r>
              <w:rPr>
                <w:rFonts w:ascii="Calibri" w:hAnsi="Calibri"/>
                <w:color w:val="333333"/>
                <w:sz w:val="18"/>
              </w:rPr>
              <w:t xml:space="preserve">Détection d'anomalies univariée et multivariée, sans correction automatique</w:t>
            </w:r>
          </w:p>
        </w:tc>
        <w:tc>
          <w:tcPr>
            <w:tcW w:type="dxa" w:w="4398"/>
          </w:tcPr>
          <w:p>
            <w:pPr>
              <w:spacing w:after="0"/>
            </w:pPr>
            <w:r>
              <w:rPr>
                <w:rFonts w:ascii="Calibri" w:hAnsi="Calibri"/>
                <w:color w:val="333333"/>
                <w:sz w:val="18"/>
              </w:rPr>
              <w:t xml:space="preserve">Deux méthodes comparées, écart quantifié (26 références supplémentaires), figure produite, validation métier requise avant toute action</w:t>
            </w:r>
          </w:p>
        </w:tc>
        <w:tc>
          <w:tcPr>
            <w:tcW w:type="dxa" w:w="1000"/>
          </w:tcPr>
          <w:p>
            <w:pPr>
              <w:spacing w:after="0"/>
            </w:pPr>
            <w:r>
              <w:rPr>
                <w:rFonts w:ascii="Calibri" w:hAnsi="Calibri"/>
                <w:color w:val="333333"/>
                <w:sz w:val="18"/>
              </w:rPr>
              <w:t xml:space="preserve">P3</w:t>
            </w:r>
          </w:p>
        </w:tc>
      </w:tr>
      <w:tr>
        <w:trPr>
          <w:cantSplit/>
        </w:trPr>
        <w:tc>
          <w:tcPr>
            <w:tcW w:type="dxa" w:w="600"/>
          </w:tcPr>
          <w:p>
            <w:pPr>
              <w:spacing w:after="0"/>
            </w:pPr>
            <w:r>
              <w:rPr>
                <w:rFonts w:ascii="Calibri" w:hAnsi="Calibri"/>
                <w:color w:val="333333"/>
                <w:sz w:val="18"/>
              </w:rPr>
              <w:t xml:space="preserve">F5</w:t>
            </w:r>
          </w:p>
        </w:tc>
        <w:tc>
          <w:tcPr>
            <w:tcW w:type="dxa" w:w="3300"/>
          </w:tcPr>
          <w:p>
            <w:pPr>
              <w:spacing w:after="0"/>
            </w:pPr>
            <w:r>
              <w:rPr>
                <w:rFonts w:ascii="Calibri" w:hAnsi="Calibri"/>
                <w:color w:val="333333"/>
                <w:sz w:val="18"/>
              </w:rPr>
              <w:t xml:space="preserve">Explication des facteurs de vente, locale et globale</w:t>
            </w:r>
          </w:p>
        </w:tc>
        <w:tc>
          <w:tcPr>
            <w:tcW w:type="dxa" w:w="4398"/>
          </w:tcPr>
          <w:p>
            <w:pPr>
              <w:spacing w:after="0"/>
            </w:pPr>
            <w:r>
              <w:rPr>
                <w:rFonts w:ascii="Calibri" w:hAnsi="Calibri"/>
                <w:color w:val="333333"/>
                <w:sz w:val="18"/>
              </w:rPr>
              <w:t xml:space="preserve">Pouvoir explicatif supérieur à 0,60 sur un jeu de test séparé, erreur absolue moyenne inférieure à 3 unités, contribution par référence auditable</w:t>
            </w:r>
          </w:p>
        </w:tc>
        <w:tc>
          <w:tcPr>
            <w:tcW w:type="dxa" w:w="1000"/>
          </w:tcPr>
          <w:p>
            <w:pPr>
              <w:spacing w:after="0"/>
            </w:pPr>
            <w:r>
              <w:rPr>
                <w:rFonts w:ascii="Calibri" w:hAnsi="Calibri"/>
                <w:color w:val="333333"/>
                <w:sz w:val="18"/>
              </w:rPr>
              <w:t xml:space="preserve">P4</w:t>
            </w:r>
          </w:p>
        </w:tc>
      </w:tr>
      <w:tr>
        <w:trPr>
          <w:cantSplit/>
        </w:trPr>
        <w:tc>
          <w:tcPr>
            <w:tcW w:type="dxa" w:w="600"/>
          </w:tcPr>
          <w:p>
            <w:pPr>
              <w:spacing w:after="0"/>
            </w:pPr>
            <w:r>
              <w:rPr>
                <w:rFonts w:ascii="Calibri" w:hAnsi="Calibri"/>
                <w:color w:val="333333"/>
                <w:sz w:val="18"/>
              </w:rPr>
              <w:t xml:space="preserve">F6</w:t>
            </w:r>
          </w:p>
        </w:tc>
        <w:tc>
          <w:tcPr>
            <w:tcW w:type="dxa" w:w="3300"/>
          </w:tcPr>
          <w:p>
            <w:pPr>
              <w:spacing w:after="0"/>
            </w:pPr>
            <w:r>
              <w:rPr>
                <w:rFonts w:ascii="Calibri" w:hAnsi="Calibri"/>
                <w:color w:val="333333"/>
                <w:sz w:val="18"/>
              </w:rPr>
              <w:t xml:space="preserve">Restitution et accompagnement : synthèse pour la direction, guide sans jargon, plan de formation</w:t>
            </w:r>
          </w:p>
        </w:tc>
        <w:tc>
          <w:tcPr>
            <w:tcW w:type="dxa" w:w="4398"/>
          </w:tcPr>
          <w:p>
            <w:pPr>
              <w:spacing w:after="0"/>
            </w:pPr>
            <w:r>
              <w:rPr>
                <w:rFonts w:ascii="Calibri" w:hAnsi="Calibri"/>
                <w:color w:val="333333"/>
                <w:sz w:val="18"/>
              </w:rPr>
              <w:t xml:space="preserve">Synthèse d'une page (étape 6 du notebook), guide avec glossaire de douze termes, quatre séquences avec dispositions d'accessibilité, mise en situation en fin de séquence 4</w:t>
            </w:r>
          </w:p>
        </w:tc>
        <w:tc>
          <w:tcPr>
            <w:tcW w:type="dxa" w:w="1000"/>
          </w:tcPr>
          <w:p>
            <w:pPr>
              <w:spacing w:after="0"/>
            </w:pPr>
            <w:r>
              <w:rPr>
                <w:rFonts w:ascii="Calibri" w:hAnsi="Calibri"/>
                <w:color w:val="333333"/>
                <w:sz w:val="18"/>
              </w:rPr>
              <w:t xml:space="preserve">P4</w:t>
            </w:r>
          </w:p>
        </w:tc>
      </w:tr>
      <w:tr>
        <w:trPr>
          <w:cantSplit/>
        </w:trPr>
        <w:tc>
          <w:tcPr>
            <w:tcW w:type="dxa" w:w="600"/>
          </w:tcPr>
          <w:p>
            <w:pPr>
              <w:spacing w:after="0"/>
            </w:pPr>
            <w:r>
              <w:rPr>
                <w:rFonts w:ascii="Calibri" w:hAnsi="Calibri"/>
                <w:color w:val="333333"/>
                <w:sz w:val="18"/>
              </w:rPr>
              <w:t xml:space="preserve">F7</w:t>
            </w:r>
          </w:p>
        </w:tc>
        <w:tc>
          <w:tcPr>
            <w:tcW w:type="dxa" w:w="3300"/>
          </w:tcPr>
          <w:p>
            <w:pPr>
              <w:spacing w:after="0"/>
            </w:pPr>
            <w:r>
              <w:rPr>
                <w:rFonts w:ascii="Calibri" w:hAnsi="Calibri"/>
                <w:color w:val="333333"/>
                <w:sz w:val="18"/>
              </w:rPr>
              <w:t xml:space="preserve">Reproductibilité et préparation à la montée en charge</w:t>
            </w:r>
          </w:p>
        </w:tc>
        <w:tc>
          <w:tcPr>
            <w:tcW w:type="dxa" w:w="4398"/>
          </w:tcPr>
          <w:p>
            <w:pPr>
              <w:spacing w:after="0"/>
            </w:pPr>
            <w:r>
              <w:rPr>
                <w:rFonts w:ascii="Calibri" w:hAnsi="Calibri"/>
                <w:color w:val="333333"/>
                <w:sz w:val="18"/>
              </w:rPr>
              <w:t xml:space="preserve">Exécution complète sur un poste vierge, versions listées, graine fixée, chemins relatifs. Deux outils alternatifs mesurés, dont au moins un accélère le calcul d'un facteur 3 ou plus, et une condition de bascule écrite ; le seuil chiffré reste à mesurer</w:t>
            </w:r>
          </w:p>
        </w:tc>
        <w:tc>
          <w:tcPr>
            <w:tcW w:type="dxa" w:w="1000"/>
          </w:tcPr>
          <w:p>
            <w:pPr>
              <w:spacing w:after="0"/>
            </w:pPr>
            <w:r>
              <w:rPr>
                <w:rFonts w:ascii="Calibri" w:hAnsi="Calibri"/>
                <w:color w:val="333333"/>
                <w:sz w:val="18"/>
              </w:rPr>
              <w:t xml:space="preserve">P5</w:t>
            </w:r>
          </w:p>
        </w:tc>
      </w:tr>
      <w:tr>
        <w:trPr>
          <w:cantSplit/>
        </w:trPr>
        <w:tc>
          <w:tcPr>
            <w:tcW w:type="dxa" w:w="600"/>
          </w:tcPr>
          <w:p>
            <w:pPr>
              <w:spacing w:after="0"/>
            </w:pPr>
            <w:r>
              <w:rPr>
                <w:rFonts w:ascii="Calibri" w:hAnsi="Calibri"/>
                <w:b w:val="0"/>
                <w:color w:val="333333"/>
                <w:sz w:val="18"/>
              </w:rPr>
              <w:t xml:space="preserve">F8</w:t>
            </w:r>
          </w:p>
        </w:tc>
        <w:tc>
          <w:tcPr>
            <w:tcW w:type="dxa" w:w="3300"/>
          </w:tcPr>
          <w:p>
            <w:pPr>
              <w:spacing w:after="0"/>
            </w:pPr>
            <w:r>
              <w:rPr>
                <w:rFonts w:ascii="Calibri" w:hAnsi="Calibri"/>
                <w:b w:val="0"/>
                <w:color w:val="333333"/>
                <w:sz w:val="18"/>
              </w:rPr>
              <w:t xml:space="preserve">Listes de réassort : références clés en rupture et stock à écouler, recalculées chaque mois</w:t>
            </w:r>
          </w:p>
        </w:tc>
        <w:tc>
          <w:tcPr>
            <w:tcW w:type="dxa" w:w="4398"/>
          </w:tcPr>
          <w:p>
            <w:pPr>
              <w:spacing w:after="0"/>
            </w:pPr>
            <w:r>
              <w:rPr>
                <w:rFonts w:ascii="Calibri" w:hAnsi="Calibri"/>
                <w:b w:val="0"/>
                <w:color w:val="333333"/>
                <w:sz w:val="18"/>
              </w:rPr>
              <w:t xml:space="preserve">Les 435 références qui font 80 % du chiffre d'affaires sont croisées avec le stock : 14 ont un stock nul, pour 5 434 euros de ventes en octobre. Les références à plus d'un an de stock au rythme du mois sont listées avec leur valeur au prix d'achat : 24 références, environ 95 000 euros. Calcul rejouable dans le notebook complémentaire (essai C)</w:t>
            </w:r>
          </w:p>
        </w:tc>
        <w:tc>
          <w:tcPr>
            <w:tcW w:type="dxa" w:w="1000"/>
          </w:tcPr>
          <w:p>
            <w:pPr>
              <w:spacing w:after="0"/>
            </w:pPr>
            <w:r>
              <w:rPr>
                <w:rFonts w:ascii="Calibri" w:hAnsi="Calibri"/>
                <w:b w:val="0"/>
                <w:color w:val="333333"/>
                <w:sz w:val="18"/>
              </w:rPr>
              <w:t xml:space="preserve">P2</w:t>
            </w:r>
          </w:p>
        </w:tc>
      </w:tr>
    </w:tbl>
    <w:p>
      <w:pPr>
        <w:spacing w:after="120"/>
      </w:pPr>
    </w:p>
    <w:p>
      <w:pPr>
        <w:pStyle w:val="Heading1"/>
      </w:pPr>
      <w:bookmarkStart w:id="7009" w:name="_TocP130009"/>
      <w:r>
        <w:t>4. Contraintes et réponses apportées</w:t>
      </w:r>
      <w:bookmarkEnd w:id="7009"/>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099"/>
        <w:gridCol w:w="3099"/>
        <w:gridCol w:w="3099"/>
      </w:tblGrid>
      <w:tr>
        <w:trPr>
          <w:cantSplit/>
          <w:tblHeader w:val="true"/>
        </w:trPr>
        <w:tc>
          <w:tcPr>
            <w:tcW w:type="dxa" w:w="1474"/>
            <w:shd w:val="clear" w:color="auto" w:fill="1F2937"/>
          </w:tcPr>
          <w:p>
            <w:pPr>
              <w:spacing w:after="0"/>
            </w:pPr>
            <w:r>
              <w:rPr>
                <w:rFonts w:ascii="Calibri" w:hAnsi="Calibri"/>
                <w:b/>
                <w:color w:val="FFFFFF"/>
                <w:sz w:val="17"/>
              </w:rPr>
              <w:t>Type</w:t>
            </w:r>
          </w:p>
        </w:tc>
        <w:tc>
          <w:tcPr>
            <w:tcW w:type="dxa" w:w="3288"/>
            <w:shd w:val="clear" w:color="auto" w:fill="1F2937"/>
          </w:tcPr>
          <w:p>
            <w:pPr>
              <w:spacing w:after="0"/>
            </w:pPr>
            <w:r>
              <w:rPr>
                <w:rFonts w:ascii="Calibri" w:hAnsi="Calibri"/>
                <w:b/>
                <w:color w:val="FFFFFF"/>
                <w:sz w:val="17"/>
              </w:rPr>
              <w:t>Contrainte</w:t>
            </w:r>
          </w:p>
        </w:tc>
        <w:tc>
          <w:tcPr>
            <w:tcW w:type="dxa" w:w="4535"/>
            <w:shd w:val="clear" w:color="auto" w:fill="1F2937"/>
          </w:tcPr>
          <w:p>
            <w:pPr>
              <w:spacing w:after="0"/>
            </w:pPr>
            <w:r>
              <w:rPr>
                <w:rFonts w:ascii="Calibri" w:hAnsi="Calibri"/>
                <w:b/>
                <w:color w:val="FFFFFF"/>
                <w:sz w:val="17"/>
              </w:rPr>
              <w:t>Réponse apportée dans le projet</w:t>
            </w:r>
          </w:p>
        </w:tc>
      </w:tr>
      <w:tr>
        <w:trPr>
          <w:cantSplit/>
        </w:trPr>
        <w:tc>
          <w:tcPr>
            <w:tcW w:type="dxa" w:w="1474"/>
          </w:tcPr>
          <w:p>
            <w:pPr>
              <w:spacing w:after="0" w:line="252" w:lineRule="auto"/>
            </w:pPr>
            <w:r>
              <w:rPr>
                <w:rFonts w:ascii="Calibri" w:hAnsi="Calibri"/>
                <w:b w:val="0"/>
                <w:i w:val="0"/>
                <w:color w:val="333333"/>
                <w:sz w:val="17"/>
              </w:rPr>
              <w:t>Données</w:t>
            </w:r>
          </w:p>
        </w:tc>
        <w:tc>
          <w:tcPr>
            <w:tcW w:type="dxa" w:w="3288"/>
          </w:tcPr>
          <w:p>
            <w:pPr>
              <w:spacing w:after="0" w:line="252" w:lineRule="auto"/>
            </w:pPr>
            <w:r>
              <w:rPr>
                <w:rFonts w:ascii="Calibri" w:hAnsi="Calibri"/>
                <w:b w:val="0"/>
                <w:i w:val="0"/>
                <w:color w:val="333333"/>
                <w:sz w:val="17"/>
              </w:rPr>
              <w:t xml:space="preserve">Anomalies de saisie, statuts de stock incohérents et valeurs manquantes</w:t>
            </w:r>
          </w:p>
        </w:tc>
        <w:tc>
          <w:tcPr>
            <w:tcW w:type="dxa" w:w="4535"/>
          </w:tcPr>
          <w:p>
            <w:pPr>
              <w:spacing w:after="0" w:line="252" w:lineRule="auto"/>
            </w:pPr>
            <w:r>
              <w:rPr>
                <w:rFonts w:ascii="Calibri" w:hAnsi="Calibri"/>
                <w:b w:val="0"/>
                <w:i w:val="0"/>
                <w:color w:val="333333"/>
                <w:sz w:val="17"/>
              </w:rPr>
              <w:t>Contrat de qualité déclaratif appliqué avant tout traitement, nettoyage tracé étape par étape</w:t>
            </w:r>
          </w:p>
        </w:tc>
      </w:tr>
      <w:tr>
        <w:trPr>
          <w:cantSplit/>
        </w:trPr>
        <w:tc>
          <w:tcPr>
            <w:tcW w:type="dxa" w:w="1474"/>
            <w:shd w:val="clear" w:color="auto" w:fill="F1F5F9"/>
          </w:tcPr>
          <w:p>
            <w:pPr>
              <w:spacing w:after="0" w:line="252" w:lineRule="auto"/>
            </w:pPr>
            <w:r>
              <w:rPr>
                <w:rFonts w:ascii="Calibri" w:hAnsi="Calibri"/>
                <w:b w:val="0"/>
                <w:i w:val="0"/>
                <w:color w:val="333333"/>
                <w:sz w:val="17"/>
              </w:rPr>
              <w:t>Structure</w:t>
            </w:r>
          </w:p>
        </w:tc>
        <w:tc>
          <w:tcPr>
            <w:tcW w:type="dxa" w:w="3288"/>
            <w:shd w:val="clear" w:color="auto" w:fill="F1F5F9"/>
          </w:tcPr>
          <w:p>
            <w:pPr>
              <w:spacing w:after="0" w:line="252" w:lineRule="auto"/>
            </w:pPr>
            <w:r>
              <w:rPr>
                <w:rFonts w:ascii="Calibri" w:hAnsi="Calibri"/>
                <w:b w:val="0"/>
                <w:i w:val="0"/>
                <w:color w:val="333333"/>
                <w:sz w:val="17"/>
              </w:rPr>
              <w:t>Deux identifiants distincts entre l'ERP et le site</w:t>
            </w:r>
          </w:p>
        </w:tc>
        <w:tc>
          <w:tcPr>
            <w:tcW w:type="dxa" w:w="4535"/>
            <w:shd w:val="clear" w:color="auto" w:fill="F1F5F9"/>
          </w:tcPr>
          <w:p>
            <w:pPr>
              <w:spacing w:after="0" w:line="252" w:lineRule="auto"/>
            </w:pPr>
            <w:r>
              <w:rPr>
                <w:rFonts w:ascii="Calibri" w:hAnsi="Calibri"/>
                <w:b w:val="0"/>
                <w:i w:val="0"/>
                <w:color w:val="333333"/>
                <w:sz w:val="17"/>
              </w:rPr>
              <w:t>Jointure en deux temps par la table de liaison, avec contrôle du taux de rapprochement</w:t>
            </w:r>
          </w:p>
        </w:tc>
      </w:tr>
      <w:tr>
        <w:trPr>
          <w:cantSplit/>
        </w:trPr>
        <w:tc>
          <w:tcPr>
            <w:tcW w:type="dxa" w:w="1474"/>
          </w:tcPr>
          <w:p>
            <w:pPr>
              <w:spacing w:after="0" w:line="252" w:lineRule="auto"/>
            </w:pPr>
            <w:r>
              <w:rPr>
                <w:rFonts w:ascii="Calibri" w:hAnsi="Calibri"/>
                <w:b w:val="0"/>
                <w:i w:val="0"/>
                <w:color w:val="333333"/>
                <w:sz w:val="17"/>
              </w:rPr>
              <w:t>Conformité</w:t>
            </w:r>
          </w:p>
        </w:tc>
        <w:tc>
          <w:tcPr>
            <w:tcW w:type="dxa" w:w="3288"/>
          </w:tcPr>
          <w:p>
            <w:pPr>
              <w:spacing w:after="0" w:line="252" w:lineRule="auto"/>
            </w:pPr>
            <w:r>
              <w:rPr>
                <w:rFonts w:ascii="Calibri" w:hAnsi="Calibri"/>
                <w:b w:val="0"/>
                <w:i w:val="0"/>
                <w:color w:val="333333"/>
                <w:sz w:val="17"/>
              </w:rPr>
              <w:t>Cadre RGPD applicable à l'entreprise</w:t>
            </w:r>
          </w:p>
        </w:tc>
        <w:tc>
          <w:tcPr>
            <w:tcW w:type="dxa" w:w="4535"/>
          </w:tcPr>
          <w:p>
            <w:pPr>
              <w:spacing w:after="0" w:line="252" w:lineRule="auto"/>
            </w:pPr>
            <w:r>
              <w:rPr>
                <w:rFonts w:ascii="Calibri" w:hAnsi="Calibri"/>
                <w:b w:val="0"/>
                <w:i w:val="0"/>
                <w:color w:val="333333"/>
                <w:sz w:val="17"/>
              </w:rPr>
              <w:t>Aucune donnée personnelle traitée, démarche conçue avec la protection des données par défaut</w:t>
            </w:r>
          </w:p>
        </w:tc>
      </w:tr>
      <w:tr>
        <w:trPr>
          <w:cantSplit/>
        </w:trPr>
        <w:tc>
          <w:tcPr>
            <w:tcW w:type="dxa" w:w="1474"/>
            <w:shd w:val="clear" w:color="auto" w:fill="F1F5F9"/>
          </w:tcPr>
          <w:p>
            <w:pPr>
              <w:spacing w:after="0" w:line="252" w:lineRule="auto"/>
            </w:pPr>
            <w:r>
              <w:rPr>
                <w:rFonts w:ascii="Calibri" w:hAnsi="Calibri"/>
                <w:b w:val="0"/>
                <w:i w:val="0"/>
                <w:color w:val="333333"/>
                <w:sz w:val="17"/>
              </w:rPr>
              <w:t>Sécurité de l'IA</w:t>
            </w:r>
          </w:p>
        </w:tc>
        <w:tc>
          <w:tcPr>
            <w:tcW w:type="dxa" w:w="3288"/>
            <w:shd w:val="clear" w:color="auto" w:fill="F1F5F9"/>
          </w:tcPr>
          <w:p>
            <w:pPr>
              <w:spacing w:after="0" w:line="252" w:lineRule="auto"/>
            </w:pPr>
            <w:r>
              <w:rPr>
                <w:rFonts w:ascii="Calibri" w:hAnsi="Calibri"/>
                <w:b w:val="0"/>
                <w:i w:val="0"/>
                <w:color w:val="333333"/>
                <w:sz w:val="17"/>
              </w:rPr>
              <w:t>Risque de transmission de données à un service tiers</w:t>
            </w:r>
          </w:p>
        </w:tc>
        <w:tc>
          <w:tcPr>
            <w:tcW w:type="dxa" w:w="4535"/>
            <w:shd w:val="clear" w:color="auto" w:fill="F1F5F9"/>
          </w:tcPr>
          <w:p>
            <w:pPr>
              <w:spacing w:after="0" w:line="252" w:lineRule="auto"/>
            </w:pPr>
            <w:r>
              <w:rPr>
                <w:rFonts w:ascii="Calibri" w:hAnsi="Calibri"/>
                <w:b w:val="0"/>
                <w:i w:val="0"/>
                <w:color w:val="333333"/>
                <w:sz w:val="17"/>
              </w:rPr>
              <w:t xml:space="preserve">Demandes aux assistants limitées au code, aux schémas et aux noms de colonnes ; jeu sans donnée personnelle. Chaque fois que les fichiers ont été confiés à l'environnement d'un assistant, c'est noté au journal. Avec des données personnelles, travail sur un extrait anonymisé</w:t>
            </w:r>
          </w:p>
        </w:tc>
      </w:tr>
      <w:tr>
        <w:trPr>
          <w:cantSplit/>
        </w:trPr>
        <w:tc>
          <w:tcPr>
            <w:tcW w:type="dxa" w:w="1474"/>
          </w:tcPr>
          <w:p>
            <w:pPr>
              <w:spacing w:after="0" w:line="252" w:lineRule="auto"/>
            </w:pPr>
            <w:r>
              <w:rPr>
                <w:rFonts w:ascii="Calibri" w:hAnsi="Calibri"/>
                <w:b w:val="0"/>
                <w:i w:val="0"/>
                <w:color w:val="333333"/>
                <w:sz w:val="17"/>
              </w:rPr>
              <w:t>Volumétrie</w:t>
            </w:r>
          </w:p>
        </w:tc>
        <w:tc>
          <w:tcPr>
            <w:tcW w:type="dxa" w:w="3288"/>
          </w:tcPr>
          <w:p>
            <w:pPr>
              <w:spacing w:after="0" w:line="252" w:lineRule="auto"/>
            </w:pPr>
            <w:r>
              <w:rPr>
                <w:rFonts w:ascii="Calibri" w:hAnsi="Calibri"/>
                <w:b w:val="0"/>
                <w:i w:val="0"/>
                <w:color w:val="333333"/>
                <w:sz w:val="17"/>
              </w:rPr>
              <w:t>Croissance attendue du référentiel et historisation des ventes</w:t>
            </w:r>
          </w:p>
        </w:tc>
        <w:tc>
          <w:tcPr>
            <w:tcW w:type="dxa" w:w="4535"/>
          </w:tcPr>
          <w:p>
            <w:pPr>
              <w:spacing w:after="0" w:line="252" w:lineRule="auto"/>
            </w:pPr>
            <w:r>
              <w:rPr>
                <w:rFonts w:ascii="Calibri" w:hAnsi="Calibri"/>
                <w:b w:val="0"/>
                <w:i w:val="0"/>
                <w:color w:val="333333"/>
                <w:sz w:val="17"/>
              </w:rPr>
              <w:t xml:space="preserve">Deux outils alternatifs évalués et gardés en réserve, avec une condition de bascule écrite (seuil non mesuré)</w:t>
            </w:r>
          </w:p>
        </w:tc>
      </w:tr>
      <w:tr>
        <w:trPr>
          <w:cantSplit/>
        </w:trPr>
        <w:tc>
          <w:tcPr>
            <w:tcW w:type="dxa" w:w="1474"/>
            <w:shd w:val="clear" w:color="auto" w:fill="F1F5F9"/>
          </w:tcPr>
          <w:p>
            <w:pPr>
              <w:spacing w:after="0" w:line="252" w:lineRule="auto"/>
            </w:pPr>
            <w:r>
              <w:rPr>
                <w:rFonts w:ascii="Calibri" w:hAnsi="Calibri"/>
                <w:b w:val="0"/>
                <w:i w:val="0"/>
                <w:color w:val="333333"/>
                <w:sz w:val="17"/>
              </w:rPr>
              <w:t>Délais</w:t>
            </w:r>
          </w:p>
        </w:tc>
        <w:tc>
          <w:tcPr>
            <w:tcW w:type="dxa" w:w="3288"/>
            <w:shd w:val="clear" w:color="auto" w:fill="F1F5F9"/>
          </w:tcPr>
          <w:p>
            <w:pPr>
              <w:spacing w:after="0" w:line="252" w:lineRule="auto"/>
            </w:pPr>
            <w:r>
              <w:rPr>
                <w:rFonts w:ascii="Calibri" w:hAnsi="Calibri"/>
                <w:b w:val="0"/>
                <w:i w:val="0"/>
                <w:color w:val="333333"/>
                <w:sz w:val="17"/>
              </w:rPr>
              <w:t xml:space="preserve">Quatre semaines de travail, du 14 septembre au 9 octobre 2026, puis la soutenance, le vendredi 16 octobre ; environ 70 heures de travail supervisé, plus autant de travail personnel</w:t>
            </w:r>
          </w:p>
        </w:tc>
        <w:tc>
          <w:tcPr>
            <w:tcW w:type="dxa" w:w="4535"/>
            <w:shd w:val="clear" w:color="auto" w:fill="F1F5F9"/>
          </w:tcPr>
          <w:p>
            <w:pPr>
              <w:spacing w:after="0" w:line="252" w:lineRule="auto"/>
            </w:pPr>
            <w:r>
              <w:rPr>
                <w:rFonts w:ascii="Calibri" w:hAnsi="Calibri"/>
                <w:b w:val="0"/>
                <w:i w:val="0"/>
                <w:color w:val="333333"/>
                <w:sz w:val="17"/>
              </w:rPr>
              <w:t>Découpage en sept lots, cinq jalons et quatre itérations hebdomadaires</w:t>
            </w:r>
          </w:p>
        </w:tc>
      </w:tr>
      <w:tr>
        <w:trPr>
          <w:cantSplit/>
        </w:trPr>
        <w:tc>
          <w:tcPr>
            <w:tcW w:type="dxa" w:w="1474"/>
          </w:tcPr>
          <w:p>
            <w:pPr>
              <w:spacing w:after="0" w:line="252" w:lineRule="auto"/>
            </w:pPr>
            <w:r>
              <w:rPr>
                <w:rFonts w:ascii="Calibri" w:hAnsi="Calibri"/>
                <w:b w:val="0"/>
                <w:i w:val="0"/>
                <w:color w:val="333333"/>
                <w:sz w:val="17"/>
              </w:rPr>
              <w:t>Outillage</w:t>
            </w:r>
          </w:p>
        </w:tc>
        <w:tc>
          <w:tcPr>
            <w:tcW w:type="dxa" w:w="3288"/>
          </w:tcPr>
          <w:p>
            <w:pPr>
              <w:spacing w:after="0" w:line="252" w:lineRule="auto"/>
            </w:pPr>
            <w:r>
              <w:rPr>
                <w:rFonts w:ascii="Calibri" w:hAnsi="Calibri"/>
                <w:b w:val="0"/>
                <w:i w:val="0"/>
                <w:color w:val="333333"/>
                <w:sz w:val="17"/>
              </w:rPr>
              <w:t>Écosystème Python imposé, aucun budget logiciel</w:t>
            </w:r>
          </w:p>
        </w:tc>
        <w:tc>
          <w:tcPr>
            <w:tcW w:type="dxa" w:w="4535"/>
          </w:tcPr>
          <w:p>
            <w:pPr>
              <w:spacing w:after="0" w:line="252" w:lineRule="auto"/>
            </w:pPr>
            <w:r>
              <w:rPr>
                <w:rFonts w:ascii="Calibri" w:hAnsi="Calibri"/>
                <w:b w:val="0"/>
                <w:i w:val="0"/>
                <w:color w:val="333333"/>
                <w:sz w:val="17"/>
              </w:rPr>
              <w:t>Uniquement des bibliothèques libres, standards du marché et documentées</w:t>
            </w:r>
          </w:p>
        </w:tc>
      </w:tr>
      <w:tr>
        <w:trPr>
          <w:cantSplit/>
        </w:trPr>
        <w:tc>
          <w:tcPr>
            <w:tcW w:type="dxa" w:w="1474"/>
            <w:shd w:val="clear" w:color="auto" w:fill="F1F5F9"/>
          </w:tcPr>
          <w:p>
            <w:pPr>
              <w:spacing w:after="0" w:line="252" w:lineRule="auto"/>
            </w:pPr>
            <w:r>
              <w:rPr>
                <w:rFonts w:ascii="Calibri" w:hAnsi="Calibri"/>
                <w:b w:val="0"/>
                <w:i w:val="0"/>
                <w:color w:val="333333"/>
                <w:sz w:val="17"/>
              </w:rPr>
              <w:t>Compétence des utilisateurs</w:t>
            </w:r>
          </w:p>
        </w:tc>
        <w:tc>
          <w:tcPr>
            <w:tcW w:type="dxa" w:w="3288"/>
            <w:shd w:val="clear" w:color="auto" w:fill="F1F5F9"/>
          </w:tcPr>
          <w:p>
            <w:pPr>
              <w:spacing w:after="0" w:line="252" w:lineRule="auto"/>
            </w:pPr>
            <w:r>
              <w:rPr>
                <w:rFonts w:ascii="Calibri" w:hAnsi="Calibri"/>
                <w:b w:val="0"/>
                <w:i w:val="0"/>
                <w:color w:val="333333"/>
                <w:sz w:val="17"/>
              </w:rPr>
              <w:t>Le service achats n'est pas technicien</w:t>
            </w:r>
          </w:p>
        </w:tc>
        <w:tc>
          <w:tcPr>
            <w:tcW w:type="dxa" w:w="4535"/>
            <w:shd w:val="clear" w:color="auto" w:fill="F1F5F9"/>
          </w:tcPr>
          <w:p>
            <w:pPr>
              <w:spacing w:after="0" w:line="252" w:lineRule="auto"/>
            </w:pPr>
            <w:r>
              <w:rPr>
                <w:rFonts w:ascii="Calibri" w:hAnsi="Calibri"/>
                <w:b w:val="0"/>
                <w:i w:val="0"/>
                <w:color w:val="333333"/>
                <w:sz w:val="17"/>
              </w:rPr>
              <w:t>Plan de formation en quatre séquences et guide de prise en main en langage métier</w:t>
            </w:r>
          </w:p>
        </w:tc>
      </w:tr>
      <w:tr>
        <w:trPr>
          <w:cantSplit/>
        </w:trPr>
        <w:tc>
          <w:tcPr>
            <w:tcW w:type="dxa" w:w="1474"/>
          </w:tcPr>
          <w:p>
            <w:pPr>
              <w:spacing w:after="0" w:line="252" w:lineRule="auto"/>
            </w:pPr>
            <w:r>
              <w:rPr>
                <w:rFonts w:ascii="Calibri" w:hAnsi="Calibri"/>
                <w:b w:val="0"/>
                <w:i w:val="0"/>
                <w:color w:val="333333"/>
                <w:sz w:val="17"/>
              </w:rPr>
              <w:t>Sobriété</w:t>
            </w:r>
          </w:p>
        </w:tc>
        <w:tc>
          <w:tcPr>
            <w:tcW w:type="dxa" w:w="3288"/>
          </w:tcPr>
          <w:p>
            <w:pPr>
              <w:spacing w:after="0" w:line="252" w:lineRule="auto"/>
            </w:pPr>
            <w:r>
              <w:rPr>
                <w:rFonts w:ascii="Calibri" w:hAnsi="Calibri"/>
                <w:b w:val="0"/>
                <w:i w:val="0"/>
                <w:color w:val="333333"/>
                <w:sz w:val="17"/>
              </w:rPr>
              <w:t>Empreinte environnementale de l'outillage</w:t>
            </w:r>
          </w:p>
        </w:tc>
        <w:tc>
          <w:tcPr>
            <w:tcW w:type="dxa" w:w="4535"/>
          </w:tcPr>
          <w:p>
            <w:pPr>
              <w:spacing w:after="0" w:line="252" w:lineRule="auto"/>
            </w:pPr>
            <w:r>
              <w:rPr>
                <w:rFonts w:ascii="Calibri" w:hAnsi="Calibri"/>
                <w:b w:val="0"/>
                <w:i w:val="0"/>
                <w:color w:val="333333"/>
                <w:sz w:val="17"/>
              </w:rPr>
              <w:t>Outillage proportionné au besoin réel, modèles légers, décision de ne pas suréquiper</w:t>
            </w:r>
          </w:p>
        </w:tc>
      </w:tr>
    </w:tbl>
    <w:p>
      <w:pPr>
        <w:spacing w:after="40"/>
      </w:pPr>
    </w:p>
    <w:p>
      <w:pPr>
        <w:pStyle w:val="Heading1"/>
      </w:pPr>
      <w:bookmarkStart w:id="7010" w:name="_TocP130010"/>
      <w:r>
        <w:t xml:space="preserve">5. Critères de réussite et indicateurs (KPI)</w:t>
      </w:r>
      <w:bookmarkEnd w:id="7010"/>
    </w:p>
    <w:p>
      <w:r>
        <w:rPr>
          <w:rFonts w:ascii="Calibri" w:hAnsi="Calibri"/>
          <w:b w:val="0"/>
          <w:i w:val="0"/>
          <w:color w:val="333333"/>
          <w:sz w:val="21"/>
        </w:rPr>
        <w:t xml:space="preserve">Les indicateurs suivent les trois familles de l'énoncé : données, modèle et analyse, opérationnel. Chacun a un seuil et une valeur mesurée. J'ai posé les seuils pendant la phase préparatoire, en même temps que les premiers essais. Ils ne sont donc pas indépendants des premières mesures ; ils servent pour les prochaines extractions. Le 25 septembre, j'ai ajouté les valeurs manquantes et la stabilité, pour couvrir les exemples de l'énoncé. Les valeurs viennent du notebook amélioré (exécution livrée) et du notebook complémentaire (17 et 25 septembre).</w:t>
      </w:r>
    </w:p>
    <w:p>
      <w:pPr>
        <w:pStyle w:val="Heading2"/>
      </w:pPr>
      <w:bookmarkStart w:id="7011" w:name="_TocP130011"/>
      <w:r>
        <w:t>5.1 Indicateurs de qualité des données</w:t>
      </w:r>
      <w:bookmarkEnd w:id="7011"/>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2324"/>
        <w:gridCol w:w="2324"/>
        <w:gridCol w:w="2324"/>
        <w:gridCol w:w="2324"/>
      </w:tblGrid>
      <w:tr>
        <w:trPr>
          <w:cantSplit/>
          <w:tblHeader w:val="true"/>
        </w:trPr>
        <w:tc>
          <w:tcPr>
            <w:tcW w:type="dxa" w:w="3061"/>
            <w:shd w:val="clear" w:color="auto" w:fill="1F2937"/>
          </w:tcPr>
          <w:p>
            <w:pPr>
              <w:spacing w:after="0"/>
            </w:pPr>
            <w:r>
              <w:rPr>
                <w:rFonts w:ascii="Calibri" w:hAnsi="Calibri"/>
                <w:b/>
                <w:color w:val="FFFFFF"/>
                <w:sz w:val="18"/>
              </w:rPr>
              <w:t>Indicateur</w:t>
            </w:r>
          </w:p>
        </w:tc>
        <w:tc>
          <w:tcPr>
            <w:tcW w:type="dxa" w:w="2494"/>
            <w:shd w:val="clear" w:color="auto" w:fill="1F2937"/>
          </w:tcPr>
          <w:p>
            <w:pPr>
              <w:spacing w:after="0"/>
            </w:pPr>
            <w:r>
              <w:rPr>
                <w:rFonts w:ascii="Calibri" w:hAnsi="Calibri"/>
                <w:b/>
                <w:color w:val="FFFFFF"/>
                <w:sz w:val="18"/>
              </w:rPr>
              <w:t>Seuil d'acceptation</w:t>
            </w:r>
          </w:p>
        </w:tc>
        <w:tc>
          <w:tcPr>
            <w:tcW w:type="dxa" w:w="2721"/>
            <w:shd w:val="clear" w:color="auto" w:fill="1F2937"/>
          </w:tcPr>
          <w:p>
            <w:pPr>
              <w:spacing w:after="0"/>
            </w:pPr>
            <w:r>
              <w:rPr>
                <w:rFonts w:ascii="Calibri" w:hAnsi="Calibri"/>
                <w:b/>
                <w:color w:val="FFFFFF"/>
                <w:sz w:val="18"/>
              </w:rPr>
              <w:t>Valeur mesurée</w:t>
            </w:r>
          </w:p>
        </w:tc>
        <w:tc>
          <w:tcPr>
            <w:tcW w:type="dxa" w:w="1020"/>
            <w:shd w:val="clear" w:color="auto" w:fill="1F2937"/>
          </w:tcPr>
          <w:p>
            <w:pPr>
              <w:spacing w:after="0"/>
            </w:pPr>
            <w:r>
              <w:rPr>
                <w:rFonts w:ascii="Calibri" w:hAnsi="Calibri"/>
                <w:b/>
                <w:color w:val="FFFFFF"/>
                <w:sz w:val="18"/>
              </w:rPr>
              <w:t>Atteint</w:t>
            </w:r>
          </w:p>
        </w:tc>
      </w:tr>
      <w:tr>
        <w:trPr>
          <w:cantSplit/>
        </w:trPr>
        <w:tc>
          <w:tcPr>
            <w:tcW w:type="dxa" w:w="3061"/>
          </w:tcPr>
          <w:p>
            <w:pPr>
              <w:spacing w:after="0" w:line="252" w:lineRule="auto"/>
            </w:pPr>
            <w:r>
              <w:rPr>
                <w:rFonts w:ascii="Calibri" w:hAnsi="Calibri"/>
                <w:b w:val="0"/>
                <w:i w:val="0"/>
                <w:color w:val="333333"/>
                <w:sz w:val="18"/>
              </w:rPr>
              <w:t>Types d'anomalies identifiés à l'audit initial</w:t>
            </w:r>
          </w:p>
        </w:tc>
        <w:tc>
          <w:tcPr>
            <w:tcW w:type="dxa" w:w="2494"/>
          </w:tcPr>
          <w:p>
            <w:pPr>
              <w:spacing w:after="0" w:line="252" w:lineRule="auto"/>
            </w:pPr>
            <w:r>
              <w:rPr>
                <w:rFonts w:ascii="Calibri" w:hAnsi="Calibri"/>
                <w:b w:val="0"/>
                <w:i w:val="0"/>
                <w:color w:val="333333"/>
                <w:sz w:val="18"/>
              </w:rPr>
              <w:t>Au moins 8</w:t>
            </w:r>
          </w:p>
        </w:tc>
        <w:tc>
          <w:tcPr>
            <w:tcW w:type="dxa" w:w="2721"/>
          </w:tcPr>
          <w:p>
            <w:pPr>
              <w:spacing w:after="0" w:line="252" w:lineRule="auto"/>
            </w:pPr>
            <w:r>
              <w:rPr>
                <w:rFonts w:ascii="Calibri" w:hAnsi="Calibri"/>
                <w:b w:val="0"/>
                <w:i w:val="0"/>
                <w:color w:val="333333"/>
                <w:sz w:val="18"/>
              </w:rPr>
              <w:t>9</w:t>
            </w:r>
          </w:p>
        </w:tc>
        <w:tc>
          <w:tcPr>
            <w:tcW w:type="dxa" w:w="1020"/>
          </w:tcPr>
          <w:p>
            <w:pPr>
              <w:spacing w:after="0" w:line="252" w:lineRule="auto"/>
            </w:pPr>
            <w:r>
              <w:rPr>
                <w:rFonts w:ascii="Calibri" w:hAnsi="Calibri"/>
                <w:b w:val="0"/>
                <w:i w:val="0"/>
                <w:color w:val="333333"/>
                <w:sz w:val="18"/>
              </w:rPr>
              <w:t>Oui</w:t>
            </w:r>
          </w:p>
        </w:tc>
      </w:tr>
      <w:tr>
        <w:trPr>
          <w:cantSplit/>
        </w:trPr>
        <w:tc>
          <w:tcPr>
            <w:tcW w:type="dxa" w:w="3061"/>
            <w:shd w:val="clear" w:color="auto" w:fill="F1F5F9"/>
          </w:tcPr>
          <w:p>
            <w:pPr>
              <w:spacing w:after="0" w:line="252" w:lineRule="auto"/>
            </w:pPr>
            <w:r>
              <w:rPr>
                <w:rFonts w:ascii="Calibri" w:hAnsi="Calibri"/>
                <w:b w:val="0"/>
                <w:i w:val="0"/>
                <w:color w:val="333333"/>
                <w:sz w:val="18"/>
              </w:rPr>
              <w:t xml:space="preserve">Lignes ERP en infraction au contrat de qualité</w:t>
            </w:r>
          </w:p>
        </w:tc>
        <w:tc>
          <w:tcPr>
            <w:tcW w:type="dxa" w:w="2494"/>
            <w:shd w:val="clear" w:color="auto" w:fill="F1F5F9"/>
          </w:tcPr>
          <w:p>
            <w:pPr>
              <w:spacing w:after="0" w:line="252" w:lineRule="auto"/>
            </w:pPr>
            <w:r>
              <w:rPr>
                <w:rFonts w:ascii="Calibri" w:hAnsi="Calibri"/>
                <w:b w:val="0"/>
                <w:i w:val="0"/>
                <w:color w:val="333333"/>
                <w:sz w:val="18"/>
              </w:rPr>
              <w:t>Identifiées et signalées</w:t>
            </w:r>
          </w:p>
        </w:tc>
        <w:tc>
          <w:tcPr>
            <w:tcW w:type="dxa" w:w="2721"/>
            <w:shd w:val="clear" w:color="auto" w:fill="F1F5F9"/>
          </w:tcPr>
          <w:p>
            <w:pPr>
              <w:spacing w:after="0" w:line="252" w:lineRule="auto"/>
            </w:pPr>
            <w:r>
              <w:rPr>
                <w:rFonts w:ascii="Calibri" w:hAnsi="Calibri"/>
                <w:b w:val="0"/>
                <w:i w:val="0"/>
                <w:color w:val="333333"/>
                <w:sz w:val="18"/>
              </w:rPr>
              <w:t>9 lignes sur 825, soit 1,1 %</w:t>
            </w:r>
          </w:p>
        </w:tc>
        <w:tc>
          <w:tcPr>
            <w:tcW w:type="dxa" w:w="1020"/>
            <w:shd w:val="clear" w:color="auto" w:fill="F1F5F9"/>
          </w:tcPr>
          <w:p>
            <w:pPr>
              <w:spacing w:after="0" w:line="252" w:lineRule="auto"/>
            </w:pPr>
            <w:r>
              <w:rPr>
                <w:rFonts w:ascii="Calibri" w:hAnsi="Calibri"/>
                <w:b w:val="0"/>
                <w:i w:val="0"/>
                <w:color w:val="333333"/>
                <w:sz w:val="18"/>
              </w:rPr>
              <w:t>Oui</w:t>
            </w:r>
          </w:p>
        </w:tc>
      </w:tr>
      <w:tr>
        <w:trPr>
          <w:cantSplit/>
        </w:trPr>
        <w:tc>
          <w:tcPr>
            <w:tcW w:type="dxa" w:w="3061"/>
          </w:tcPr>
          <w:p>
            <w:pPr>
              <w:spacing w:after="0" w:line="252" w:lineRule="auto"/>
            </w:pPr>
            <w:r>
              <w:rPr>
                <w:rFonts w:ascii="Calibri" w:hAnsi="Calibri"/>
                <w:b w:val="0"/>
                <w:i w:val="0"/>
                <w:color w:val="333333"/>
                <w:sz w:val="18"/>
              </w:rPr>
              <w:t xml:space="preserve">Détail des infractions</w:t>
            </w:r>
          </w:p>
        </w:tc>
        <w:tc>
          <w:tcPr>
            <w:tcW w:type="dxa" w:w="2494"/>
          </w:tcPr>
          <w:p>
            <w:pPr>
              <w:spacing w:after="0" w:line="252" w:lineRule="auto"/>
            </w:pPr>
            <w:r>
              <w:rPr>
                <w:rFonts w:ascii="Calibri" w:hAnsi="Calibri"/>
                <w:b w:val="0"/>
                <w:i w:val="0"/>
                <w:color w:val="333333"/>
                <w:sz w:val="18"/>
              </w:rPr>
              <w:t>Documenté règle par règle</w:t>
            </w:r>
          </w:p>
        </w:tc>
        <w:tc>
          <w:tcPr>
            <w:tcW w:type="dxa" w:w="2721"/>
          </w:tcPr>
          <w:p>
            <w:pPr>
              <w:spacing w:after="0" w:line="252" w:lineRule="auto"/>
            </w:pPr>
            <w:r>
              <w:rPr>
                <w:rFonts w:ascii="Calibri" w:hAnsi="Calibri"/>
                <w:b w:val="0"/>
                <w:i w:val="0"/>
                <w:color w:val="333333"/>
                <w:sz w:val="18"/>
              </w:rPr>
              <w:t>3 prix nuls ou négatifs, 2 stocks négatifs, 7 marges négatives, avec chevauchements</w:t>
            </w:r>
          </w:p>
        </w:tc>
        <w:tc>
          <w:tcPr>
            <w:tcW w:type="dxa" w:w="1020"/>
          </w:tcPr>
          <w:p>
            <w:pPr>
              <w:spacing w:after="0" w:line="252" w:lineRule="auto"/>
            </w:pPr>
            <w:r>
              <w:rPr>
                <w:rFonts w:ascii="Calibri" w:hAnsi="Calibri"/>
                <w:b w:val="0"/>
                <w:i w:val="0"/>
                <w:color w:val="333333"/>
                <w:sz w:val="18"/>
              </w:rPr>
              <w:t>Oui</w:t>
            </w:r>
          </w:p>
        </w:tc>
      </w:tr>
      <w:tr>
        <w:trPr>
          <w:cantSplit/>
        </w:trPr>
        <w:tc>
          <w:tcPr>
            <w:tcW w:type="dxa" w:w="3061"/>
            <w:shd w:val="clear" w:color="auto" w:fill="F1F5F9"/>
          </w:tcPr>
          <w:p>
            <w:pPr>
              <w:spacing w:after="0" w:line="252" w:lineRule="auto"/>
            </w:pPr>
            <w:r>
              <w:rPr>
                <w:rFonts w:ascii="Calibri" w:hAnsi="Calibri"/>
                <w:b w:val="0"/>
                <w:i w:val="0"/>
                <w:color w:val="333333"/>
                <w:sz w:val="18"/>
              </w:rPr>
              <w:t>Produits analysables après jointure</w:t>
            </w:r>
          </w:p>
        </w:tc>
        <w:tc>
          <w:tcPr>
            <w:tcW w:type="dxa" w:w="2494"/>
            <w:shd w:val="clear" w:color="auto" w:fill="F1F5F9"/>
          </w:tcPr>
          <w:p>
            <w:pPr>
              <w:spacing w:after="0" w:line="252" w:lineRule="auto"/>
            </w:pPr>
            <w:r>
              <w:rPr>
                <w:rFonts w:ascii="Calibri" w:hAnsi="Calibri"/>
                <w:b w:val="0"/>
                <w:i w:val="0"/>
                <w:color w:val="333333"/>
                <w:sz w:val="18"/>
              </w:rPr>
              <w:t xml:space="preserve">Taux de rapprochement publié, références non rapprochées listées</w:t>
            </w:r>
          </w:p>
        </w:tc>
        <w:tc>
          <w:tcPr>
            <w:tcW w:type="dxa" w:w="2721"/>
            <w:shd w:val="clear" w:color="auto" w:fill="F1F5F9"/>
          </w:tcPr>
          <w:p>
            <w:pPr>
              <w:spacing w:after="0" w:line="252" w:lineRule="auto"/>
            </w:pPr>
            <w:r>
              <w:rPr>
                <w:rFonts w:ascii="Calibri" w:hAnsi="Calibri"/>
                <w:b w:val="0"/>
                <w:i w:val="0"/>
                <w:color w:val="333333"/>
                <w:sz w:val="18"/>
              </w:rPr>
              <w:t xml:space="preserve">714 sur 825 références de l'ERP, soit 86,5 % ; les 111 autres sont listées</w:t>
            </w:r>
          </w:p>
        </w:tc>
        <w:tc>
          <w:tcPr>
            <w:tcW w:type="dxa" w:w="1020"/>
            <w:shd w:val="clear" w:color="auto" w:fill="F1F5F9"/>
          </w:tcPr>
          <w:p>
            <w:pPr>
              <w:spacing w:after="0" w:line="252" w:lineRule="auto"/>
            </w:pPr>
            <w:r>
              <w:rPr>
                <w:rFonts w:ascii="Calibri" w:hAnsi="Calibri"/>
                <w:b w:val="0"/>
                <w:i w:val="0"/>
                <w:color w:val="333333"/>
                <w:sz w:val="18"/>
              </w:rPr>
              <w:t>Oui</w:t>
            </w:r>
          </w:p>
        </w:tc>
      </w:tr>
      <w:tr>
        <w:trPr>
          <w:cantSplit/>
        </w:trPr>
        <w:tc>
          <w:tcPr>
            <w:tcW w:type="dxa" w:w="3061"/>
            <w:shd w:val="clear" w:color="auto" w:fill="F1F5F9"/>
          </w:tcPr>
          <w:p>
            <w:pPr>
              <w:spacing w:after="0" w:line="252" w:lineRule="auto"/>
            </w:pPr>
            <w:r>
              <w:rPr>
                <w:rFonts w:ascii="Calibri" w:hAnsi="Calibri"/>
                <w:b w:val="0"/>
                <w:i w:val="0"/>
                <w:color w:val="333333"/>
                <w:sz w:val="18"/>
              </w:rPr>
              <w:t xml:space="preserve">Valeurs manquantes</w:t>
            </w:r>
          </w:p>
        </w:tc>
        <w:tc>
          <w:tcPr>
            <w:tcW w:type="dxa" w:w="2494"/>
            <w:shd w:val="clear" w:color="auto" w:fill="F1F5F9"/>
          </w:tcPr>
          <w:p>
            <w:pPr>
              <w:spacing w:after="0" w:line="252" w:lineRule="auto"/>
            </w:pPr>
            <w:r>
              <w:rPr>
                <w:rFonts w:ascii="Calibri" w:hAnsi="Calibri"/>
                <w:b w:val="0"/>
                <w:i w:val="0"/>
                <w:color w:val="333333"/>
                <w:sz w:val="18"/>
              </w:rPr>
              <w:t xml:space="preserve">Tolérées si elles sont comptées, expliquées et écartées de la jointure</w:t>
            </w:r>
          </w:p>
        </w:tc>
        <w:tc>
          <w:tcPr>
            <w:tcW w:type="dxa" w:w="2721"/>
            <w:shd w:val="clear" w:color="auto" w:fill="F1F5F9"/>
          </w:tcPr>
          <w:p>
            <w:pPr>
              <w:spacing w:after="0" w:line="252" w:lineRule="auto"/>
            </w:pPr>
            <w:r>
              <w:rPr>
                <w:rFonts w:ascii="Calibri" w:hAnsi="Calibri"/>
                <w:b w:val="0"/>
                <w:i w:val="0"/>
                <w:color w:val="333333"/>
                <w:sz w:val="18"/>
              </w:rPr>
              <w:t xml:space="preserve">2 SKU manquants sur 716 fiches produit du site (0,3 %) ; 91 identifiants du site manquants sur 825 lignes de la table de liaison (11 %), comptés à l'audit de l'étape 2 et signalés. 83 lignes de l'export du site sans type (5,5 %), écartées au filtrage des fiches produit (comptées le 25 septembre)</w:t>
            </w:r>
          </w:p>
        </w:tc>
        <w:tc>
          <w:tcPr>
            <w:tcW w:type="dxa" w:w="1020"/>
            <w:shd w:val="clear" w:color="auto" w:fill="F1F5F9"/>
          </w:tcPr>
          <w:p>
            <w:pPr>
              <w:spacing w:after="0" w:line="252" w:lineRule="auto"/>
            </w:pPr>
            <w:r>
              <w:rPr>
                <w:rFonts w:ascii="Calibri" w:hAnsi="Calibri"/>
                <w:b w:val="0"/>
                <w:i w:val="0"/>
                <w:color w:val="333333"/>
                <w:sz w:val="18"/>
              </w:rPr>
              <w:t xml:space="preserve">Oui</w:t>
            </w:r>
          </w:p>
        </w:tc>
      </w:tr>
      <w:tr>
        <w:trPr>
          <w:cantSplit/>
        </w:trPr>
        <w:tc>
          <w:tcPr>
            <w:tcW w:type="dxa" w:w="3061"/>
          </w:tcPr>
          <w:p>
            <w:pPr>
              <w:spacing w:after="0" w:line="252" w:lineRule="auto"/>
            </w:pPr>
            <w:r>
              <w:rPr>
                <w:rFonts w:ascii="Calibri" w:hAnsi="Calibri"/>
                <w:b w:val="0"/>
                <w:i w:val="0"/>
                <w:color w:val="333333"/>
                <w:sz w:val="18"/>
              </w:rPr>
              <w:t>Contrat de qualité rejouable</w:t>
            </w:r>
          </w:p>
        </w:tc>
        <w:tc>
          <w:tcPr>
            <w:tcW w:type="dxa" w:w="2494"/>
          </w:tcPr>
          <w:p>
            <w:pPr>
              <w:spacing w:after="0" w:line="252" w:lineRule="auto"/>
            </w:pPr>
            <w:r>
              <w:rPr>
                <w:rFonts w:ascii="Calibri" w:hAnsi="Calibri"/>
                <w:b w:val="0"/>
                <w:i w:val="0"/>
                <w:color w:val="333333"/>
                <w:sz w:val="18"/>
              </w:rPr>
              <w:t>Oui</w:t>
            </w:r>
          </w:p>
        </w:tc>
        <w:tc>
          <w:tcPr>
            <w:tcW w:type="dxa" w:w="2721"/>
          </w:tcPr>
          <w:p>
            <w:pPr>
              <w:spacing w:after="0" w:line="252" w:lineRule="auto"/>
            </w:pPr>
            <w:r>
              <w:rPr>
                <w:rFonts w:ascii="Calibri" w:hAnsi="Calibri"/>
                <w:b w:val="0"/>
                <w:i w:val="0"/>
                <w:color w:val="333333"/>
                <w:sz w:val="18"/>
              </w:rPr>
              <w:t>14 lignes déclaratives, rapport automatique</w:t>
            </w:r>
          </w:p>
        </w:tc>
        <w:tc>
          <w:tcPr>
            <w:tcW w:type="dxa" w:w="1020"/>
          </w:tcPr>
          <w:p>
            <w:pPr>
              <w:spacing w:after="0" w:line="252" w:lineRule="auto"/>
            </w:pPr>
            <w:r>
              <w:rPr>
                <w:rFonts w:ascii="Calibri" w:hAnsi="Calibri"/>
                <w:b w:val="0"/>
                <w:i w:val="0"/>
                <w:color w:val="333333"/>
                <w:sz w:val="18"/>
              </w:rPr>
              <w:t>Oui</w:t>
            </w:r>
          </w:p>
        </w:tc>
      </w:tr>
    </w:tbl>
    <w:p>
      <w:pPr>
        <w:spacing w:after="40"/>
      </w:pPr>
    </w:p>
    <w:p>
      <w:pPr>
        <w:pStyle w:val="Heading2"/>
      </w:pPr>
      <w:bookmarkStart w:id="7012" w:name="_TocP130012"/>
      <w:r>
        <w:t>5.2 Indicateurs de modèle et d'analyse</w:t>
      </w:r>
      <w:bookmarkEnd w:id="7012"/>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2324"/>
        <w:gridCol w:w="2324"/>
        <w:gridCol w:w="2324"/>
        <w:gridCol w:w="2324"/>
      </w:tblGrid>
      <w:tr>
        <w:trPr>
          <w:cantSplit/>
          <w:tblHeader w:val="true"/>
        </w:trPr>
        <w:tc>
          <w:tcPr>
            <w:tcW w:type="dxa" w:w="3061"/>
            <w:shd w:val="clear" w:color="auto" w:fill="1F2937"/>
          </w:tcPr>
          <w:p>
            <w:pPr>
              <w:spacing w:after="0"/>
            </w:pPr>
            <w:r>
              <w:rPr>
                <w:rFonts w:ascii="Calibri" w:hAnsi="Calibri"/>
                <w:b/>
                <w:color w:val="FFFFFF"/>
                <w:sz w:val="18"/>
              </w:rPr>
              <w:t>Indicateur</w:t>
            </w:r>
          </w:p>
        </w:tc>
        <w:tc>
          <w:tcPr>
            <w:tcW w:type="dxa" w:w="2494"/>
            <w:shd w:val="clear" w:color="auto" w:fill="1F2937"/>
          </w:tcPr>
          <w:p>
            <w:pPr>
              <w:spacing w:after="0"/>
            </w:pPr>
            <w:r>
              <w:rPr>
                <w:rFonts w:ascii="Calibri" w:hAnsi="Calibri"/>
                <w:b/>
                <w:color w:val="FFFFFF"/>
                <w:sz w:val="18"/>
              </w:rPr>
              <w:t>Seuil d'acceptation</w:t>
            </w:r>
          </w:p>
        </w:tc>
        <w:tc>
          <w:tcPr>
            <w:tcW w:type="dxa" w:w="2721"/>
            <w:shd w:val="clear" w:color="auto" w:fill="1F2937"/>
          </w:tcPr>
          <w:p>
            <w:pPr>
              <w:spacing w:after="0"/>
            </w:pPr>
            <w:r>
              <w:rPr>
                <w:rFonts w:ascii="Calibri" w:hAnsi="Calibri"/>
                <w:b/>
                <w:color w:val="FFFFFF"/>
                <w:sz w:val="18"/>
              </w:rPr>
              <w:t>Valeur mesurée</w:t>
            </w:r>
          </w:p>
        </w:tc>
        <w:tc>
          <w:tcPr>
            <w:tcW w:type="dxa" w:w="1020"/>
            <w:shd w:val="clear" w:color="auto" w:fill="1F2937"/>
          </w:tcPr>
          <w:p>
            <w:pPr>
              <w:spacing w:after="0"/>
            </w:pPr>
            <w:r>
              <w:rPr>
                <w:rFonts w:ascii="Calibri" w:hAnsi="Calibri"/>
                <w:b/>
                <w:color w:val="FFFFFF"/>
                <w:sz w:val="18"/>
              </w:rPr>
              <w:t>Atteint</w:t>
            </w:r>
          </w:p>
        </w:tc>
      </w:tr>
      <w:tr>
        <w:trPr>
          <w:cantSplit/>
        </w:trPr>
        <w:tc>
          <w:tcPr>
            <w:tcW w:type="dxa" w:w="3061"/>
          </w:tcPr>
          <w:p>
            <w:pPr>
              <w:spacing w:after="0" w:line="252" w:lineRule="auto"/>
            </w:pPr>
            <w:r>
              <w:rPr>
                <w:rFonts w:ascii="Calibri" w:hAnsi="Calibri"/>
                <w:b w:val="0"/>
                <w:i w:val="0"/>
                <w:color w:val="333333"/>
                <w:sz w:val="18"/>
              </w:rPr>
              <w:t>Anomalies multivariées captées en plus</w:t>
            </w:r>
          </w:p>
        </w:tc>
        <w:tc>
          <w:tcPr>
            <w:tcW w:type="dxa" w:w="2494"/>
          </w:tcPr>
          <w:p>
            <w:pPr>
              <w:spacing w:after="0" w:line="252" w:lineRule="auto"/>
            </w:pPr>
            <w:r>
              <w:rPr>
                <w:rFonts w:ascii="Calibri" w:hAnsi="Calibri"/>
                <w:b w:val="0"/>
                <w:i w:val="0"/>
                <w:color w:val="333333"/>
                <w:sz w:val="18"/>
              </w:rPr>
              <w:t>Strictement positif</w:t>
            </w:r>
          </w:p>
        </w:tc>
        <w:tc>
          <w:tcPr>
            <w:tcW w:type="dxa" w:w="2721"/>
          </w:tcPr>
          <w:p>
            <w:pPr>
              <w:spacing w:after="0" w:line="252" w:lineRule="auto"/>
            </w:pPr>
            <w:r>
              <w:rPr>
                <w:rFonts w:ascii="Calibri" w:hAnsi="Calibri"/>
                <w:b w:val="0"/>
                <w:i w:val="0"/>
                <w:color w:val="333333"/>
                <w:sz w:val="18"/>
              </w:rPr>
              <w:t>26</w:t>
            </w:r>
          </w:p>
        </w:tc>
        <w:tc>
          <w:tcPr>
            <w:tcW w:type="dxa" w:w="1020"/>
          </w:tcPr>
          <w:p>
            <w:pPr>
              <w:spacing w:after="0" w:line="252" w:lineRule="auto"/>
            </w:pPr>
            <w:r>
              <w:rPr>
                <w:rFonts w:ascii="Calibri" w:hAnsi="Calibri"/>
                <w:b w:val="0"/>
                <w:i w:val="0"/>
                <w:color w:val="333333"/>
                <w:sz w:val="18"/>
              </w:rPr>
              <w:t>Oui</w:t>
            </w:r>
          </w:p>
        </w:tc>
      </w:tr>
      <w:tr>
        <w:trPr>
          <w:cantSplit/>
        </w:trPr>
        <w:tc>
          <w:tcPr>
            <w:tcW w:type="dxa" w:w="3061"/>
            <w:shd w:val="clear" w:color="auto" w:fill="F1F5F9"/>
          </w:tcPr>
          <w:p>
            <w:pPr>
              <w:spacing w:after="0" w:line="252" w:lineRule="auto"/>
            </w:pPr>
            <w:r>
              <w:rPr>
                <w:rFonts w:ascii="Calibri" w:hAnsi="Calibri"/>
                <w:b w:val="0"/>
                <w:i w:val="0"/>
                <w:color w:val="333333"/>
                <w:sz w:val="18"/>
              </w:rPr>
              <w:t>Pouvoir explicatif du modèle de ventes</w:t>
            </w:r>
          </w:p>
        </w:tc>
        <w:tc>
          <w:tcPr>
            <w:tcW w:type="dxa" w:w="2494"/>
            <w:shd w:val="clear" w:color="auto" w:fill="F1F5F9"/>
          </w:tcPr>
          <w:p>
            <w:pPr>
              <w:spacing w:after="0" w:line="252" w:lineRule="auto"/>
            </w:pPr>
            <w:r>
              <w:rPr>
                <w:rFonts w:ascii="Calibri" w:hAnsi="Calibri"/>
                <w:b w:val="0"/>
                <w:i w:val="0"/>
                <w:color w:val="333333"/>
                <w:sz w:val="18"/>
              </w:rPr>
              <w:t>Supérieur à 0,60</w:t>
            </w:r>
          </w:p>
        </w:tc>
        <w:tc>
          <w:tcPr>
            <w:tcW w:type="dxa" w:w="2721"/>
            <w:shd w:val="clear" w:color="auto" w:fill="F1F5F9"/>
          </w:tcPr>
          <w:p>
            <w:pPr>
              <w:spacing w:after="0" w:line="252" w:lineRule="auto"/>
            </w:pPr>
            <w:r>
              <w:rPr>
                <w:rFonts w:ascii="Calibri" w:hAnsi="Calibri"/>
                <w:b w:val="0"/>
                <w:i w:val="0"/>
                <w:color w:val="333333"/>
                <w:sz w:val="18"/>
              </w:rPr>
              <w:t xml:space="preserve">0,72 sur le jeu de test ; 0,67 en moyenne en validation croisée, de 0,53 à 0,76 selon le pli</w:t>
            </w:r>
          </w:p>
        </w:tc>
        <w:tc>
          <w:tcPr>
            <w:tcW w:type="dxa" w:w="1020"/>
            <w:shd w:val="clear" w:color="auto" w:fill="F1F5F9"/>
          </w:tcPr>
          <w:p>
            <w:pPr>
              <w:spacing w:after="0" w:line="252" w:lineRule="auto"/>
            </w:pPr>
            <w:r>
              <w:rPr>
                <w:rFonts w:ascii="Calibri" w:hAnsi="Calibri"/>
                <w:b w:val="0"/>
                <w:i w:val="0"/>
                <w:color w:val="333333"/>
                <w:sz w:val="18"/>
              </w:rPr>
              <w:t xml:space="preserve">Oui en moyenne ; un pli sur cinq en dessous</w:t>
            </w:r>
          </w:p>
        </w:tc>
      </w:tr>
      <w:tr>
        <w:trPr>
          <w:cantSplit/>
        </w:trPr>
        <w:tc>
          <w:tcPr>
            <w:tcW w:type="dxa" w:w="3061"/>
          </w:tcPr>
          <w:p>
            <w:pPr>
              <w:spacing w:after="0" w:line="252" w:lineRule="auto"/>
            </w:pPr>
            <w:r>
              <w:rPr>
                <w:rFonts w:ascii="Calibri" w:hAnsi="Calibri"/>
                <w:b w:val="0"/>
                <w:i w:val="0"/>
                <w:color w:val="333333"/>
                <w:sz w:val="18"/>
              </w:rPr>
              <w:t>Erreur absolue moyenne</w:t>
            </w:r>
          </w:p>
        </w:tc>
        <w:tc>
          <w:tcPr>
            <w:tcW w:type="dxa" w:w="2494"/>
          </w:tcPr>
          <w:p>
            <w:pPr>
              <w:spacing w:after="0" w:line="252" w:lineRule="auto"/>
            </w:pPr>
            <w:r>
              <w:rPr>
                <w:rFonts w:ascii="Calibri" w:hAnsi="Calibri"/>
                <w:b w:val="0"/>
                <w:i w:val="0"/>
                <w:color w:val="333333"/>
                <w:sz w:val="18"/>
              </w:rPr>
              <w:t>Inférieure à 3 unités</w:t>
            </w:r>
          </w:p>
        </w:tc>
        <w:tc>
          <w:tcPr>
            <w:tcW w:type="dxa" w:w="2721"/>
          </w:tcPr>
          <w:p>
            <w:pPr>
              <w:spacing w:after="0" w:line="252" w:lineRule="auto"/>
            </w:pPr>
            <w:r>
              <w:rPr>
                <w:rFonts w:ascii="Calibri" w:hAnsi="Calibri"/>
                <w:b w:val="0"/>
                <w:i w:val="0"/>
                <w:color w:val="333333"/>
                <w:sz w:val="18"/>
              </w:rPr>
              <w:t xml:space="preserve">1,54 unité sur le jeu de test, contre 3,46 pour une prédiction naïve</w:t>
            </w:r>
          </w:p>
        </w:tc>
        <w:tc>
          <w:tcPr>
            <w:tcW w:type="dxa" w:w="1020"/>
          </w:tcPr>
          <w:p>
            <w:pPr>
              <w:spacing w:after="0" w:line="252" w:lineRule="auto"/>
            </w:pPr>
            <w:r>
              <w:rPr>
                <w:rFonts w:ascii="Calibri" w:hAnsi="Calibri"/>
                <w:b w:val="0"/>
                <w:i w:val="0"/>
                <w:color w:val="333333"/>
                <w:sz w:val="18"/>
              </w:rPr>
              <w:t>Oui</w:t>
            </w:r>
          </w:p>
        </w:tc>
      </w:tr>
      <w:tr>
        <w:trPr>
          <w:cantSplit/>
        </w:trPr>
        <w:tc>
          <w:tcPr>
            <w:tcW w:type="dxa" w:w="3061"/>
            <w:shd w:val="clear" w:color="auto" w:fill="F1F5F9"/>
          </w:tcPr>
          <w:p>
            <w:pPr>
              <w:spacing w:after="0" w:line="252" w:lineRule="auto"/>
            </w:pPr>
            <w:r>
              <w:rPr>
                <w:rFonts w:ascii="Calibri" w:hAnsi="Calibri"/>
                <w:b w:val="0"/>
                <w:i w:val="0"/>
                <w:color w:val="333333"/>
                <w:sz w:val="18"/>
              </w:rPr>
              <w:t>Interprétabilité</w:t>
            </w:r>
          </w:p>
        </w:tc>
        <w:tc>
          <w:tcPr>
            <w:tcW w:type="dxa" w:w="2494"/>
            <w:shd w:val="clear" w:color="auto" w:fill="F1F5F9"/>
          </w:tcPr>
          <w:p>
            <w:pPr>
              <w:spacing w:after="0" w:line="252" w:lineRule="auto"/>
            </w:pPr>
            <w:r>
              <w:rPr>
                <w:rFonts w:ascii="Calibri" w:hAnsi="Calibri"/>
                <w:b w:val="0"/>
                <w:i w:val="0"/>
                <w:color w:val="333333"/>
                <w:sz w:val="18"/>
              </w:rPr>
              <w:t>Explication auditable, locale et globale</w:t>
            </w:r>
          </w:p>
        </w:tc>
        <w:tc>
          <w:tcPr>
            <w:tcW w:type="dxa" w:w="2721"/>
            <w:shd w:val="clear" w:color="auto" w:fill="F1F5F9"/>
          </w:tcPr>
          <w:p>
            <w:pPr>
              <w:spacing w:after="0" w:line="252" w:lineRule="auto"/>
            </w:pPr>
            <w:r>
              <w:rPr>
                <w:rFonts w:ascii="Calibri" w:hAnsi="Calibri"/>
                <w:b w:val="0"/>
                <w:i w:val="0"/>
                <w:color w:val="333333"/>
                <w:sz w:val="18"/>
              </w:rPr>
              <w:t>Valeurs de Shapley, contribution par référence</w:t>
            </w:r>
          </w:p>
        </w:tc>
        <w:tc>
          <w:tcPr>
            <w:tcW w:type="dxa" w:w="1020"/>
            <w:shd w:val="clear" w:color="auto" w:fill="F1F5F9"/>
          </w:tcPr>
          <w:p>
            <w:pPr>
              <w:spacing w:after="0" w:line="252" w:lineRule="auto"/>
            </w:pPr>
            <w:r>
              <w:rPr>
                <w:rFonts w:ascii="Calibri" w:hAnsi="Calibri"/>
                <w:b w:val="0"/>
                <w:i w:val="0"/>
                <w:color w:val="333333"/>
                <w:sz w:val="18"/>
              </w:rPr>
              <w:t>Oui</w:t>
            </w:r>
          </w:p>
        </w:tc>
      </w:tr>
      <w:tr>
        <w:trPr>
          <w:cantSplit/>
        </w:trPr>
        <w:tc>
          <w:tcPr>
            <w:tcW w:type="dxa" w:w="3061"/>
            <w:shd w:val="clear" w:color="auto" w:fill="F1F5F9"/>
          </w:tcPr>
          <w:p>
            <w:pPr>
              <w:spacing w:after="0" w:line="252" w:lineRule="auto"/>
            </w:pPr>
            <w:r>
              <w:rPr>
                <w:rFonts w:ascii="Calibri" w:hAnsi="Calibri"/>
                <w:b w:val="0"/>
                <w:i w:val="0"/>
                <w:color w:val="333333"/>
                <w:sz w:val="18"/>
              </w:rPr>
              <w:t xml:space="preserve">Stabilité</w:t>
            </w:r>
          </w:p>
        </w:tc>
        <w:tc>
          <w:tcPr>
            <w:tcW w:type="dxa" w:w="2494"/>
            <w:shd w:val="clear" w:color="auto" w:fill="F1F5F9"/>
          </w:tcPr>
          <w:p>
            <w:pPr>
              <w:spacing w:after="0" w:line="252" w:lineRule="auto"/>
            </w:pPr>
            <w:r>
              <w:rPr>
                <w:rFonts w:ascii="Calibri" w:hAnsi="Calibri"/>
                <w:b w:val="0"/>
                <w:i w:val="0"/>
                <w:color w:val="333333"/>
                <w:sz w:val="18"/>
              </w:rPr>
              <w:t xml:space="preserve">Même classement des facteurs quelle que soit la méthode ; détection d'anomalies stable quand la graine change</w:t>
            </w:r>
          </w:p>
        </w:tc>
        <w:tc>
          <w:tcPr>
            <w:tcW w:type="dxa" w:w="2721"/>
            <w:shd w:val="clear" w:color="auto" w:fill="F1F5F9"/>
          </w:tcPr>
          <w:p>
            <w:pPr>
              <w:spacing w:after="0" w:line="252" w:lineRule="auto"/>
            </w:pPr>
            <w:r>
              <w:rPr>
                <w:rFonts w:ascii="Calibri" w:hAnsi="Calibri"/>
                <w:b w:val="0"/>
                <w:i w:val="0"/>
                <w:color w:val="333333"/>
                <w:sz w:val="18"/>
              </w:rPr>
              <w:t xml:space="preserve">Même classement par l'importance du modèle, la permutation et Shapley (stock, prix d'achat, taux de marge, prix) ; stock premier sur les cinq plis. Isolation Forest : Jaccard de 0,80 à 0,85 quand la graine change. Local Outlier Factor : 0,41 entre 20 et 35 voisins (0,67 à 1,00 ailleurs), d'où son abandon. Pouvoir explicatif : 0,53 à 0,76 selon la partition (essai D)</w:t>
            </w:r>
          </w:p>
        </w:tc>
        <w:tc>
          <w:tcPr>
            <w:tcW w:type="dxa" w:w="1020"/>
            <w:shd w:val="clear" w:color="auto" w:fill="F1F5F9"/>
          </w:tcPr>
          <w:p>
            <w:pPr>
              <w:spacing w:after="0" w:line="252" w:lineRule="auto"/>
            </w:pPr>
            <w:r>
              <w:rPr>
                <w:rFonts w:ascii="Calibri" w:hAnsi="Calibri"/>
                <w:b w:val="0"/>
                <w:i w:val="0"/>
                <w:color w:val="333333"/>
                <w:sz w:val="18"/>
              </w:rPr>
              <w:t xml:space="preserve">Oui, avec cette fourchette</w:t>
            </w:r>
          </w:p>
        </w:tc>
      </w:tr>
      <w:tr>
        <w:trPr>
          <w:cantSplit/>
        </w:trPr>
        <w:tc>
          <w:tcPr>
            <w:tcW w:type="dxa" w:w="3061"/>
          </w:tcPr>
          <w:p>
            <w:pPr>
              <w:spacing w:after="0" w:line="252" w:lineRule="auto"/>
            </w:pPr>
            <w:r>
              <w:rPr>
                <w:rFonts w:ascii="Calibri" w:hAnsi="Calibri"/>
                <w:b w:val="0"/>
                <w:i w:val="0"/>
                <w:color w:val="333333"/>
                <w:sz w:val="18"/>
              </w:rPr>
              <w:t>Concentration du chiffre d'affaires</w:t>
            </w:r>
          </w:p>
        </w:tc>
        <w:tc>
          <w:tcPr>
            <w:tcW w:type="dxa" w:w="2494"/>
          </w:tcPr>
          <w:p>
            <w:pPr>
              <w:spacing w:after="0" w:line="252" w:lineRule="auto"/>
            </w:pPr>
            <w:r>
              <w:rPr>
                <w:rFonts w:ascii="Calibri" w:hAnsi="Calibri"/>
                <w:b w:val="0"/>
                <w:i w:val="0"/>
                <w:color w:val="333333"/>
                <w:sz w:val="18"/>
              </w:rPr>
              <w:t>Identifiée et chiffrée</w:t>
            </w:r>
          </w:p>
        </w:tc>
        <w:tc>
          <w:tcPr>
            <w:tcW w:type="dxa" w:w="2721"/>
          </w:tcPr>
          <w:p>
            <w:pPr>
              <w:spacing w:after="0" w:line="252" w:lineRule="auto"/>
            </w:pPr>
            <w:r>
              <w:rPr>
                <w:rFonts w:ascii="Calibri" w:hAnsi="Calibri"/>
                <w:b w:val="0"/>
                <w:i w:val="0"/>
                <w:color w:val="333333"/>
                <w:sz w:val="18"/>
              </w:rPr>
              <w:t xml:space="preserve">435 références sur les 689 qui vendent, soit 63 %, font 80 % du chiffre d'affaires : une concentration faible</w:t>
            </w:r>
          </w:p>
        </w:tc>
        <w:tc>
          <w:tcPr>
            <w:tcW w:type="dxa" w:w="1020"/>
          </w:tcPr>
          <w:p>
            <w:pPr>
              <w:spacing w:after="0" w:line="252" w:lineRule="auto"/>
            </w:pPr>
            <w:r>
              <w:rPr>
                <w:rFonts w:ascii="Calibri" w:hAnsi="Calibri"/>
                <w:b w:val="0"/>
                <w:i w:val="0"/>
                <w:color w:val="333333"/>
                <w:sz w:val="18"/>
              </w:rPr>
              <w:t>Oui</w:t>
            </w:r>
          </w:p>
        </w:tc>
      </w:tr>
    </w:tbl>
    <w:p>
      <w:pPr>
        <w:spacing w:after="40"/>
      </w:pPr>
    </w:p>
    <w:p>
      <w:pPr>
        <w:pStyle w:val="Heading2"/>
      </w:pPr>
      <w:bookmarkStart w:id="7013" w:name="_TocP130013"/>
      <w:r>
        <w:t>5.3 Indicateurs opérationnels</w:t>
      </w:r>
      <w:bookmarkEnd w:id="7013"/>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2324"/>
        <w:gridCol w:w="2324"/>
        <w:gridCol w:w="2324"/>
        <w:gridCol w:w="2324"/>
      </w:tblGrid>
      <w:tr>
        <w:trPr>
          <w:cantSplit/>
          <w:tblHeader w:val="true"/>
        </w:trPr>
        <w:tc>
          <w:tcPr>
            <w:tcW w:type="dxa" w:w="3061"/>
            <w:shd w:val="clear" w:color="auto" w:fill="1F2937"/>
          </w:tcPr>
          <w:p>
            <w:pPr>
              <w:spacing w:after="0"/>
            </w:pPr>
            <w:r>
              <w:rPr>
                <w:rFonts w:ascii="Calibri" w:hAnsi="Calibri"/>
                <w:b/>
                <w:color w:val="FFFFFF"/>
                <w:sz w:val="18"/>
              </w:rPr>
              <w:t>Indicateur</w:t>
            </w:r>
          </w:p>
        </w:tc>
        <w:tc>
          <w:tcPr>
            <w:tcW w:type="dxa" w:w="2494"/>
            <w:shd w:val="clear" w:color="auto" w:fill="1F2937"/>
          </w:tcPr>
          <w:p>
            <w:pPr>
              <w:spacing w:after="0"/>
            </w:pPr>
            <w:r>
              <w:rPr>
                <w:rFonts w:ascii="Calibri" w:hAnsi="Calibri"/>
                <w:b/>
                <w:color w:val="FFFFFF"/>
                <w:sz w:val="18"/>
              </w:rPr>
              <w:t>Seuil d'acceptation</w:t>
            </w:r>
          </w:p>
        </w:tc>
        <w:tc>
          <w:tcPr>
            <w:tcW w:type="dxa" w:w="2721"/>
            <w:shd w:val="clear" w:color="auto" w:fill="1F2937"/>
          </w:tcPr>
          <w:p>
            <w:pPr>
              <w:spacing w:after="0"/>
            </w:pPr>
            <w:r>
              <w:rPr>
                <w:rFonts w:ascii="Calibri" w:hAnsi="Calibri"/>
                <w:b/>
                <w:color w:val="FFFFFF"/>
                <w:sz w:val="18"/>
              </w:rPr>
              <w:t>Valeur mesurée</w:t>
            </w:r>
          </w:p>
        </w:tc>
        <w:tc>
          <w:tcPr>
            <w:tcW w:type="dxa" w:w="1020"/>
            <w:shd w:val="clear" w:color="auto" w:fill="1F2937"/>
          </w:tcPr>
          <w:p>
            <w:pPr>
              <w:spacing w:after="0"/>
            </w:pPr>
            <w:r>
              <w:rPr>
                <w:rFonts w:ascii="Calibri" w:hAnsi="Calibri"/>
                <w:b/>
                <w:color w:val="FFFFFF"/>
                <w:sz w:val="18"/>
              </w:rPr>
              <w:t>Atteint</w:t>
            </w:r>
          </w:p>
        </w:tc>
      </w:tr>
      <w:tr>
        <w:trPr>
          <w:cantSplit/>
        </w:trPr>
        <w:tc>
          <w:tcPr>
            <w:tcW w:type="dxa" w:w="3061"/>
          </w:tcPr>
          <w:p>
            <w:pPr>
              <w:spacing w:after="0" w:line="252" w:lineRule="auto"/>
            </w:pPr>
            <w:r>
              <w:rPr>
                <w:rFonts w:ascii="Calibri" w:hAnsi="Calibri"/>
                <w:b w:val="0"/>
                <w:i w:val="0"/>
                <w:color w:val="333333"/>
                <w:sz w:val="18"/>
              </w:rPr>
              <w:t>Temps d'exécution à la volumétrie réelle</w:t>
            </w:r>
          </w:p>
        </w:tc>
        <w:tc>
          <w:tcPr>
            <w:tcW w:type="dxa" w:w="2494"/>
          </w:tcPr>
          <w:p>
            <w:pPr>
              <w:spacing w:after="0" w:line="252" w:lineRule="auto"/>
            </w:pPr>
            <w:r>
              <w:rPr>
                <w:rFonts w:ascii="Calibri" w:hAnsi="Calibri"/>
                <w:b w:val="0"/>
                <w:i w:val="0"/>
                <w:color w:val="333333"/>
                <w:sz w:val="18"/>
              </w:rPr>
              <w:t>Moins d'une seconde</w:t>
            </w:r>
          </w:p>
        </w:tc>
        <w:tc>
          <w:tcPr>
            <w:tcW w:type="dxa" w:w="2721"/>
          </w:tcPr>
          <w:p>
            <w:pPr>
              <w:spacing w:after="0" w:line="252" w:lineRule="auto"/>
            </w:pPr>
            <w:r>
              <w:rPr>
                <w:rFonts w:ascii="Calibri" w:hAnsi="Calibri"/>
                <w:b w:val="0"/>
                <w:i w:val="0"/>
                <w:color w:val="333333"/>
                <w:sz w:val="18"/>
              </w:rPr>
              <w:t xml:space="preserve">Moins de 40 millisecondes pour les trois outils testés (9,9, 2,5 et 32,3 ms dans l'exécution livrée)</w:t>
            </w:r>
          </w:p>
        </w:tc>
        <w:tc>
          <w:tcPr>
            <w:tcW w:type="dxa" w:w="1020"/>
          </w:tcPr>
          <w:p>
            <w:pPr>
              <w:spacing w:after="0" w:line="252" w:lineRule="auto"/>
            </w:pPr>
            <w:r>
              <w:rPr>
                <w:rFonts w:ascii="Calibri" w:hAnsi="Calibri"/>
                <w:b w:val="0"/>
                <w:i w:val="0"/>
                <w:color w:val="333333"/>
                <w:sz w:val="18"/>
              </w:rPr>
              <w:t>Oui</w:t>
            </w:r>
          </w:p>
        </w:tc>
      </w:tr>
      <w:tr>
        <w:trPr>
          <w:cantSplit/>
        </w:trPr>
        <w:tc>
          <w:tcPr>
            <w:tcW w:type="dxa" w:w="3061"/>
            <w:shd w:val="clear" w:color="auto" w:fill="F1F5F9"/>
          </w:tcPr>
          <w:p>
            <w:pPr>
              <w:spacing w:after="0" w:line="252" w:lineRule="auto"/>
            </w:pPr>
            <w:r>
              <w:rPr>
                <w:rFonts w:ascii="Calibri" w:hAnsi="Calibri"/>
                <w:b w:val="0"/>
                <w:i w:val="0"/>
                <w:color w:val="333333"/>
                <w:sz w:val="18"/>
              </w:rPr>
              <w:t xml:space="preserve">Accélération possible en cas de montée en charge</w:t>
            </w:r>
          </w:p>
        </w:tc>
        <w:tc>
          <w:tcPr>
            <w:tcW w:type="dxa" w:w="2494"/>
            <w:shd w:val="clear" w:color="auto" w:fill="F1F5F9"/>
          </w:tcPr>
          <w:p>
            <w:pPr>
              <w:spacing w:after="0" w:line="252" w:lineRule="auto"/>
            </w:pPr>
            <w:r>
              <w:rPr>
                <w:rFonts w:ascii="Calibri" w:hAnsi="Calibri"/>
                <w:b w:val="0"/>
                <w:i w:val="0"/>
                <w:color w:val="333333"/>
                <w:sz w:val="18"/>
              </w:rPr>
              <w:t>Au moins un facteur 3</w:t>
            </w:r>
          </w:p>
        </w:tc>
        <w:tc>
          <w:tcPr>
            <w:tcW w:type="dxa" w:w="2721"/>
            <w:shd w:val="clear" w:color="auto" w:fill="F1F5F9"/>
          </w:tcPr>
          <w:p>
            <w:pPr>
              <w:spacing w:after="0" w:line="252" w:lineRule="auto"/>
            </w:pPr>
            <w:r>
              <w:rPr>
                <w:rFonts w:ascii="Calibri" w:hAnsi="Calibri"/>
                <w:b w:val="0"/>
                <w:i w:val="0"/>
                <w:color w:val="333333"/>
                <w:sz w:val="18"/>
              </w:rPr>
              <w:t xml:space="preserve">À deux millions de lignes, Polars 4,1 fois et DuckDB 2,9 fois plus rapides que pandas dans l'exécution livrée ; 8,1 et 5,7 fois sur mon poste le 25 septembre. Le gain dépend de la machine</w:t>
            </w:r>
          </w:p>
        </w:tc>
        <w:tc>
          <w:tcPr>
            <w:tcW w:type="dxa" w:w="1020"/>
            <w:shd w:val="clear" w:color="auto" w:fill="F1F5F9"/>
          </w:tcPr>
          <w:p>
            <w:pPr>
              <w:spacing w:after="0" w:line="252" w:lineRule="auto"/>
            </w:pPr>
            <w:r>
              <w:rPr>
                <w:rFonts w:ascii="Calibri" w:hAnsi="Calibri"/>
                <w:b w:val="0"/>
                <w:i w:val="0"/>
                <w:color w:val="333333"/>
                <w:sz w:val="18"/>
              </w:rPr>
              <w:t>Oui</w:t>
            </w:r>
          </w:p>
        </w:tc>
      </w:tr>
      <w:tr>
        <w:trPr>
          <w:cantSplit/>
        </w:trPr>
        <w:tc>
          <w:tcPr>
            <w:tcW w:type="dxa" w:w="3061"/>
          </w:tcPr>
          <w:p>
            <w:pPr>
              <w:spacing w:after="0" w:line="252" w:lineRule="auto"/>
            </w:pPr>
            <w:r>
              <w:rPr>
                <w:rFonts w:ascii="Calibri" w:hAnsi="Calibri"/>
                <w:b w:val="0"/>
                <w:i w:val="0"/>
                <w:color w:val="333333"/>
                <w:sz w:val="18"/>
              </w:rPr>
              <w:t>Reproductibilité</w:t>
            </w:r>
          </w:p>
        </w:tc>
        <w:tc>
          <w:tcPr>
            <w:tcW w:type="dxa" w:w="2494"/>
          </w:tcPr>
          <w:p>
            <w:pPr>
              <w:spacing w:after="0" w:line="252" w:lineRule="auto"/>
            </w:pPr>
            <w:r>
              <w:rPr>
                <w:rFonts w:ascii="Calibri" w:hAnsi="Calibri"/>
                <w:b w:val="0"/>
                <w:i w:val="0"/>
                <w:color w:val="333333"/>
                <w:sz w:val="18"/>
              </w:rPr>
              <w:t xml:space="preserve">Mêmes résultats à chaque exécution</w:t>
            </w:r>
          </w:p>
        </w:tc>
        <w:tc>
          <w:tcPr>
            <w:tcW w:type="dxa" w:w="2721"/>
          </w:tcPr>
          <w:p>
            <w:pPr>
              <w:spacing w:after="0" w:line="252" w:lineRule="auto"/>
            </w:pPr>
            <w:r>
              <w:rPr>
                <w:rFonts w:ascii="Calibri" w:hAnsi="Calibri"/>
                <w:b w:val="0"/>
                <w:i w:val="0"/>
                <w:color w:val="333333"/>
                <w:sz w:val="18"/>
              </w:rPr>
              <w:t xml:space="preserve">Versions listées, graine fixée à 42, chemins relatifs ; mêmes résultats sur mon poste le 25 septembre, avec d'autres versions, puis dans un environnement neuf installé avec le requirements.txt, le 28 septembre chez l'assistant et le 30 septembre sur mon poste (jalon J4)</w:t>
            </w:r>
          </w:p>
        </w:tc>
        <w:tc>
          <w:tcPr>
            <w:tcW w:type="dxa" w:w="1020"/>
          </w:tcPr>
          <w:p>
            <w:pPr>
              <w:spacing w:after="0" w:line="252" w:lineRule="auto"/>
            </w:pPr>
            <w:r>
              <w:rPr>
                <w:rFonts w:ascii="Calibri" w:hAnsi="Calibri"/>
                <w:b w:val="0"/>
                <w:i w:val="0"/>
                <w:color w:val="333333"/>
                <w:sz w:val="18"/>
              </w:rPr>
              <w:t>Oui</w:t>
            </w:r>
          </w:p>
        </w:tc>
      </w:tr>
      <w:tr>
        <w:trPr>
          <w:cantSplit/>
        </w:trPr>
        <w:tc>
          <w:tcPr>
            <w:tcW w:type="dxa" w:w="3061"/>
            <w:shd w:val="clear" w:color="auto" w:fill="F1F5F9"/>
          </w:tcPr>
          <w:p>
            <w:pPr>
              <w:spacing w:after="0" w:line="252" w:lineRule="auto"/>
            </w:pPr>
            <w:r>
              <w:rPr>
                <w:rFonts w:ascii="Calibri" w:hAnsi="Calibri"/>
                <w:b w:val="0"/>
                <w:i w:val="0"/>
                <w:color w:val="333333"/>
                <w:sz w:val="18"/>
              </w:rPr>
              <w:t>Clarté de la restitution</w:t>
            </w:r>
          </w:p>
        </w:tc>
        <w:tc>
          <w:tcPr>
            <w:tcW w:type="dxa" w:w="2494"/>
            <w:shd w:val="clear" w:color="auto" w:fill="F1F5F9"/>
          </w:tcPr>
          <w:p>
            <w:pPr>
              <w:spacing w:after="0" w:line="252" w:lineRule="auto"/>
            </w:pPr>
            <w:r>
              <w:rPr>
                <w:rFonts w:ascii="Calibri" w:hAnsi="Calibri"/>
                <w:b w:val="0"/>
                <w:i w:val="0"/>
                <w:color w:val="333333"/>
                <w:sz w:val="18"/>
              </w:rPr>
              <w:t>Exploitable par un lecteur non technique</w:t>
            </w:r>
          </w:p>
        </w:tc>
        <w:tc>
          <w:tcPr>
            <w:tcW w:type="dxa" w:w="2721"/>
            <w:shd w:val="clear" w:color="auto" w:fill="F1F5F9"/>
          </w:tcPr>
          <w:p>
            <w:pPr>
              <w:spacing w:after="0" w:line="252" w:lineRule="auto"/>
            </w:pPr>
            <w:r>
              <w:rPr>
                <w:rFonts w:ascii="Calibri" w:hAnsi="Calibri"/>
                <w:b w:val="0"/>
                <w:i w:val="0"/>
                <w:color w:val="333333"/>
                <w:sz w:val="18"/>
              </w:rPr>
              <w:t xml:space="preserve">Notebook narratif, guide, glossaire ; mise en situation du 7 octobre : cinq critères sur cinq</w:t>
            </w:r>
          </w:p>
        </w:tc>
        <w:tc>
          <w:tcPr>
            <w:tcW w:type="dxa" w:w="1020"/>
            <w:shd w:val="clear" w:color="auto" w:fill="F1F5F9"/>
          </w:tcPr>
          <w:p>
            <w:pPr>
              <w:spacing w:after="0" w:line="252" w:lineRule="auto"/>
            </w:pPr>
            <w:r>
              <w:rPr>
                <w:rFonts w:ascii="Calibri" w:hAnsi="Calibri"/>
                <w:b w:val="0"/>
                <w:i w:val="0"/>
                <w:color w:val="333333"/>
                <w:sz w:val="18"/>
              </w:rPr>
              <w:t xml:space="preserve">Oui</w:t>
            </w:r>
          </w:p>
        </w:tc>
      </w:tr>
    </w:tbl>
    <w:p>
      <w:pPr>
        <w:spacing w:after="40"/>
      </w:pPr>
    </w:p>
    <w:p>
      <w:pPr>
        <w:pStyle w:val="Heading1"/>
      </w:pPr>
      <w:bookmarkStart w:id="7014" w:name="_TocP130014"/>
      <w:r>
        <w:t>6. Livrables et jalons</w:t>
      </w:r>
      <w:bookmarkEnd w:id="7014"/>
    </w:p>
    <w:p>
      <w:r>
        <w:rPr>
          <w:rFonts w:ascii="Calibri" w:hAnsi="Calibri"/>
          <w:b w:val="0"/>
          <w:i w:val="0"/>
          <w:color w:val="333333"/>
          <w:sz w:val="21"/>
        </w:rPr>
        <w:t xml:space="preserve">Cinq jalons sur quatre semaines de travail, du 14 septembre au 9 octobre 2026. Les séances de mentorat ont eu lieu en fin de semaines 1, 2 et 3, les vendredis 18 septembre, 25 septembre et 2 octobre ; la soutenance, le vendredi 16 octobre. Aucun jalon n'est validé avant le précédent : J1 l'a été en séance 1, J2 et J3 en séance 2, J4 en séance 3, après sa réussite sur mon poste le 30 septembre ; J5 le sera à la soutenance. La gestion de projet reprend cette numérotation (frise, figure 3).</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2324"/>
        <w:gridCol w:w="2324"/>
        <w:gridCol w:w="2324"/>
        <w:gridCol w:w="2324"/>
      </w:tblGrid>
      <w:tr>
        <w:trPr>
          <w:cantSplit/>
          <w:tblHeader w:val="true"/>
        </w:trPr>
        <w:tc>
          <w:tcPr>
            <w:tcW w:type="dxa" w:w="1701"/>
            <w:shd w:val="clear" w:color="auto" w:fill="1F2937"/>
          </w:tcPr>
          <w:p>
            <w:pPr>
              <w:spacing w:after="0"/>
            </w:pPr>
            <w:r>
              <w:rPr>
                <w:rFonts w:ascii="Calibri" w:hAnsi="Calibri"/>
                <w:b/>
                <w:color w:val="FFFFFF"/>
                <w:sz w:val="18"/>
              </w:rPr>
              <w:t>Jalon</w:t>
            </w:r>
          </w:p>
        </w:tc>
        <w:tc>
          <w:tcPr>
            <w:tcW w:type="dxa" w:w="3175"/>
            <w:shd w:val="clear" w:color="auto" w:fill="1F2937"/>
          </w:tcPr>
          <w:p>
            <w:pPr>
              <w:spacing w:after="0"/>
            </w:pPr>
            <w:r>
              <w:rPr>
                <w:rFonts w:ascii="Calibri" w:hAnsi="Calibri"/>
                <w:b/>
                <w:color w:val="FFFFFF"/>
                <w:sz w:val="18"/>
              </w:rPr>
              <w:t>Contenu validé</w:t>
            </w:r>
          </w:p>
        </w:tc>
        <w:tc>
          <w:tcPr>
            <w:tcW w:type="dxa" w:w="3175"/>
            <w:shd w:val="clear" w:color="auto" w:fill="1F2937"/>
          </w:tcPr>
          <w:p>
            <w:pPr>
              <w:spacing w:after="0"/>
            </w:pPr>
            <w:r>
              <w:rPr>
                <w:rFonts w:ascii="Calibri" w:hAnsi="Calibri"/>
                <w:b/>
                <w:color w:val="FFFFFF"/>
                <w:sz w:val="18"/>
              </w:rPr>
              <w:t>Livrable de sortie</w:t>
            </w:r>
          </w:p>
        </w:tc>
        <w:tc>
          <w:tcPr>
            <w:tcW w:type="dxa" w:w="1247"/>
            <w:shd w:val="clear" w:color="auto" w:fill="1F2937"/>
          </w:tcPr>
          <w:p>
            <w:pPr>
              <w:spacing w:after="0"/>
            </w:pPr>
            <w:r>
              <w:rPr>
                <w:rFonts w:ascii="Calibri" w:hAnsi="Calibri"/>
                <w:b/>
                <w:color w:val="FFFFFF"/>
                <w:sz w:val="18"/>
              </w:rPr>
              <w:t>Semaine et séance</w:t>
            </w:r>
          </w:p>
        </w:tc>
      </w:tr>
      <w:tr>
        <w:trPr>
          <w:cantSplit/>
        </w:trPr>
        <w:tc>
          <w:tcPr>
            <w:tcW w:type="dxa" w:w="1701"/>
          </w:tcPr>
          <w:p>
            <w:pPr>
              <w:spacing w:after="0" w:line="252" w:lineRule="auto"/>
            </w:pPr>
            <w:r>
              <w:rPr>
                <w:rFonts w:ascii="Calibri" w:hAnsi="Calibri"/>
                <w:b w:val="0"/>
                <w:i w:val="0"/>
                <w:color w:val="333333"/>
                <w:sz w:val="18"/>
              </w:rPr>
              <w:t>J1, cadrage</w:t>
            </w:r>
          </w:p>
        </w:tc>
        <w:tc>
          <w:tcPr>
            <w:tcW w:type="dxa" w:w="3175"/>
          </w:tcPr>
          <w:p>
            <w:pPr>
              <w:spacing w:after="0" w:line="252" w:lineRule="auto"/>
            </w:pPr>
            <w:r>
              <w:rPr>
                <w:rFonts w:ascii="Calibri" w:hAnsi="Calibri"/>
                <w:b w:val="0"/>
                <w:i w:val="0"/>
                <w:color w:val="333333"/>
                <w:sz w:val="18"/>
              </w:rPr>
              <w:t>Question de veille, besoin métier reformulé, priorités classées</w:t>
            </w:r>
          </w:p>
        </w:tc>
        <w:tc>
          <w:tcPr>
            <w:tcW w:type="dxa" w:w="3175"/>
          </w:tcPr>
          <w:p>
            <w:pPr>
              <w:spacing w:after="0" w:line="252" w:lineRule="auto"/>
            </w:pPr>
            <w:r>
              <w:rPr>
                <w:rFonts w:ascii="Calibri" w:hAnsi="Calibri"/>
                <w:b w:val="0"/>
                <w:i w:val="0"/>
                <w:color w:val="333333"/>
                <w:sz w:val="18"/>
              </w:rPr>
              <w:t>Document de veille et cahier des charges fonctionnel</w:t>
            </w:r>
          </w:p>
        </w:tc>
        <w:tc>
          <w:tcPr>
            <w:tcW w:type="dxa" w:w="1247"/>
          </w:tcPr>
          <w:p>
            <w:pPr>
              <w:spacing w:after="0" w:line="252" w:lineRule="auto"/>
            </w:pPr>
            <w:r>
              <w:rPr>
                <w:rFonts w:ascii="Calibri" w:hAnsi="Calibri"/>
                <w:b w:val="0"/>
                <w:i w:val="0"/>
                <w:color w:val="333333"/>
                <w:sz w:val="18"/>
              </w:rPr>
              <w:t xml:space="preserve">1, validé en séance le 18 septembre</w:t>
            </w:r>
          </w:p>
        </w:tc>
      </w:tr>
      <w:tr>
        <w:trPr>
          <w:cantSplit/>
        </w:trPr>
        <w:tc>
          <w:tcPr>
            <w:tcW w:type="dxa" w:w="1701"/>
            <w:shd w:val="clear" w:color="auto" w:fill="F1F5F9"/>
          </w:tcPr>
          <w:p>
            <w:pPr>
              <w:spacing w:after="0" w:line="252" w:lineRule="auto"/>
            </w:pPr>
            <w:r>
              <w:rPr>
                <w:rFonts w:ascii="Calibri" w:hAnsi="Calibri"/>
                <w:b w:val="0"/>
                <w:i w:val="0"/>
                <w:color w:val="333333"/>
                <w:sz w:val="18"/>
              </w:rPr>
              <w:t>J2, audit qualité</w:t>
            </w:r>
          </w:p>
        </w:tc>
        <w:tc>
          <w:tcPr>
            <w:tcW w:type="dxa" w:w="3175"/>
            <w:shd w:val="clear" w:color="auto" w:fill="F1F5F9"/>
          </w:tcPr>
          <w:p>
            <w:pPr>
              <w:spacing w:after="0" w:line="252" w:lineRule="auto"/>
            </w:pPr>
            <w:r>
              <w:rPr>
                <w:rFonts w:ascii="Calibri" w:hAnsi="Calibri"/>
                <w:b w:val="0"/>
                <w:i w:val="0"/>
                <w:color w:val="333333"/>
                <w:sz w:val="18"/>
              </w:rPr>
              <w:t xml:space="preserve">Anomalies recensées, contrat de qualité rejouable</w:t>
            </w:r>
          </w:p>
        </w:tc>
        <w:tc>
          <w:tcPr>
            <w:tcW w:type="dxa" w:w="3175"/>
            <w:shd w:val="clear" w:color="auto" w:fill="F1F5F9"/>
          </w:tcPr>
          <w:p>
            <w:pPr>
              <w:spacing w:after="0" w:line="252" w:lineRule="auto"/>
            </w:pPr>
            <w:r>
              <w:rPr>
                <w:rFonts w:ascii="Calibri" w:hAnsi="Calibri"/>
                <w:b w:val="0"/>
                <w:i w:val="0"/>
                <w:color w:val="333333"/>
                <w:sz w:val="18"/>
              </w:rPr>
              <w:t xml:space="preserve">Contrat de qualité et rapport d'anomalies</w:t>
            </w:r>
          </w:p>
        </w:tc>
        <w:tc>
          <w:tcPr>
            <w:tcW w:type="dxa" w:w="1247"/>
            <w:shd w:val="clear" w:color="auto" w:fill="F1F5F9"/>
          </w:tcPr>
          <w:p>
            <w:pPr>
              <w:spacing w:after="0" w:line="252" w:lineRule="auto"/>
            </w:pPr>
            <w:r>
              <w:rPr>
                <w:rFonts w:ascii="Calibri" w:hAnsi="Calibri"/>
                <w:b w:val="0"/>
                <w:i w:val="0"/>
                <w:color w:val="333333"/>
                <w:sz w:val="18"/>
              </w:rPr>
              <w:t xml:space="preserve">1 et 2, validé en séance le 25 septembre</w:t>
            </w:r>
          </w:p>
        </w:tc>
      </w:tr>
      <w:tr>
        <w:trPr>
          <w:cantSplit/>
        </w:trPr>
        <w:tc>
          <w:tcPr>
            <w:tcW w:type="dxa" w:w="1701"/>
          </w:tcPr>
          <w:p>
            <w:pPr>
              <w:spacing w:after="0" w:line="252" w:lineRule="auto"/>
            </w:pPr>
            <w:r>
              <w:rPr>
                <w:rFonts w:ascii="Calibri" w:hAnsi="Calibri"/>
                <w:b w:val="0"/>
                <w:i w:val="0"/>
                <w:color w:val="333333"/>
                <w:sz w:val="18"/>
              </w:rPr>
              <w:t>J3, analyse augmentée</w:t>
            </w:r>
          </w:p>
        </w:tc>
        <w:tc>
          <w:tcPr>
            <w:tcW w:type="dxa" w:w="3175"/>
          </w:tcPr>
          <w:p>
            <w:pPr>
              <w:spacing w:after="0" w:line="252" w:lineRule="auto"/>
            </w:pPr>
            <w:r>
              <w:rPr>
                <w:rFonts w:ascii="Calibri" w:hAnsi="Calibri"/>
                <w:b w:val="0"/>
                <w:i w:val="0"/>
                <w:color w:val="333333"/>
                <w:sz w:val="18"/>
              </w:rPr>
              <w:t>Les quatre axes réalisés, mesurés et tranchés</w:t>
            </w:r>
          </w:p>
        </w:tc>
        <w:tc>
          <w:tcPr>
            <w:tcW w:type="dxa" w:w="3175"/>
          </w:tcPr>
          <w:p>
            <w:pPr>
              <w:spacing w:after="0" w:line="252" w:lineRule="auto"/>
            </w:pPr>
            <w:r>
              <w:rPr>
                <w:rFonts w:ascii="Calibri" w:hAnsi="Calibri"/>
                <w:b w:val="0"/>
                <w:i w:val="0"/>
                <w:color w:val="333333"/>
                <w:sz w:val="18"/>
              </w:rPr>
              <w:t>Notebook amélioré, exécuté</w:t>
            </w:r>
          </w:p>
        </w:tc>
        <w:tc>
          <w:tcPr>
            <w:tcW w:type="dxa" w:w="1247"/>
          </w:tcPr>
          <w:p>
            <w:pPr>
              <w:spacing w:after="0" w:line="252" w:lineRule="auto"/>
            </w:pPr>
            <w:r>
              <w:rPr>
                <w:rFonts w:ascii="Calibri" w:hAnsi="Calibri"/>
                <w:b w:val="0"/>
                <w:i w:val="0"/>
                <w:color w:val="333333"/>
                <w:sz w:val="18"/>
              </w:rPr>
              <w:t xml:space="preserve">2, validé en séance le 25 septembre</w:t>
            </w:r>
          </w:p>
        </w:tc>
      </w:tr>
      <w:tr>
        <w:trPr>
          <w:cantSplit/>
        </w:trPr>
        <w:tc>
          <w:tcPr>
            <w:tcW w:type="dxa" w:w="1701"/>
            <w:shd w:val="clear" w:color="auto" w:fill="F1F5F9"/>
          </w:tcPr>
          <w:p>
            <w:pPr>
              <w:spacing w:after="0" w:line="252" w:lineRule="auto"/>
            </w:pPr>
            <w:r>
              <w:rPr>
                <w:rFonts w:ascii="Calibri" w:hAnsi="Calibri"/>
                <w:b w:val="0"/>
                <w:i w:val="0"/>
                <w:color w:val="333333"/>
                <w:sz w:val="18"/>
              </w:rPr>
              <w:t>J4, documentation</w:t>
            </w:r>
          </w:p>
        </w:tc>
        <w:tc>
          <w:tcPr>
            <w:tcW w:type="dxa" w:w="3175"/>
            <w:shd w:val="clear" w:color="auto" w:fill="F1F5F9"/>
          </w:tcPr>
          <w:p>
            <w:pPr>
              <w:spacing w:after="0" w:line="252" w:lineRule="auto"/>
            </w:pPr>
            <w:r>
              <w:rPr>
                <w:rFonts w:ascii="Calibri" w:hAnsi="Calibri"/>
                <w:b w:val="0"/>
                <w:i w:val="0"/>
                <w:color w:val="333333"/>
                <w:sz w:val="18"/>
              </w:rPr>
              <w:t>Journal des essais, limites, procédures, accompagnement</w:t>
            </w:r>
          </w:p>
        </w:tc>
        <w:tc>
          <w:tcPr>
            <w:tcW w:type="dxa" w:w="3175"/>
            <w:shd w:val="clear" w:color="auto" w:fill="F1F5F9"/>
          </w:tcPr>
          <w:p>
            <w:pPr>
              <w:spacing w:after="0" w:line="252" w:lineRule="auto"/>
            </w:pPr>
            <w:r>
              <w:rPr>
                <w:rFonts w:ascii="Calibri" w:hAnsi="Calibri"/>
                <w:b w:val="0"/>
                <w:i w:val="0"/>
                <w:color w:val="333333"/>
                <w:sz w:val="18"/>
              </w:rPr>
              <w:t>Documentation de la démarche et guide de prise en main</w:t>
            </w:r>
          </w:p>
        </w:tc>
        <w:tc>
          <w:tcPr>
            <w:tcW w:type="dxa" w:w="1247"/>
            <w:shd w:val="clear" w:color="auto" w:fill="F1F5F9"/>
          </w:tcPr>
          <w:p>
            <w:pPr>
              <w:spacing w:after="0" w:line="252" w:lineRule="auto"/>
            </w:pPr>
            <w:r>
              <w:rPr>
                <w:rFonts w:ascii="Calibri" w:hAnsi="Calibri"/>
                <w:b w:val="0"/>
                <w:i w:val="0"/>
                <w:color w:val="333333"/>
                <w:sz w:val="18"/>
              </w:rPr>
              <w:t xml:space="preserve">2 et 3, réussi le 30 septembre, validé en séance le 2 octobre</w:t>
            </w:r>
          </w:p>
        </w:tc>
      </w:tr>
      <w:tr>
        <w:trPr>
          <w:cantSplit/>
        </w:trPr>
        <w:tc>
          <w:tcPr>
            <w:tcW w:type="dxa" w:w="1701"/>
          </w:tcPr>
          <w:p>
            <w:pPr>
              <w:spacing w:after="0" w:line="252" w:lineRule="auto"/>
            </w:pPr>
            <w:r>
              <w:rPr>
                <w:rFonts w:ascii="Calibri" w:hAnsi="Calibri"/>
                <w:b w:val="0"/>
                <w:i w:val="0"/>
                <w:color w:val="333333"/>
                <w:sz w:val="18"/>
              </w:rPr>
              <w:t>J5, restitution</w:t>
            </w:r>
          </w:p>
        </w:tc>
        <w:tc>
          <w:tcPr>
            <w:tcW w:type="dxa" w:w="3175"/>
          </w:tcPr>
          <w:p>
            <w:pPr>
              <w:spacing w:after="0" w:line="252" w:lineRule="auto"/>
            </w:pPr>
            <w:r>
              <w:rPr>
                <w:rFonts w:ascii="Calibri" w:hAnsi="Calibri"/>
                <w:b w:val="0"/>
                <w:i w:val="0"/>
                <w:color w:val="333333"/>
                <w:sz w:val="18"/>
              </w:rPr>
              <w:t>Narration des preuves, support et script, minutage tenu</w:t>
            </w:r>
          </w:p>
        </w:tc>
        <w:tc>
          <w:tcPr>
            <w:tcW w:type="dxa" w:w="3175"/>
          </w:tcPr>
          <w:p>
            <w:pPr>
              <w:spacing w:after="0" w:line="252" w:lineRule="auto"/>
            </w:pPr>
            <w:r>
              <w:rPr>
                <w:rFonts w:ascii="Calibri" w:hAnsi="Calibri"/>
                <w:b w:val="0"/>
                <w:i w:val="0"/>
                <w:color w:val="333333"/>
                <w:sz w:val="18"/>
              </w:rPr>
              <w:t>Portfolio, support de soutenance, script oral</w:t>
            </w:r>
          </w:p>
        </w:tc>
        <w:tc>
          <w:tcPr>
            <w:tcW w:type="dxa" w:w="1247"/>
          </w:tcPr>
          <w:p>
            <w:pPr>
              <w:spacing w:after="0" w:line="252" w:lineRule="auto"/>
            </w:pPr>
            <w:r>
              <w:rPr>
                <w:rFonts w:ascii="Calibri" w:hAnsi="Calibri"/>
                <w:b w:val="0"/>
                <w:i w:val="0"/>
                <w:color w:val="333333"/>
                <w:sz w:val="18"/>
              </w:rPr>
              <w:t xml:space="preserve">3 et 4, à la soutenance, le vendredi 16 octobre</w:t>
            </w:r>
          </w:p>
        </w:tc>
      </w:tr>
    </w:tbl>
    <w:p>
      <w:pPr>
        <w:spacing w:after="40"/>
      </w:pPr>
    </w:p>
    <w:p>
      <w:pPr>
        <w:pStyle w:val="Heading1"/>
      </w:pPr>
      <w:bookmarkStart w:id="7015" w:name="_TocP130015"/>
      <w:r>
        <w:t xml:space="preserve">7. Mini-plan de formation et accompagnement des utilisateurs</w:t>
      </w:r>
      <w:bookmarkEnd w:id="7015"/>
    </w:p>
    <w:p>
      <w:r>
        <w:rPr>
          <w:rFonts w:ascii="Calibri" w:hAnsi="Calibri"/>
          <w:b w:val="0"/>
          <w:i w:val="0"/>
          <w:color w:val="333333"/>
          <w:sz w:val="21"/>
        </w:rPr>
        <w:t xml:space="preserve">L'accompagnement fait partie du cahier des charges. Sans lui, les utilisateurs non techniques ne sauront pas lire les résultats. Le but est de les rendre autonomes sur cette lecture, sans en faire des analystes.</w:t>
      </w:r>
    </w:p>
    <w:p>
      <w:pPr>
        <w:pStyle w:val="Heading2"/>
      </w:pPr>
      <w:bookmarkStart w:id="7016" w:name="_TocP130016"/>
      <w:r>
        <w:t>7.1 Identification des besoins de formation</w:t>
      </w:r>
      <w:bookmarkEnd w:id="7016"/>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2324"/>
        <w:gridCol w:w="2324"/>
        <w:gridCol w:w="2324"/>
        <w:gridCol w:w="2324"/>
      </w:tblGrid>
      <w:tr>
        <w:trPr>
          <w:cantSplit/>
          <w:tblHeader w:val="true"/>
        </w:trPr>
        <w:tc>
          <w:tcPr>
            <w:tcW w:type="dxa" w:w="1701"/>
            <w:shd w:val="clear" w:color="auto" w:fill="1F2937"/>
          </w:tcPr>
          <w:p>
            <w:pPr>
              <w:spacing w:after="0"/>
            </w:pPr>
            <w:r>
              <w:rPr>
                <w:rFonts w:ascii="Calibri" w:hAnsi="Calibri"/>
                <w:b/>
                <w:color w:val="FFFFFF"/>
                <w:sz w:val="17"/>
              </w:rPr>
              <w:t>Public</w:t>
            </w:r>
          </w:p>
        </w:tc>
        <w:tc>
          <w:tcPr>
            <w:tcW w:type="dxa" w:w="2381"/>
            <w:shd w:val="clear" w:color="auto" w:fill="1F2937"/>
          </w:tcPr>
          <w:p>
            <w:pPr>
              <w:spacing w:after="0"/>
            </w:pPr>
            <w:r>
              <w:rPr>
                <w:rFonts w:ascii="Calibri" w:hAnsi="Calibri"/>
                <w:b/>
                <w:color w:val="FFFFFF"/>
                <w:sz w:val="17"/>
              </w:rPr>
              <w:t>Ce qu'il sait déjà faire</w:t>
            </w:r>
          </w:p>
        </w:tc>
        <w:tc>
          <w:tcPr>
            <w:tcW w:type="dxa" w:w="2948"/>
            <w:shd w:val="clear" w:color="auto" w:fill="1F2937"/>
          </w:tcPr>
          <w:p>
            <w:pPr>
              <w:spacing w:after="0"/>
            </w:pPr>
            <w:r>
              <w:rPr>
                <w:rFonts w:ascii="Calibri" w:hAnsi="Calibri"/>
                <w:b/>
                <w:color w:val="FFFFFF"/>
                <w:sz w:val="17"/>
              </w:rPr>
              <w:t>Ce qu'il doit apprendre</w:t>
            </w:r>
          </w:p>
        </w:tc>
        <w:tc>
          <w:tcPr>
            <w:tcW w:type="dxa" w:w="2268"/>
            <w:shd w:val="clear" w:color="auto" w:fill="1F2937"/>
          </w:tcPr>
          <w:p>
            <w:pPr>
              <w:spacing w:after="0"/>
            </w:pPr>
            <w:r>
              <w:rPr>
                <w:rFonts w:ascii="Calibri" w:hAnsi="Calibri"/>
                <w:b/>
                <w:color w:val="FFFFFF"/>
                <w:sz w:val="17"/>
              </w:rPr>
              <w:t>Difficulté anticipée</w:t>
            </w:r>
          </w:p>
        </w:tc>
      </w:tr>
      <w:tr>
        <w:trPr>
          <w:cantSplit/>
        </w:trPr>
        <w:tc>
          <w:tcPr>
            <w:tcW w:type="dxa" w:w="1701"/>
          </w:tcPr>
          <w:p>
            <w:pPr>
              <w:spacing w:after="0" w:line="252" w:lineRule="auto"/>
            </w:pPr>
            <w:r>
              <w:rPr>
                <w:rFonts w:ascii="Calibri" w:hAnsi="Calibri"/>
                <w:b w:val="0"/>
                <w:i w:val="0"/>
                <w:color w:val="333333"/>
                <w:sz w:val="17"/>
              </w:rPr>
              <w:t>Service achats</w:t>
            </w:r>
          </w:p>
        </w:tc>
        <w:tc>
          <w:tcPr>
            <w:tcW w:type="dxa" w:w="2381"/>
          </w:tcPr>
          <w:p>
            <w:pPr>
              <w:spacing w:after="0" w:line="252" w:lineRule="auto"/>
            </w:pPr>
            <w:r>
              <w:rPr>
                <w:rFonts w:ascii="Calibri" w:hAnsi="Calibri"/>
                <w:b w:val="0"/>
                <w:i w:val="0"/>
                <w:color w:val="333333"/>
                <w:sz w:val="17"/>
              </w:rPr>
              <w:t>Lire un tableau de références et de stocks</w:t>
            </w:r>
          </w:p>
        </w:tc>
        <w:tc>
          <w:tcPr>
            <w:tcW w:type="dxa" w:w="2948"/>
          </w:tcPr>
          <w:p>
            <w:pPr>
              <w:spacing w:after="0" w:line="252" w:lineRule="auto"/>
            </w:pPr>
            <w:r>
              <w:rPr>
                <w:rFonts w:ascii="Calibri" w:hAnsi="Calibri"/>
                <w:b w:val="0"/>
                <w:i w:val="0"/>
                <w:color w:val="333333"/>
                <w:sz w:val="17"/>
              </w:rPr>
              <w:t>Interpréter une concentration de chiffre d'affaires, comprendre un signalement d'anomalie</w:t>
            </w:r>
          </w:p>
        </w:tc>
        <w:tc>
          <w:tcPr>
            <w:tcW w:type="dxa" w:w="2268"/>
          </w:tcPr>
          <w:p>
            <w:pPr>
              <w:spacing w:after="0" w:line="252" w:lineRule="auto"/>
            </w:pPr>
            <w:r>
              <w:rPr>
                <w:rFonts w:ascii="Calibri" w:hAnsi="Calibri"/>
                <w:b w:val="0"/>
                <w:i w:val="0"/>
                <w:color w:val="333333"/>
                <w:sz w:val="17"/>
              </w:rPr>
              <w:t xml:space="preserve">Le mot « anomalie » risque d'être lu comme une erreur avérée alors qu'il signale un doute</w:t>
            </w:r>
          </w:p>
        </w:tc>
      </w:tr>
      <w:tr>
        <w:trPr>
          <w:cantSplit/>
        </w:trPr>
        <w:tc>
          <w:tcPr>
            <w:tcW w:type="dxa" w:w="1701"/>
            <w:shd w:val="clear" w:color="auto" w:fill="F1F5F9"/>
          </w:tcPr>
          <w:p>
            <w:pPr>
              <w:spacing w:after="0" w:line="252" w:lineRule="auto"/>
            </w:pPr>
            <w:r>
              <w:rPr>
                <w:rFonts w:ascii="Calibri" w:hAnsi="Calibri"/>
                <w:b w:val="0"/>
                <w:i w:val="0"/>
                <w:color w:val="333333"/>
                <w:sz w:val="17"/>
              </w:rPr>
              <w:t xml:space="preserve">Comité de direction et Nicolas</w:t>
            </w:r>
          </w:p>
        </w:tc>
        <w:tc>
          <w:tcPr>
            <w:tcW w:type="dxa" w:w="2381"/>
            <w:shd w:val="clear" w:color="auto" w:fill="F1F5F9"/>
          </w:tcPr>
          <w:p>
            <w:pPr>
              <w:spacing w:after="0" w:line="252" w:lineRule="auto"/>
            </w:pPr>
            <w:r>
              <w:rPr>
                <w:rFonts w:ascii="Calibri" w:hAnsi="Calibri"/>
                <w:b w:val="0"/>
                <w:i w:val="0"/>
                <w:color w:val="333333"/>
                <w:sz w:val="17"/>
              </w:rPr>
              <w:t>Lire un indicateur de synthèse</w:t>
            </w:r>
          </w:p>
        </w:tc>
        <w:tc>
          <w:tcPr>
            <w:tcW w:type="dxa" w:w="2948"/>
            <w:shd w:val="clear" w:color="auto" w:fill="F1F5F9"/>
          </w:tcPr>
          <w:p>
            <w:pPr>
              <w:spacing w:after="0" w:line="252" w:lineRule="auto"/>
            </w:pPr>
            <w:r>
              <w:rPr>
                <w:rFonts w:ascii="Calibri" w:hAnsi="Calibri"/>
                <w:b w:val="0"/>
                <w:i w:val="0"/>
                <w:color w:val="333333"/>
                <w:sz w:val="17"/>
              </w:rPr>
              <w:t>Situer le degré de confiance à accorder à un chiffre issu d'un modèle</w:t>
            </w:r>
          </w:p>
        </w:tc>
        <w:tc>
          <w:tcPr>
            <w:tcW w:type="dxa" w:w="2268"/>
            <w:shd w:val="clear" w:color="auto" w:fill="F1F5F9"/>
          </w:tcPr>
          <w:p>
            <w:pPr>
              <w:spacing w:after="0" w:line="252" w:lineRule="auto"/>
            </w:pPr>
            <w:r>
              <w:rPr>
                <w:rFonts w:ascii="Calibri" w:hAnsi="Calibri"/>
                <w:b w:val="0"/>
                <w:i w:val="0"/>
                <w:color w:val="333333"/>
                <w:sz w:val="17"/>
              </w:rPr>
              <w:t>La tentation de traiter un résultat de modèle comme une certitude</w:t>
            </w:r>
          </w:p>
        </w:tc>
      </w:tr>
      <w:tr>
        <w:trPr>
          <w:cantSplit/>
        </w:trPr>
        <w:tc>
          <w:tcPr>
            <w:tcW w:type="dxa" w:w="1701"/>
          </w:tcPr>
          <w:p>
            <w:pPr>
              <w:spacing w:after="0" w:line="252" w:lineRule="auto"/>
            </w:pPr>
            <w:r>
              <w:rPr>
                <w:rFonts w:ascii="Calibri" w:hAnsi="Calibri"/>
                <w:b w:val="0"/>
                <w:i w:val="0"/>
                <w:color w:val="333333"/>
                <w:sz w:val="17"/>
              </w:rPr>
              <w:t>Équipe commerce en ligne</w:t>
            </w:r>
          </w:p>
        </w:tc>
        <w:tc>
          <w:tcPr>
            <w:tcW w:type="dxa" w:w="2381"/>
          </w:tcPr>
          <w:p>
            <w:pPr>
              <w:spacing w:after="0" w:line="252" w:lineRule="auto"/>
            </w:pPr>
            <w:r>
              <w:rPr>
                <w:rFonts w:ascii="Calibri" w:hAnsi="Calibri"/>
                <w:b w:val="0"/>
                <w:i w:val="0"/>
                <w:color w:val="333333"/>
                <w:sz w:val="17"/>
              </w:rPr>
              <w:t>Manipuler le catalogue en ligne</w:t>
            </w:r>
          </w:p>
        </w:tc>
        <w:tc>
          <w:tcPr>
            <w:tcW w:type="dxa" w:w="2948"/>
          </w:tcPr>
          <w:p>
            <w:pPr>
              <w:spacing w:after="0" w:line="252" w:lineRule="auto"/>
            </w:pPr>
            <w:r>
              <w:rPr>
                <w:rFonts w:ascii="Calibri" w:hAnsi="Calibri"/>
                <w:b w:val="0"/>
                <w:i w:val="0"/>
                <w:color w:val="333333"/>
                <w:sz w:val="17"/>
              </w:rPr>
              <w:t>Comprendre l'origine des écarts entre les deux systèmes</w:t>
            </w:r>
          </w:p>
        </w:tc>
        <w:tc>
          <w:tcPr>
            <w:tcW w:type="dxa" w:w="2268"/>
          </w:tcPr>
          <w:p>
            <w:pPr>
              <w:spacing w:after="0" w:line="252" w:lineRule="auto"/>
            </w:pPr>
            <w:r>
              <w:rPr>
                <w:rFonts w:ascii="Calibri" w:hAnsi="Calibri"/>
                <w:b w:val="0"/>
                <w:i w:val="0"/>
                <w:color w:val="333333"/>
                <w:sz w:val="17"/>
              </w:rPr>
              <w:t>Attribuer les écarts à l'autre système plutôt qu'aux règles de saisie</w:t>
            </w:r>
          </w:p>
        </w:tc>
      </w:tr>
    </w:tbl>
    <w:p>
      <w:pPr>
        <w:spacing w:after="40"/>
      </w:pPr>
    </w:p>
    <w:p>
      <w:pPr>
        <w:pStyle w:val="Heading2"/>
      </w:pPr>
      <w:bookmarkStart w:id="7017" w:name="_TocP130017"/>
      <w:r>
        <w:t xml:space="preserve">7.2 Mini-plan de formation en quatre séquences</w:t>
      </w:r>
      <w:bookmarkEnd w:id="7017"/>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2324"/>
        <w:gridCol w:w="2324"/>
        <w:gridCol w:w="2324"/>
        <w:gridCol w:w="2324"/>
      </w:tblGrid>
      <w:tr>
        <w:trPr>
          <w:cantSplit/>
          <w:tblHeader w:val="true"/>
        </w:trPr>
        <w:tc>
          <w:tcPr>
            <w:tcW w:type="dxa" w:w="2608"/>
            <w:shd w:val="clear" w:color="auto" w:fill="1F2937"/>
          </w:tcPr>
          <w:p>
            <w:pPr>
              <w:spacing w:after="0"/>
            </w:pPr>
            <w:r>
              <w:rPr>
                <w:rFonts w:ascii="Calibri" w:hAnsi="Calibri"/>
                <w:b/>
                <w:color w:val="FFFFFF"/>
                <w:sz w:val="17"/>
              </w:rPr>
              <w:t>Séquence</w:t>
            </w:r>
          </w:p>
        </w:tc>
        <w:tc>
          <w:tcPr>
            <w:tcW w:type="dxa" w:w="1587"/>
            <w:shd w:val="clear" w:color="auto" w:fill="1F2937"/>
          </w:tcPr>
          <w:p>
            <w:pPr>
              <w:spacing w:after="0"/>
            </w:pPr>
            <w:r>
              <w:rPr>
                <w:rFonts w:ascii="Calibri" w:hAnsi="Calibri"/>
                <w:b/>
                <w:color w:val="FFFFFF"/>
                <w:sz w:val="17"/>
              </w:rPr>
              <w:t>Public</w:t>
            </w:r>
          </w:p>
        </w:tc>
        <w:tc>
          <w:tcPr>
            <w:tcW w:type="dxa" w:w="2154"/>
            <w:shd w:val="clear" w:color="auto" w:fill="1F2937"/>
          </w:tcPr>
          <w:p>
            <w:pPr>
              <w:spacing w:after="0"/>
            </w:pPr>
            <w:r>
              <w:rPr>
                <w:rFonts w:ascii="Calibri" w:hAnsi="Calibri"/>
                <w:b/>
                <w:color w:val="FFFFFF"/>
                <w:sz w:val="17"/>
              </w:rPr>
              <w:t>Format et durée</w:t>
            </w:r>
          </w:p>
        </w:tc>
        <w:tc>
          <w:tcPr>
            <w:tcW w:type="dxa" w:w="2948"/>
            <w:shd w:val="clear" w:color="auto" w:fill="1F2937"/>
          </w:tcPr>
          <w:p>
            <w:pPr>
              <w:spacing w:after="0"/>
            </w:pPr>
            <w:r>
              <w:rPr>
                <w:rFonts w:ascii="Calibri" w:hAnsi="Calibri"/>
                <w:b/>
                <w:color w:val="FFFFFF"/>
                <w:sz w:val="17"/>
              </w:rPr>
              <w:t>Dispositions d'accessibilité</w:t>
            </w:r>
          </w:p>
        </w:tc>
      </w:tr>
      <w:tr>
        <w:trPr>
          <w:cantSplit/>
        </w:trPr>
        <w:tc>
          <w:tcPr>
            <w:tcW w:type="dxa" w:w="2608"/>
          </w:tcPr>
          <w:p>
            <w:pPr>
              <w:spacing w:after="0" w:line="252" w:lineRule="auto"/>
            </w:pPr>
            <w:r>
              <w:rPr>
                <w:rFonts w:ascii="Calibri" w:hAnsi="Calibri"/>
                <w:b w:val="0"/>
                <w:i w:val="0"/>
                <w:color w:val="333333"/>
                <w:sz w:val="17"/>
              </w:rPr>
              <w:t>1. Lire la vue produit unifiée et le chiffre d'affaires</w:t>
            </w:r>
          </w:p>
        </w:tc>
        <w:tc>
          <w:tcPr>
            <w:tcW w:type="dxa" w:w="1587"/>
          </w:tcPr>
          <w:p>
            <w:pPr>
              <w:spacing w:after="0" w:line="252" w:lineRule="auto"/>
            </w:pPr>
            <w:r>
              <w:rPr>
                <w:rFonts w:ascii="Calibri" w:hAnsi="Calibri"/>
                <w:b w:val="0"/>
                <w:i w:val="0"/>
                <w:color w:val="333333"/>
                <w:sz w:val="17"/>
              </w:rPr>
              <w:t>Achats et direction</w:t>
            </w:r>
          </w:p>
        </w:tc>
        <w:tc>
          <w:tcPr>
            <w:tcW w:type="dxa" w:w="2154"/>
          </w:tcPr>
          <w:p>
            <w:pPr>
              <w:spacing w:after="0" w:line="252" w:lineRule="auto"/>
            </w:pPr>
            <w:r>
              <w:rPr>
                <w:rFonts w:ascii="Calibri" w:hAnsi="Calibri"/>
                <w:b w:val="0"/>
                <w:i w:val="0"/>
                <w:color w:val="333333"/>
                <w:sz w:val="17"/>
              </w:rPr>
              <w:t>Atelier de 45 minutes et fiche d'une page</w:t>
            </w:r>
          </w:p>
        </w:tc>
        <w:tc>
          <w:tcPr>
            <w:tcW w:type="dxa" w:w="2948"/>
          </w:tcPr>
          <w:p>
            <w:pPr>
              <w:spacing w:after="0" w:line="252" w:lineRule="auto"/>
            </w:pPr>
            <w:r>
              <w:rPr>
                <w:rFonts w:ascii="Calibri" w:hAnsi="Calibri"/>
                <w:b w:val="0"/>
                <w:i w:val="0"/>
                <w:color w:val="333333"/>
                <w:sz w:val="17"/>
              </w:rPr>
              <w:t>Police lisible, contrastes renforcés, fiche imprimable en noir et blanc</w:t>
            </w:r>
          </w:p>
        </w:tc>
      </w:tr>
      <w:tr>
        <w:trPr>
          <w:cantSplit/>
        </w:trPr>
        <w:tc>
          <w:tcPr>
            <w:tcW w:type="dxa" w:w="2608"/>
            <w:shd w:val="clear" w:color="auto" w:fill="F1F5F9"/>
          </w:tcPr>
          <w:p>
            <w:pPr>
              <w:spacing w:after="0" w:line="252" w:lineRule="auto"/>
            </w:pPr>
            <w:r>
              <w:rPr>
                <w:rFonts w:ascii="Calibri" w:hAnsi="Calibri"/>
                <w:b w:val="0"/>
                <w:i w:val="0"/>
                <w:color w:val="333333"/>
                <w:sz w:val="17"/>
              </w:rPr>
              <w:t>2. Comprendre les références qui portent la performance</w:t>
            </w:r>
          </w:p>
        </w:tc>
        <w:tc>
          <w:tcPr>
            <w:tcW w:type="dxa" w:w="1587"/>
            <w:shd w:val="clear" w:color="auto" w:fill="F1F5F9"/>
          </w:tcPr>
          <w:p>
            <w:pPr>
              <w:spacing w:after="0" w:line="252" w:lineRule="auto"/>
            </w:pPr>
            <w:r>
              <w:rPr>
                <w:rFonts w:ascii="Calibri" w:hAnsi="Calibri"/>
                <w:b w:val="0"/>
                <w:i w:val="0"/>
                <w:color w:val="333333"/>
                <w:sz w:val="17"/>
              </w:rPr>
              <w:t>Achats</w:t>
            </w:r>
          </w:p>
        </w:tc>
        <w:tc>
          <w:tcPr>
            <w:tcW w:type="dxa" w:w="2154"/>
            <w:shd w:val="clear" w:color="auto" w:fill="F1F5F9"/>
          </w:tcPr>
          <w:p>
            <w:pPr>
              <w:spacing w:after="0" w:line="252" w:lineRule="auto"/>
            </w:pPr>
            <w:r>
              <w:rPr>
                <w:rFonts w:ascii="Calibri" w:hAnsi="Calibri"/>
                <w:b w:val="0"/>
                <w:i w:val="0"/>
                <w:color w:val="333333"/>
                <w:sz w:val="17"/>
              </w:rPr>
              <w:t>Démonstration de 30 minutes sur cas réels</w:t>
            </w:r>
          </w:p>
        </w:tc>
        <w:tc>
          <w:tcPr>
            <w:tcW w:type="dxa" w:w="2948"/>
            <w:shd w:val="clear" w:color="auto" w:fill="F1F5F9"/>
          </w:tcPr>
          <w:p>
            <w:pPr>
              <w:spacing w:after="0" w:line="252" w:lineRule="auto"/>
            </w:pPr>
            <w:r>
              <w:rPr>
                <w:rFonts w:ascii="Calibri" w:hAnsi="Calibri"/>
                <w:b w:val="0"/>
                <w:i w:val="0"/>
                <w:color w:val="333333"/>
                <w:sz w:val="17"/>
              </w:rPr>
              <w:t>Graphiques commentés à voix haute, chiffres également donnés en texte</w:t>
            </w:r>
          </w:p>
        </w:tc>
      </w:tr>
      <w:tr>
        <w:trPr>
          <w:cantSplit/>
        </w:trPr>
        <w:tc>
          <w:tcPr>
            <w:tcW w:type="dxa" w:w="2608"/>
          </w:tcPr>
          <w:p>
            <w:pPr>
              <w:spacing w:after="0" w:line="252" w:lineRule="auto"/>
            </w:pPr>
            <w:r>
              <w:rPr>
                <w:rFonts w:ascii="Calibri" w:hAnsi="Calibri"/>
                <w:b w:val="0"/>
                <w:i w:val="0"/>
                <w:color w:val="333333"/>
                <w:sz w:val="17"/>
              </w:rPr>
              <w:t>3. Interpréter les anomalies signalées</w:t>
            </w:r>
          </w:p>
        </w:tc>
        <w:tc>
          <w:tcPr>
            <w:tcW w:type="dxa" w:w="1587"/>
          </w:tcPr>
          <w:p>
            <w:pPr>
              <w:spacing w:after="0" w:line="252" w:lineRule="auto"/>
            </w:pPr>
            <w:r>
              <w:rPr>
                <w:rFonts w:ascii="Calibri" w:hAnsi="Calibri"/>
                <w:b w:val="0"/>
                <w:i w:val="0"/>
                <w:color w:val="333333"/>
                <w:sz w:val="17"/>
              </w:rPr>
              <w:t>Achats et commerce en ligne</w:t>
            </w:r>
          </w:p>
        </w:tc>
        <w:tc>
          <w:tcPr>
            <w:tcW w:type="dxa" w:w="2154"/>
          </w:tcPr>
          <w:p>
            <w:pPr>
              <w:spacing w:after="0" w:line="252" w:lineRule="auto"/>
            </w:pPr>
            <w:r>
              <w:rPr>
                <w:rFonts w:ascii="Calibri" w:hAnsi="Calibri"/>
                <w:b w:val="0"/>
                <w:i w:val="0"/>
                <w:color w:val="333333"/>
                <w:sz w:val="17"/>
              </w:rPr>
              <w:t>Atelier de 30 minutes</w:t>
            </w:r>
          </w:p>
        </w:tc>
        <w:tc>
          <w:tcPr>
            <w:tcW w:type="dxa" w:w="2948"/>
          </w:tcPr>
          <w:p>
            <w:pPr>
              <w:spacing w:after="0" w:line="252" w:lineRule="auto"/>
            </w:pPr>
            <w:r>
              <w:rPr>
                <w:rFonts w:ascii="Calibri" w:hAnsi="Calibri"/>
                <w:b w:val="0"/>
                <w:i w:val="0"/>
                <w:color w:val="333333"/>
                <w:sz w:val="17"/>
              </w:rPr>
              <w:t>Exemples concrets, glossaire visuel, aucune information portée par la seule couleur</w:t>
            </w:r>
          </w:p>
        </w:tc>
      </w:tr>
      <w:tr>
        <w:trPr>
          <w:cantSplit/>
        </w:trPr>
        <w:tc>
          <w:tcPr>
            <w:tcW w:type="dxa" w:w="2608"/>
            <w:shd w:val="clear" w:color="auto" w:fill="F1F5F9"/>
          </w:tcPr>
          <w:p>
            <w:pPr>
              <w:spacing w:after="0" w:line="252" w:lineRule="auto"/>
            </w:pPr>
            <w:r>
              <w:rPr>
                <w:rFonts w:ascii="Calibri" w:hAnsi="Calibri"/>
                <w:b w:val="0"/>
                <w:i w:val="0"/>
                <w:color w:val="333333"/>
                <w:sz w:val="17"/>
              </w:rPr>
              <w:t>4. Utiliser les recommandations de réassort</w:t>
            </w:r>
          </w:p>
        </w:tc>
        <w:tc>
          <w:tcPr>
            <w:tcW w:type="dxa" w:w="1587"/>
            <w:shd w:val="clear" w:color="auto" w:fill="F1F5F9"/>
          </w:tcPr>
          <w:p>
            <w:pPr>
              <w:spacing w:after="0" w:line="252" w:lineRule="auto"/>
            </w:pPr>
            <w:r>
              <w:rPr>
                <w:rFonts w:ascii="Calibri" w:hAnsi="Calibri"/>
                <w:b w:val="0"/>
                <w:i w:val="0"/>
                <w:color w:val="333333"/>
                <w:sz w:val="17"/>
              </w:rPr>
              <w:t>Achats</w:t>
            </w:r>
          </w:p>
        </w:tc>
        <w:tc>
          <w:tcPr>
            <w:tcW w:type="dxa" w:w="2154"/>
            <w:shd w:val="clear" w:color="auto" w:fill="F1F5F9"/>
          </w:tcPr>
          <w:p>
            <w:pPr>
              <w:spacing w:after="0" w:line="252" w:lineRule="auto"/>
            </w:pPr>
            <w:r>
              <w:rPr>
                <w:rFonts w:ascii="Calibri" w:hAnsi="Calibri"/>
                <w:b w:val="0"/>
                <w:i w:val="0"/>
                <w:color w:val="333333"/>
                <w:sz w:val="17"/>
              </w:rPr>
              <w:t>Accompagnement individuel de 30 minutes</w:t>
            </w:r>
          </w:p>
        </w:tc>
        <w:tc>
          <w:tcPr>
            <w:tcW w:type="dxa" w:w="2948"/>
            <w:shd w:val="clear" w:color="auto" w:fill="F1F5F9"/>
          </w:tcPr>
          <w:p>
            <w:pPr>
              <w:spacing w:after="0" w:line="252" w:lineRule="auto"/>
            </w:pPr>
            <w:r>
              <w:rPr>
                <w:rFonts w:ascii="Calibri" w:hAnsi="Calibri"/>
                <w:b w:val="0"/>
                <w:i w:val="0"/>
                <w:color w:val="333333"/>
                <w:sz w:val="17"/>
              </w:rPr>
              <w:t>Procédure pas à pas, sous-titres si la session est à distance</w:t>
            </w:r>
          </w:p>
        </w:tc>
      </w:tr>
    </w:tbl>
    <w:p>
      <w:pPr>
        <w:spacing w:after="40"/>
      </w:pPr>
    </w:p>
    <w:p>
      <w:pPr>
        <w:pStyle w:val="Heading2"/>
      </w:pPr>
      <w:bookmarkStart w:id="7018" w:name="_TocP130018"/>
      <w:r>
        <w:t>7.3 Principe d'accessibilité retenu</w:t>
      </w:r>
      <w:bookmarkEnd w:id="7018"/>
    </w:p>
    <w:p>
      <w:r>
        <w:rPr>
          <w:rFonts w:ascii="Calibri" w:hAnsi="Calibri"/>
          <w:b w:val="0"/>
          <w:i w:val="0"/>
          <w:color w:val="333333"/>
          <w:sz w:val="21"/>
        </w:rPr>
        <w:t xml:space="preserve">Le principe vaut pour tous les supports, pas seulement pour les séances de formation. Il vise en particulier les collaborateurs en situation de handicap, comme le demande la grille d'évaluation.</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4649"/>
        <w:gridCol w:w="4649"/>
      </w:tblGrid>
      <w:tr>
        <w:trPr>
          <w:cantSplit/>
          <w:tblHeader w:val="true"/>
        </w:trPr>
        <w:tc>
          <w:tcPr>
            <w:tcW w:type="dxa" w:w="2268"/>
            <w:shd w:val="clear" w:color="auto" w:fill="1F2937"/>
          </w:tcPr>
          <w:p>
            <w:pPr>
              <w:spacing w:after="0"/>
            </w:pPr>
            <w:r>
              <w:rPr>
                <w:rFonts w:ascii="Calibri" w:hAnsi="Calibri"/>
                <w:b/>
                <w:color w:val="FFFFFF"/>
                <w:sz w:val="18"/>
              </w:rPr>
              <w:t>Principe</w:t>
            </w:r>
          </w:p>
        </w:tc>
        <w:tc>
          <w:tcPr>
            <w:tcW w:type="dxa" w:w="7030"/>
            <w:shd w:val="clear" w:color="auto" w:fill="1F2937"/>
          </w:tcPr>
          <w:p>
            <w:pPr>
              <w:spacing w:after="0"/>
            </w:pPr>
            <w:r>
              <w:rPr>
                <w:rFonts w:ascii="Calibri" w:hAnsi="Calibri"/>
                <w:b/>
                <w:color w:val="FFFFFF"/>
                <w:sz w:val="18"/>
              </w:rPr>
              <w:t>Mise en œuvre concrète</w:t>
            </w:r>
          </w:p>
        </w:tc>
      </w:tr>
      <w:tr>
        <w:trPr>
          <w:cantSplit/>
        </w:trPr>
        <w:tc>
          <w:tcPr>
            <w:tcW w:type="dxa" w:w="2268"/>
          </w:tcPr>
          <w:p>
            <w:pPr>
              <w:spacing w:after="0" w:line="252" w:lineRule="auto"/>
            </w:pPr>
            <w:r>
              <w:rPr>
                <w:rFonts w:ascii="Calibri" w:hAnsi="Calibri"/>
                <w:b w:val="0"/>
                <w:i w:val="0"/>
                <w:color w:val="333333"/>
                <w:sz w:val="18"/>
              </w:rPr>
              <w:t>Vulgarisation systématique</w:t>
            </w:r>
          </w:p>
        </w:tc>
        <w:tc>
          <w:tcPr>
            <w:tcW w:type="dxa" w:w="7030"/>
          </w:tcPr>
          <w:p>
            <w:pPr>
              <w:spacing w:after="0" w:line="252" w:lineRule="auto"/>
            </w:pPr>
            <w:r>
              <w:rPr>
                <w:rFonts w:ascii="Calibri" w:hAnsi="Calibri"/>
                <w:b w:val="0"/>
                <w:i w:val="0"/>
                <w:color w:val="333333"/>
                <w:sz w:val="18"/>
              </w:rPr>
              <w:t xml:space="preserve">Chaque terme technique est défini à sa première apparition, avec une analogie métier (glossaire du guide).</w:t>
            </w:r>
          </w:p>
        </w:tc>
      </w:tr>
      <w:tr>
        <w:trPr>
          <w:cantSplit/>
        </w:trPr>
        <w:tc>
          <w:tcPr>
            <w:tcW w:type="dxa" w:w="2268"/>
            <w:shd w:val="clear" w:color="auto" w:fill="F1F5F9"/>
          </w:tcPr>
          <w:p>
            <w:pPr>
              <w:spacing w:after="0" w:line="252" w:lineRule="auto"/>
            </w:pPr>
            <w:r>
              <w:rPr>
                <w:rFonts w:ascii="Calibri" w:hAnsi="Calibri"/>
                <w:b w:val="0"/>
                <w:i w:val="0"/>
                <w:color w:val="333333"/>
                <w:sz w:val="18"/>
              </w:rPr>
              <w:t>Supports multimodaux</w:t>
            </w:r>
          </w:p>
        </w:tc>
        <w:tc>
          <w:tcPr>
            <w:tcW w:type="dxa" w:w="7030"/>
            <w:shd w:val="clear" w:color="auto" w:fill="F1F5F9"/>
          </w:tcPr>
          <w:p>
            <w:pPr>
              <w:spacing w:after="0" w:line="252" w:lineRule="auto"/>
            </w:pPr>
            <w:r>
              <w:rPr>
                <w:rFonts w:ascii="Calibri" w:hAnsi="Calibri"/>
                <w:b w:val="0"/>
                <w:i w:val="0"/>
                <w:color w:val="333333"/>
                <w:sz w:val="18"/>
              </w:rPr>
              <w:t xml:space="preserve">Fiches imprimables, figures annotées (guide, figure 2), version commentée à l'oral pour les personnes malvoyantes, sous-titres à distance.</w:t>
            </w:r>
          </w:p>
        </w:tc>
      </w:tr>
      <w:tr>
        <w:trPr>
          <w:cantSplit/>
        </w:trPr>
        <w:tc>
          <w:tcPr>
            <w:tcW w:type="dxa" w:w="2268"/>
          </w:tcPr>
          <w:p>
            <w:pPr>
              <w:spacing w:after="0" w:line="252" w:lineRule="auto"/>
            </w:pPr>
            <w:r>
              <w:rPr>
                <w:rFonts w:ascii="Calibri" w:hAnsi="Calibri"/>
                <w:b w:val="0"/>
                <w:i w:val="0"/>
                <w:color w:val="333333"/>
                <w:sz w:val="18"/>
              </w:rPr>
              <w:t>Contraste et lisibilité</w:t>
            </w:r>
          </w:p>
        </w:tc>
        <w:tc>
          <w:tcPr>
            <w:tcW w:type="dxa" w:w="7030"/>
          </w:tcPr>
          <w:p>
            <w:pPr>
              <w:spacing w:after="0" w:line="252" w:lineRule="auto"/>
            </w:pPr>
            <w:r>
              <w:rPr>
                <w:rFonts w:ascii="Calibri" w:hAnsi="Calibri"/>
                <w:b w:val="0"/>
                <w:i w:val="0"/>
                <w:color w:val="333333"/>
                <w:sz w:val="18"/>
              </w:rPr>
              <w:t xml:space="preserve">Contrastes recommandés, police lisible, aucune information portée par la seule couleur dans les figures.</w:t>
            </w:r>
          </w:p>
        </w:tc>
      </w:tr>
      <w:tr>
        <w:trPr>
          <w:cantSplit/>
        </w:trPr>
        <w:tc>
          <w:tcPr>
            <w:tcW w:type="dxa" w:w="2268"/>
            <w:shd w:val="clear" w:color="auto" w:fill="F1F5F9"/>
          </w:tcPr>
          <w:p>
            <w:pPr>
              <w:spacing w:after="0" w:line="252" w:lineRule="auto"/>
            </w:pPr>
            <w:r>
              <w:rPr>
                <w:rFonts w:ascii="Calibri" w:hAnsi="Calibri"/>
                <w:b w:val="0"/>
                <w:i w:val="0"/>
                <w:color w:val="333333"/>
                <w:sz w:val="18"/>
              </w:rPr>
              <w:t>Rythme adapté</w:t>
            </w:r>
          </w:p>
        </w:tc>
        <w:tc>
          <w:tcPr>
            <w:tcW w:type="dxa" w:w="7030"/>
            <w:shd w:val="clear" w:color="auto" w:fill="F1F5F9"/>
          </w:tcPr>
          <w:p>
            <w:pPr>
              <w:spacing w:after="0" w:line="252" w:lineRule="auto"/>
            </w:pPr>
            <w:r>
              <w:rPr>
                <w:rFonts w:ascii="Calibri" w:hAnsi="Calibri"/>
                <w:b w:val="0"/>
                <w:i w:val="0"/>
                <w:color w:val="333333"/>
                <w:sz w:val="18"/>
              </w:rPr>
              <w:t xml:space="preserve">Séquences de 45 minutes au plus, répétables à la demande, avec un référent pour les questions.</w:t>
            </w:r>
          </w:p>
        </w:tc>
      </w:tr>
      <w:tr>
        <w:trPr>
          <w:cantSplit/>
        </w:trPr>
        <w:tc>
          <w:tcPr>
            <w:tcW w:type="dxa" w:w="2268"/>
          </w:tcPr>
          <w:p>
            <w:pPr>
              <w:spacing w:after="0" w:line="252" w:lineRule="auto"/>
            </w:pPr>
            <w:r>
              <w:rPr>
                <w:rFonts w:ascii="Calibri" w:hAnsi="Calibri"/>
                <w:b w:val="0"/>
                <w:i w:val="0"/>
                <w:color w:val="333333"/>
                <w:sz w:val="18"/>
              </w:rPr>
              <w:t>Trace écrite systématique</w:t>
            </w:r>
          </w:p>
        </w:tc>
        <w:tc>
          <w:tcPr>
            <w:tcW w:type="dxa" w:w="7030"/>
          </w:tcPr>
          <w:p>
            <w:pPr>
              <w:spacing w:after="0" w:line="252" w:lineRule="auto"/>
            </w:pPr>
            <w:r>
              <w:rPr>
                <w:rFonts w:ascii="Calibri" w:hAnsi="Calibri"/>
                <w:b w:val="0"/>
                <w:i w:val="0"/>
                <w:color w:val="333333"/>
                <w:sz w:val="18"/>
              </w:rPr>
              <w:t xml:space="preserve">Chaque séance donne lieu à une fiche d'une page, pour revenir sur le contenu sans dépendre de sa mémoire.</w:t>
            </w:r>
          </w:p>
        </w:tc>
      </w:tr>
    </w:tbl>
    <w:p>
      <w:pPr>
        <w:spacing w:after="40"/>
      </w:pPr>
    </w:p>
    <w:p>
      <w:pPr>
        <w:pStyle w:val="Heading1"/>
      </w:pPr>
      <w:bookmarkStart w:id="7019" w:name="_TocP130019"/>
      <w:r>
        <w:t>8. Ressources et budget indicatif</w:t>
      </w:r>
      <w:bookmarkEnd w:id="7019"/>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099"/>
        <w:gridCol w:w="3099"/>
        <w:gridCol w:w="3099"/>
      </w:tblGrid>
      <w:tr>
        <w:trPr>
          <w:cantSplit/>
          <w:tblHeader w:val="true"/>
        </w:trPr>
        <w:tc>
          <w:tcPr>
            <w:tcW w:type="dxa" w:w="2494"/>
            <w:shd w:val="clear" w:color="auto" w:fill="1F2937"/>
          </w:tcPr>
          <w:p>
            <w:pPr>
              <w:spacing w:after="0"/>
            </w:pPr>
            <w:r>
              <w:rPr>
                <w:rFonts w:ascii="Calibri" w:hAnsi="Calibri"/>
                <w:b/>
                <w:color w:val="FFFFFF"/>
                <w:sz w:val="18"/>
              </w:rPr>
              <w:t>Poste</w:t>
            </w:r>
          </w:p>
        </w:tc>
        <w:tc>
          <w:tcPr>
            <w:tcW w:type="dxa" w:w="4309"/>
            <w:shd w:val="clear" w:color="auto" w:fill="1F2937"/>
          </w:tcPr>
          <w:p>
            <w:pPr>
              <w:spacing w:after="0"/>
            </w:pPr>
            <w:r>
              <w:rPr>
                <w:rFonts w:ascii="Calibri" w:hAnsi="Calibri"/>
                <w:b/>
                <w:color w:val="FFFFFF"/>
                <w:sz w:val="18"/>
              </w:rPr>
              <w:t>Nature</w:t>
            </w:r>
          </w:p>
        </w:tc>
        <w:tc>
          <w:tcPr>
            <w:tcW w:type="dxa" w:w="2494"/>
            <w:shd w:val="clear" w:color="auto" w:fill="1F2937"/>
          </w:tcPr>
          <w:p>
            <w:pPr>
              <w:spacing w:after="0"/>
            </w:pPr>
            <w:r>
              <w:rPr>
                <w:rFonts w:ascii="Calibri" w:hAnsi="Calibri"/>
                <w:b/>
                <w:color w:val="FFFFFF"/>
                <w:sz w:val="18"/>
              </w:rPr>
              <w:t>Estimation</w:t>
            </w:r>
          </w:p>
        </w:tc>
      </w:tr>
      <w:tr>
        <w:trPr>
          <w:cantSplit/>
        </w:trPr>
        <w:tc>
          <w:tcPr>
            <w:tcW w:type="dxa" w:w="2494"/>
          </w:tcPr>
          <w:p>
            <w:pPr>
              <w:spacing w:after="0" w:line="252" w:lineRule="auto"/>
            </w:pPr>
            <w:r>
              <w:rPr>
                <w:rFonts w:ascii="Calibri" w:hAnsi="Calibri"/>
                <w:b w:val="0"/>
                <w:i w:val="0"/>
                <w:color w:val="333333"/>
                <w:sz w:val="18"/>
              </w:rPr>
              <w:t>Outillage logiciel</w:t>
            </w:r>
          </w:p>
        </w:tc>
        <w:tc>
          <w:tcPr>
            <w:tcW w:type="dxa" w:w="4309"/>
          </w:tcPr>
          <w:p>
            <w:pPr>
              <w:spacing w:after="0" w:line="252" w:lineRule="auto"/>
            </w:pPr>
            <w:r>
              <w:rPr>
                <w:rFonts w:ascii="Calibri" w:hAnsi="Calibri"/>
                <w:b w:val="0"/>
                <w:i w:val="0"/>
                <w:color w:val="333333"/>
                <w:sz w:val="18"/>
              </w:rPr>
              <w:t>Bibliothèques libres de l'écosystème Python</w:t>
            </w:r>
          </w:p>
        </w:tc>
        <w:tc>
          <w:tcPr>
            <w:tcW w:type="dxa" w:w="2494"/>
          </w:tcPr>
          <w:p>
            <w:pPr>
              <w:spacing w:after="0" w:line="252" w:lineRule="auto"/>
            </w:pPr>
            <w:r>
              <w:rPr>
                <w:rFonts w:ascii="Calibri" w:hAnsi="Calibri"/>
                <w:b w:val="0"/>
                <w:i w:val="0"/>
                <w:color w:val="333333"/>
                <w:sz w:val="18"/>
              </w:rPr>
              <w:t>Aucun coût de licence</w:t>
            </w:r>
          </w:p>
        </w:tc>
      </w:tr>
      <w:tr>
        <w:trPr>
          <w:cantSplit/>
        </w:trPr>
        <w:tc>
          <w:tcPr>
            <w:tcW w:type="dxa" w:w="2494"/>
            <w:shd w:val="clear" w:color="auto" w:fill="F1F5F9"/>
          </w:tcPr>
          <w:p>
            <w:pPr>
              <w:spacing w:after="0" w:line="252" w:lineRule="auto"/>
            </w:pPr>
            <w:r>
              <w:rPr>
                <w:rFonts w:ascii="Calibri" w:hAnsi="Calibri"/>
                <w:b w:val="0"/>
                <w:i w:val="0"/>
                <w:color w:val="333333"/>
                <w:sz w:val="18"/>
              </w:rPr>
              <w:t>Temps de conception et d'analyse</w:t>
            </w:r>
          </w:p>
        </w:tc>
        <w:tc>
          <w:tcPr>
            <w:tcW w:type="dxa" w:w="4309"/>
            <w:shd w:val="clear" w:color="auto" w:fill="F1F5F9"/>
          </w:tcPr>
          <w:p>
            <w:pPr>
              <w:spacing w:after="0" w:line="252" w:lineRule="auto"/>
            </w:pPr>
            <w:r>
              <w:rPr>
                <w:rFonts w:ascii="Calibri" w:hAnsi="Calibri"/>
                <w:b w:val="0"/>
                <w:i w:val="0"/>
                <w:color w:val="333333"/>
                <w:sz w:val="18"/>
              </w:rPr>
              <w:t>Cadrage, réalisation, documentation</w:t>
            </w:r>
          </w:p>
        </w:tc>
        <w:tc>
          <w:tcPr>
            <w:tcW w:type="dxa" w:w="2494"/>
            <w:shd w:val="clear" w:color="auto" w:fill="F1F5F9"/>
          </w:tcPr>
          <w:p>
            <w:pPr>
              <w:spacing w:after="0" w:line="252" w:lineRule="auto"/>
            </w:pPr>
            <w:r>
              <w:rPr>
                <w:rFonts w:ascii="Calibri" w:hAnsi="Calibri"/>
                <w:b w:val="0"/>
                <w:i w:val="0"/>
                <w:color w:val="333333"/>
                <w:sz w:val="18"/>
              </w:rPr>
              <w:t xml:space="preserve">Environ 70 heures de travail supervisé, plus autant de travail personnel</w:t>
            </w:r>
          </w:p>
        </w:tc>
      </w:tr>
      <w:tr>
        <w:trPr>
          <w:cantSplit/>
        </w:trPr>
        <w:tc>
          <w:tcPr>
            <w:tcW w:type="dxa" w:w="2494"/>
          </w:tcPr>
          <w:p>
            <w:pPr>
              <w:spacing w:after="0" w:line="252" w:lineRule="auto"/>
            </w:pPr>
            <w:r>
              <w:rPr>
                <w:rFonts w:ascii="Calibri" w:hAnsi="Calibri"/>
                <w:b w:val="0"/>
                <w:i w:val="0"/>
                <w:color w:val="333333"/>
                <w:sz w:val="18"/>
              </w:rPr>
              <w:t>Formation des utilisateurs</w:t>
            </w:r>
          </w:p>
        </w:tc>
        <w:tc>
          <w:tcPr>
            <w:tcW w:type="dxa" w:w="4309"/>
          </w:tcPr>
          <w:p>
            <w:pPr>
              <w:spacing w:after="0" w:line="252" w:lineRule="auto"/>
            </w:pPr>
            <w:r>
              <w:rPr>
                <w:rFonts w:ascii="Calibri" w:hAnsi="Calibri"/>
                <w:b w:val="0"/>
                <w:i w:val="0"/>
                <w:color w:val="333333"/>
                <w:sz w:val="18"/>
              </w:rPr>
              <w:t>Quatre séquences courtes et leurs supports</w:t>
            </w:r>
          </w:p>
        </w:tc>
        <w:tc>
          <w:tcPr>
            <w:tcW w:type="dxa" w:w="2494"/>
          </w:tcPr>
          <w:p>
            <w:pPr>
              <w:spacing w:after="0" w:line="252" w:lineRule="auto"/>
            </w:pPr>
            <w:r>
              <w:rPr>
                <w:rFonts w:ascii="Calibri" w:hAnsi="Calibri"/>
                <w:b w:val="0"/>
                <w:i w:val="0"/>
                <w:color w:val="333333"/>
                <w:sz w:val="18"/>
              </w:rPr>
              <w:t>Environ une demi-journée de formateur</w:t>
            </w:r>
          </w:p>
        </w:tc>
      </w:tr>
      <w:tr>
        <w:trPr>
          <w:cantSplit/>
        </w:trPr>
        <w:tc>
          <w:tcPr>
            <w:tcW w:type="dxa" w:w="2494"/>
            <w:shd w:val="clear" w:color="auto" w:fill="F1F5F9"/>
          </w:tcPr>
          <w:p>
            <w:pPr>
              <w:spacing w:after="0" w:line="252" w:lineRule="auto"/>
            </w:pPr>
            <w:r>
              <w:rPr>
                <w:rFonts w:ascii="Calibri" w:hAnsi="Calibri"/>
                <w:b w:val="0"/>
                <w:i w:val="0"/>
                <w:color w:val="333333"/>
                <w:sz w:val="18"/>
              </w:rPr>
              <w:t>Infrastructure</w:t>
            </w:r>
          </w:p>
        </w:tc>
        <w:tc>
          <w:tcPr>
            <w:tcW w:type="dxa" w:w="4309"/>
            <w:shd w:val="clear" w:color="auto" w:fill="F1F5F9"/>
          </w:tcPr>
          <w:p>
            <w:pPr>
              <w:spacing w:after="0" w:line="252" w:lineRule="auto"/>
            </w:pPr>
            <w:r>
              <w:rPr>
                <w:rFonts w:ascii="Calibri" w:hAnsi="Calibri"/>
                <w:b w:val="0"/>
                <w:i w:val="0"/>
                <w:color w:val="333333"/>
                <w:sz w:val="18"/>
              </w:rPr>
              <w:t>Poste de travail standard, aucun serveur dédié</w:t>
            </w:r>
          </w:p>
        </w:tc>
        <w:tc>
          <w:tcPr>
            <w:tcW w:type="dxa" w:w="2494"/>
            <w:shd w:val="clear" w:color="auto" w:fill="F1F5F9"/>
          </w:tcPr>
          <w:p>
            <w:pPr>
              <w:spacing w:after="0" w:line="252" w:lineRule="auto"/>
            </w:pPr>
            <w:r>
              <w:rPr>
                <w:rFonts w:ascii="Calibri" w:hAnsi="Calibri"/>
                <w:b w:val="0"/>
                <w:i w:val="0"/>
                <w:color w:val="333333"/>
                <w:sz w:val="18"/>
              </w:rPr>
              <w:t>Existant</w:t>
            </w:r>
          </w:p>
        </w:tc>
      </w:tr>
      <w:tr>
        <w:trPr>
          <w:cantSplit/>
        </w:trPr>
        <w:tc>
          <w:tcPr>
            <w:tcW w:type="dxa" w:w="2494"/>
          </w:tcPr>
          <w:p>
            <w:pPr>
              <w:spacing w:after="0" w:line="252" w:lineRule="auto"/>
            </w:pPr>
            <w:r>
              <w:rPr>
                <w:rFonts w:ascii="Calibri" w:hAnsi="Calibri"/>
                <w:b w:val="0"/>
                <w:i w:val="0"/>
                <w:color w:val="333333"/>
                <w:sz w:val="18"/>
              </w:rPr>
              <w:t>Maintenance annuelle estimée</w:t>
            </w:r>
          </w:p>
        </w:tc>
        <w:tc>
          <w:tcPr>
            <w:tcW w:type="dxa" w:w="4309"/>
          </w:tcPr>
          <w:p>
            <w:pPr>
              <w:spacing w:after="0" w:line="252" w:lineRule="auto"/>
            </w:pPr>
            <w:r>
              <w:rPr>
                <w:rFonts w:ascii="Calibri" w:hAnsi="Calibri"/>
                <w:b w:val="0"/>
                <w:i w:val="0"/>
                <w:color w:val="333333"/>
                <w:sz w:val="18"/>
              </w:rPr>
              <w:t>Mise à jour des dépendances et réexécution de contrôle</w:t>
            </w:r>
          </w:p>
        </w:tc>
        <w:tc>
          <w:tcPr>
            <w:tcW w:type="dxa" w:w="2494"/>
          </w:tcPr>
          <w:p>
            <w:pPr>
              <w:spacing w:after="0" w:line="252" w:lineRule="auto"/>
            </w:pPr>
            <w:r>
              <w:rPr>
                <w:rFonts w:ascii="Calibri" w:hAnsi="Calibri"/>
                <w:b w:val="0"/>
                <w:i w:val="0"/>
                <w:color w:val="333333"/>
                <w:sz w:val="18"/>
              </w:rPr>
              <w:t>Environ 4 heures par an</w:t>
            </w:r>
          </w:p>
        </w:tc>
      </w:tr>
    </w:tbl>
    <w:p>
      <w:pPr>
        <w:spacing w:after="40"/>
      </w:pPr>
    </w:p>
    <w:p>
      <w:pPr>
        <w:spacing w:before="60" w:after="160"/>
      </w:pPr>
      <w:r>
        <w:rPr>
          <w:rFonts w:ascii="Calibri" w:hAnsi="Calibri"/>
          <w:b/>
          <w:i w:val="0"/>
          <w:color w:val="333333"/>
          <w:sz w:val="20"/>
        </w:rPr>
        <w:t xml:space="preserve">Conditions de réception.</w:t>
      </w:r>
      <w:r>
        <w:rPr>
          <w:rFonts w:ascii="Calibri" w:hAnsi="Calibri"/>
          <w:b w:val="0"/>
          <w:i w:val="0"/>
          <w:color w:val="333333"/>
          <w:sz w:val="20"/>
        </w:rPr>
        <w:t xml:space="preserve"> Le projet est livré quand trois conditions sont réunies. Le notebook s'exécute en entier sur un poste vierge, à partir des seuls fichiers sources. Les indicateurs de la section 5 atteignent leur cible. Le service achats sait lire la restitution sans aide, ce qui se vérifie par une mise en situation en fin de séquence 4.</w:t>
      </w:r>
    </w:p>
    <w:p>
      <w:pPr>
        <w:pStyle w:val="Heading1"/>
      </w:pPr>
      <w:bookmarkStart w:id="7020" w:name="_TocP130020"/>
      <w:r>
        <w:t xml:space="preserve">Annexe A. Documents de référence</w:t>
      </w:r>
      <w:bookmarkEnd w:id="7020"/>
    </w:p>
    <w:p>
      <w:r>
        <w:rPr>
          <w:rFonts w:ascii="Calibri" w:hAnsi="Calibri"/>
          <w:b w:val="0"/>
          <w:i w:val="0"/>
          <w:color w:val="333333"/>
          <w:sz w:val="21"/>
        </w:rPr>
        <w:t xml:space="preserve">Énoncés des projets 13 et 6. Les trois extractions sources (erp.xlsx, web.xlsx, liaison.xlsx). Le notebook amélioré et le notebook complémentaire (essais A à D). Le document de veille, section 4, pour les sources. La gestion de projet, figure 3, pour la frise des jalons et le rétroplanning.</w:t>
      </w:r>
    </w:p>
    <w:p>
      <w:pPr>
        <w:spacing w:after="40"/>
      </w:pPr>
    </w:p>
    <w:sectPr w:rsidR="00FC693F" w:rsidRPr="0006063C" w:rsidSect="00034616">
      <w:footerReference w:type="default" r:id="rId9"/>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E2E8F0"/>
      </w:pBdr>
      <w:tabs>
        <w:tab w:pos="9298" w:val="right"/>
      </w:tabs>
    </w:pPr>
    <w:r/>
    <w:r>
      <w:rPr>
        <w:rFonts w:ascii="Calibri" w:hAnsi="Calibri"/>
        <w:color w:val="64748B"/>
        <w:sz w:val="15"/>
      </w:rPr>
      <w:t>BottleNeck, cahier des charges fonctionnel</w:t>
    </w:r>
    <w:r>
      <w:rPr>
        <w:sz w:val="15"/>
      </w:rPr>
      <w:tab/>
    </w:r>
    <w:r>
      <w:rPr>
        <w:rFonts w:ascii="Calibri" w:hAnsi="Calibri"/>
        <w:color w:val="64748B"/>
        <w:sz w:val="15"/>
      </w:rPr>
      <w:t xml:space="preserve">Page </w:t>
    </w:r>
    <w:r>
      <w:rPr>
        <w:rFonts w:ascii="Calibri" w:hAnsi="Calibri"/>
        <w:color w:val="64748B"/>
        <w:sz w:val="15"/>
      </w:rPr>
      <w:fldChar w:fldCharType="begin"/>
      <w:instrText xml:space="preserve"> PAGE </w:instrText>
      <w:fldChar w:fldCharType="separate"/>
      <w:fldChar w:fldCharType="end"/>
    </w:r>
    <w:r>
      <w:rPr>
        <w:rFonts w:ascii="Calibri" w:hAnsi="Calibri"/>
        <w:color w:val="64748B"/>
        <w:sz w:val="15"/>
      </w:rPr>
      <w:t xml:space="preserve"> sur </w:t>
    </w:r>
    <w:r>
      <w:rPr>
        <w:rFonts w:ascii="Calibri" w:hAnsi="Calibri"/>
        <w:color w:val="64748B"/>
        <w:sz w:val="15"/>
      </w:rPr>
      <w:fldChar w:fldCharType="begin"/>
      <w:instrText xml:space="preserve"> NUMPAGES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eastAsia="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Calibri" w:hAnsi="Calibri"/>
      <w:b/>
      <w:bCs/>
      <w:caps w:val="0"/>
      <w:color w:val="1F3A5F"/>
      <w:sz w:val="3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aps w:val="0"/>
      <w:color w:val="3D5A80"/>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aps w:val="0"/>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aps w:val="0"/>
      <w:color w:val="1F2937"/>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olor w:val="3333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color w:val="3333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4585</Words>
  <Characters>24738</Characters>
  <Application>Microsoft Office Word</Application>
  <DocSecurity>0</DocSecurity>
  <Lines>440</Lines>
  <Paragraphs>440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Lippens</dc:creator>
  <cp:keywords/>
  <dc:description/>
  <cp:lastModifiedBy>Charles Lippens</cp:lastModifiedBy>
  <cp:revision>1</cp:revision>
  <dcterms:created xsi:type="dcterms:W3CDTF">2026-10-07T19:11:39Z</dcterms:created>
  <dcterms:modified xsi:type="dcterms:W3CDTF">2026-10-14T09:15:00Z</dcterms:modified>
</cp:coreProperties>
</file>