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b/>
          <w:caps/>
          <w:color w:val="6B7280"/>
          <w:sz w:val="18"/>
        </w:rPr>
        <w:t>Projet 13, partie 1, livrable 2, documentation</w:t>
      </w:r>
    </w:p>
    <w:p>
      <w:pPr>
        <w:pStyle w:val="Title"/>
        <w:spacing w:after="60"/>
      </w:pPr>
      <w:r>
        <w:t>Documentation de la démarche</w:t>
      </w:r>
    </w:p>
    <w:p>
      <w:pPr>
        <w:spacing w:after="360"/>
      </w:pPr>
      <w:r>
        <w:rPr>
          <w:rFonts w:ascii="Calibri" w:hAnsi="Calibri"/>
          <w:color w:val="3D5A80"/>
          <w:sz w:val="24"/>
        </w:rPr>
        <w:t>Hypothèses, essais d'IA, tests, résultats, limites, décisions et procédures</w:t>
      </w:r>
    </w:p>
    <w:p>
      <w:pPr>
        <w:pBdr>
          <w:bottom w:val="single" w:sz="8" w:space="1" w:color="C9D3DF"/>
        </w:pBdr>
        <w:spacing w:after="280"/>
      </w:pPr>
    </w:p>
    <w:p>
      <w:pPr>
        <w:spacing w:after="60"/>
      </w:pPr>
      <w:r>
        <w:rPr>
          <w:rFonts w:ascii="Calibri" w:hAnsi="Calibri"/>
          <w:b/>
          <w:color w:val="1F2937"/>
          <w:sz w:val="20"/>
        </w:rPr>
        <w:t xml:space="preserve">Auteur : </w:t>
      </w:r>
      <w:r>
        <w:rPr>
          <w:rFonts w:ascii="Calibri" w:hAnsi="Calibri"/>
          <w:color w:val="333333"/>
          <w:sz w:val="20"/>
        </w:rPr>
        <w:t>Charles Lippens, Data Analyst</w:t>
      </w:r>
    </w:p>
    <w:p>
      <w:pPr>
        <w:spacing w:after="60"/>
      </w:pPr>
      <w:r>
        <w:rPr>
          <w:rFonts w:ascii="Calibri" w:hAnsi="Calibri"/>
          <w:b/>
          <w:color w:val="1F2937"/>
          <w:sz w:val="20"/>
        </w:rPr>
        <w:t xml:space="preserve">Objet : </w:t>
      </w:r>
      <w:r>
        <w:rPr>
          <w:rFonts w:ascii="Calibri" w:hAnsi="Calibri"/>
          <w:color w:val="333333"/>
          <w:sz w:val="20"/>
        </w:rPr>
        <w:t xml:space="preserve">Rendre la démarche reproductible, auditable et facile à reprendre par un tiers</w:t>
      </w:r>
    </w:p>
    <w:p>
      <w:pPr>
        <w:spacing w:after="60"/>
      </w:pPr>
      <w:r>
        <w:rPr>
          <w:rFonts w:ascii="Calibri" w:hAnsi="Calibri"/>
          <w:b/>
          <w:color w:val="1F2937"/>
          <w:sz w:val="20"/>
        </w:rPr>
        <w:t xml:space="preserve">Base de travail : </w:t>
      </w:r>
      <w:r>
        <w:rPr>
          <w:rFonts w:ascii="Calibri" w:hAnsi="Calibri"/>
          <w:color w:val="333333"/>
          <w:sz w:val="20"/>
        </w:rPr>
        <w:t>Notebook du projet 6, BottleNeck</w:t>
      </w:r>
    </w:p>
    <w:p>
      <w:pPr>
        <w:spacing w:after="60"/>
      </w:pPr>
      <w:r>
        <w:rPr>
          <w:rFonts w:ascii="Calibri" w:hAnsi="Calibri"/>
          <w:b/>
          <w:color w:val="1F2937"/>
          <w:sz w:val="20"/>
        </w:rPr>
        <w:t xml:space="preserve">Date : </w:t>
      </w:r>
      <w:r>
        <w:rPr>
          <w:rFonts w:ascii="Calibri" w:hAnsi="Calibri"/>
          <w:color w:val="333333"/>
          <w:sz w:val="20"/>
        </w:rPr>
        <w:t xml:space="preserve">Octobre 2026, dépôt du projet</w:t>
      </w:r>
    </w:p>
    <w:p>
      <w:pPr>
        <w:spacing w:after="60"/>
      </w:pPr>
      <w:r>
        <w:rPr>
          <w:rFonts w:ascii="Calibri" w:hAnsi="Calibri"/>
          <w:b/>
          <w:color w:val="1F2937"/>
          <w:sz w:val="20"/>
        </w:rPr>
        <w:t xml:space="preserve">Version : </w:t>
      </w:r>
      <w:r>
        <w:rPr>
          <w:rFonts w:ascii="Calibri" w:hAnsi="Calibri"/>
          <w:color w:val="333333"/>
          <w:sz w:val="20"/>
        </w:rPr>
        <w:t xml:space="preserve">2.9, le 7 octobre 2026 : essais C et D relus et relancés, mise en situation faite, liste de contrôle reformulée, validation de J4 datée ; 2.8, mise à jour du 1er octobre 2026 (jalon J4 réussi le 30 septembre, relecture des essais C et D en cours, date du dépôt, typographie) ; 2.7, essais C et D du notebook complémentaire (réassort, stabilité du modèle), ChatGPT cité, puis relecture finale (essais C et D à relire, versionnage, recommandation 3), le 25 septembre 2026, et mise à jour du 28 septembre 2026 (performance datée, réexécutions des 25 et 28 septembre, maintenance, figures redessinées, texte allégé) ; 2.6, relecture après l'audit de l'énoncé : portée du contrat de qualité, facteurs de performance, indice de Jaccard, reproductibilité (Python 3.11, installation, durée), puis relecture indépendante (portée des neuf contrôles, réserve sur le stock), le 25 septembre 2026 ; 2.5, six réserves (colonnes d'avis vides), valeurs manquantes et référence à 12,65 euros décrites exactement, sécurité des données dite sans formule absolue, le 25 septembre 2026 ; 2.4, lecture des avis clients corrigée (colonnes vides, avis désactivés sur le site) et trois pistes ajoutées en section 10, le 24 septembre 2026 ; 2.3, annexe A (journal brut des essais d'IA, avec les essais complémentaires du 17 septembre 2026) et règle 8.3 complétée ; 2.2, numérotation de la section 10 rétablie ; 2.1, corrigée après les deux passages d'audit</w:t>
      </w:r>
    </w:p>
    <w:p>
      <w:r>
        <w:br w:type="page"/>
      </w:r>
    </w:p>
    <w:p>
      <w:pPr>
        <w:spacing w:after="200"/>
      </w:pPr>
      <w:r>
        <w:rPr>
          <w:rFonts w:ascii="Calibri" w:hAnsi="Calibri"/>
          <w:b/>
          <w:color w:val="6B7280"/>
          <w:sz w:val="30"/>
        </w:rPr>
        <w:t>Sommaire</w:t>
      </w:r>
    </w:p>
    <w:p>
      <w:pPr>
        <w:tabs>
          <w:tab w:val="right" w:leader="dot" w:pos="9298"/>
        </w:tabs>
        <w:spacing w:after="40"/>
        <w:ind w:left="0"/>
      </w:pPr>
      <w:r>
        <w:fldChar w:fldCharType="begin"/>
      </w:r>
      <w:r>
        <w:instrText xml:space="preserve">TOC \o "1-3" \h \z \u</w:instrText>
      </w:r>
      <w:r>
        <w:fldChar w:fldCharType="separate"/>
      </w:r>
      <w:hyperlink w:anchor="_TocP130001" w:history="1">
        <w:r>
          <w:rPr>
            <w:rFonts w:ascii="Calibri" w:hAnsi="Calibri"/>
            <w:color w:val="1F2937"/>
            <w:sz w:val="21"/>
          </w:rPr>
          <w:t xml:space="preserve">1. Objet et méthode</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2" w:history="1">
        <w:r>
          <w:rPr>
            <w:rFonts w:ascii="Calibri" w:hAnsi="Calibri"/>
            <w:color w:val="1F2937"/>
            <w:sz w:val="21"/>
          </w:rPr>
          <w:t xml:space="preserve">1.1 Les sept critères de comparaison</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3" w:history="1">
        <w:r>
          <w:rPr>
            <w:rFonts w:ascii="Calibri" w:hAnsi="Calibri"/>
            <w:color w:val="1F2937"/>
            <w:sz w:val="21"/>
          </w:rPr>
          <w:t xml:space="preserve">1.2 Hypothèses de départ</w:t>
        </w:r>
        <w:r>
          <w:rPr>
            <w:rFonts w:ascii="Calibri" w:hAnsi="Calibri"/>
            <w:color w:val="1F2937"/>
            <w:sz w:val="21"/>
          </w:rPr>
          <w:tab/>
        </w:r>
        <w:r>
          <w:rPr>
            <w:rFonts w:ascii="Calibri" w:hAnsi="Calibri"/>
            <w:color w:val="1F2937"/>
            <w:sz w:val="21"/>
          </w:rPr>
          <w:t>3</w:t>
        </w:r>
      </w:hyperlink>
    </w:p>
    <w:p>
      <w:pPr>
        <w:tabs>
          <w:tab w:val="right" w:leader="dot" w:pos="9298"/>
        </w:tabs>
        <w:spacing w:after="40"/>
        <w:ind w:left="0"/>
      </w:pPr>
      <w:hyperlink w:anchor="_TocP130004" w:history="1">
        <w:r>
          <w:rPr>
            <w:rFonts w:ascii="Calibri" w:hAnsi="Calibri"/>
            <w:color w:val="1F2937"/>
            <w:sz w:val="21"/>
          </w:rPr>
          <w:t xml:space="preserve">2. Journal de traçabilité des essais d'IA</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5" w:history="1">
        <w:r>
          <w:rPr>
            <w:rFonts w:ascii="Calibri" w:hAnsi="Calibri"/>
            <w:color w:val="1F2937"/>
            <w:sz w:val="21"/>
          </w:rPr>
          <w:t xml:space="preserve">2.1 Axe 1, qualité des données</w:t>
        </w:r>
        <w:r>
          <w:rPr>
            <w:rFonts w:ascii="Calibri" w:hAnsi="Calibri"/>
            <w:color w:val="1F2937"/>
            <w:sz w:val="21"/>
          </w:rPr>
          <w:tab/>
        </w:r>
        <w:r>
          <w:rPr>
            <w:rFonts w:ascii="Calibri" w:hAnsi="Calibri"/>
            <w:color w:val="1F2937"/>
            <w:sz w:val="21"/>
          </w:rPr>
          <w:t>4</w:t>
        </w:r>
      </w:hyperlink>
    </w:p>
    <w:p>
      <w:pPr>
        <w:tabs>
          <w:tab w:val="right" w:leader="dot" w:pos="9298"/>
        </w:tabs>
        <w:spacing w:after="40"/>
        <w:ind w:left="340"/>
      </w:pPr>
      <w:hyperlink w:anchor="_TocP130006" w:history="1">
        <w:r>
          <w:rPr>
            <w:rFonts w:ascii="Calibri" w:hAnsi="Calibri"/>
            <w:color w:val="1F2937"/>
            <w:sz w:val="21"/>
          </w:rPr>
          <w:t xml:space="preserve">2.2 Axe 2, performance et reproductibilité</w:t>
        </w:r>
        <w:r>
          <w:rPr>
            <w:rFonts w:ascii="Calibri" w:hAnsi="Calibri"/>
            <w:color w:val="1F2937"/>
            <w:sz w:val="21"/>
          </w:rPr>
          <w:tab/>
        </w:r>
        <w:r>
          <w:rPr>
            <w:rFonts w:ascii="Calibri" w:hAnsi="Calibri"/>
            <w:color w:val="1F2937"/>
            <w:sz w:val="21"/>
          </w:rPr>
          <w:t>4</w:t>
        </w:r>
      </w:hyperlink>
    </w:p>
    <w:p>
      <w:pPr>
        <w:tabs>
          <w:tab w:val="right" w:leader="dot" w:pos="9298"/>
        </w:tabs>
        <w:spacing w:after="40"/>
        <w:ind w:left="340"/>
      </w:pPr>
      <w:hyperlink w:anchor="_TocP130007" w:history="1">
        <w:r>
          <w:rPr>
            <w:rFonts w:ascii="Calibri" w:hAnsi="Calibri"/>
            <w:color w:val="1F2937"/>
            <w:sz w:val="21"/>
          </w:rPr>
          <w:t xml:space="preserve">2.3 Axe 3, détection d'anomalies</w:t>
        </w:r>
        <w:r>
          <w:rPr>
            <w:rFonts w:ascii="Calibri" w:hAnsi="Calibri"/>
            <w:color w:val="1F2937"/>
            <w:sz w:val="21"/>
          </w:rPr>
          <w:tab/>
        </w:r>
        <w:r>
          <w:rPr>
            <w:rFonts w:ascii="Calibri" w:hAnsi="Calibri"/>
            <w:color w:val="1F2937"/>
            <w:sz w:val="21"/>
          </w:rPr>
          <w:t>5</w:t>
        </w:r>
      </w:hyperlink>
    </w:p>
    <w:p>
      <w:pPr>
        <w:tabs>
          <w:tab w:val="right" w:leader="dot" w:pos="9298"/>
        </w:tabs>
        <w:spacing w:after="40"/>
        <w:ind w:left="340"/>
      </w:pPr>
      <w:hyperlink w:anchor="_TocP130008" w:history="1">
        <w:r>
          <w:rPr>
            <w:rFonts w:ascii="Calibri" w:hAnsi="Calibri"/>
            <w:color w:val="1F2937"/>
            <w:sz w:val="21"/>
          </w:rPr>
          <w:t xml:space="preserve">2.4 Axe 4, interprétabilité et documentation</w:t>
        </w:r>
        <w:r>
          <w:rPr>
            <w:rFonts w:ascii="Calibri" w:hAnsi="Calibri"/>
            <w:color w:val="1F2937"/>
            <w:sz w:val="21"/>
          </w:rPr>
          <w:tab/>
        </w:r>
        <w:r>
          <w:rPr>
            <w:rFonts w:ascii="Calibri" w:hAnsi="Calibri"/>
            <w:color w:val="1F2937"/>
            <w:sz w:val="21"/>
          </w:rPr>
          <w:t>6</w:t>
        </w:r>
      </w:hyperlink>
    </w:p>
    <w:p>
      <w:pPr>
        <w:tabs>
          <w:tab w:val="right" w:leader="dot" w:pos="9298"/>
        </w:tabs>
        <w:spacing w:after="40"/>
        <w:ind w:left="0"/>
      </w:pPr>
      <w:hyperlink w:anchor="_TocP130009" w:history="1">
        <w:r>
          <w:rPr>
            <w:rFonts w:ascii="Calibri" w:hAnsi="Calibri"/>
            <w:color w:val="1F2937"/>
            <w:sz w:val="21"/>
          </w:rPr>
          <w:t xml:space="preserve">3. Justifications techniques</w:t>
        </w:r>
        <w:r>
          <w:rPr>
            <w:rFonts w:ascii="Calibri" w:hAnsi="Calibri"/>
            <w:color w:val="1F2937"/>
            <w:sz w:val="21"/>
          </w:rPr>
          <w:tab/>
        </w:r>
        <w:r>
          <w:rPr>
            <w:rFonts w:ascii="Calibri" w:hAnsi="Calibri"/>
            <w:color w:val="1F2937"/>
            <w:sz w:val="21"/>
          </w:rPr>
          <w:t>7</w:t>
        </w:r>
      </w:hyperlink>
    </w:p>
    <w:p>
      <w:pPr>
        <w:tabs>
          <w:tab w:val="right" w:leader="dot" w:pos="9298"/>
        </w:tabs>
        <w:spacing w:after="40"/>
        <w:ind w:left="0"/>
      </w:pPr>
      <w:hyperlink w:anchor="_TocP130010" w:history="1">
        <w:r>
          <w:rPr>
            <w:rFonts w:ascii="Calibri" w:hAnsi="Calibri"/>
            <w:color w:val="1F2937"/>
            <w:sz w:val="21"/>
          </w:rPr>
          <w:t xml:space="preserve">4. Résultats consolidés</w:t>
        </w:r>
        <w:r>
          <w:rPr>
            <w:rFonts w:ascii="Calibri" w:hAnsi="Calibri"/>
            <w:color w:val="1F2937"/>
            <w:sz w:val="21"/>
          </w:rPr>
          <w:tab/>
        </w:r>
        <w:r>
          <w:rPr>
            <w:rFonts w:ascii="Calibri" w:hAnsi="Calibri"/>
            <w:color w:val="1F2937"/>
            <w:sz w:val="21"/>
          </w:rPr>
          <w:t>7</w:t>
        </w:r>
      </w:hyperlink>
    </w:p>
    <w:p>
      <w:pPr>
        <w:tabs>
          <w:tab w:val="right" w:leader="dot" w:pos="9298"/>
        </w:tabs>
        <w:spacing w:after="40"/>
        <w:ind w:left="0"/>
      </w:pPr>
      <w:hyperlink w:anchor="_TocP130011" w:history="1">
        <w:r>
          <w:rPr>
            <w:rFonts w:ascii="Calibri" w:hAnsi="Calibri"/>
            <w:color w:val="1F2937"/>
            <w:sz w:val="21"/>
          </w:rPr>
          <w:t xml:space="preserve">5. Ce que le projet change pour le métier</w:t>
        </w:r>
        <w:r>
          <w:rPr>
            <w:rFonts w:ascii="Calibri" w:hAnsi="Calibri"/>
            <w:color w:val="1F2937"/>
            <w:sz w:val="21"/>
          </w:rPr>
          <w:tab/>
        </w:r>
        <w:r>
          <w:rPr>
            <w:rFonts w:ascii="Calibri" w:hAnsi="Calibri"/>
            <w:color w:val="1F2937"/>
            <w:sz w:val="21"/>
          </w:rPr>
          <w:t>8</w:t>
        </w:r>
      </w:hyperlink>
    </w:p>
    <w:p>
      <w:pPr>
        <w:tabs>
          <w:tab w:val="right" w:leader="dot" w:pos="9298"/>
        </w:tabs>
        <w:spacing w:after="40"/>
        <w:ind w:left="340"/>
      </w:pPr>
      <w:hyperlink w:anchor="_TocP130012" w:history="1">
        <w:r>
          <w:rPr>
            <w:rFonts w:ascii="Calibri" w:hAnsi="Calibri"/>
            <w:color w:val="1F2937"/>
            <w:sz w:val="21"/>
          </w:rPr>
          <w:t xml:space="preserve">5.1 Recommandations remises au commanditaire</w:t>
        </w:r>
        <w:r>
          <w:rPr>
            <w:rFonts w:ascii="Calibri" w:hAnsi="Calibri"/>
            <w:color w:val="1F2937"/>
            <w:sz w:val="21"/>
          </w:rPr>
          <w:tab/>
        </w:r>
        <w:r>
          <w:rPr>
            <w:rFonts w:ascii="Calibri" w:hAnsi="Calibri"/>
            <w:color w:val="1F2937"/>
            <w:sz w:val="21"/>
          </w:rPr>
          <w:t>9</w:t>
        </w:r>
      </w:hyperlink>
    </w:p>
    <w:p>
      <w:pPr>
        <w:tabs>
          <w:tab w:val="right" w:leader="dot" w:pos="9298"/>
        </w:tabs>
        <w:spacing w:after="40"/>
        <w:ind w:left="0"/>
      </w:pPr>
      <w:hyperlink w:anchor="_TocP130013" w:history="1">
        <w:r>
          <w:rPr>
            <w:rFonts w:ascii="Calibri" w:hAnsi="Calibri"/>
            <w:color w:val="1F2937"/>
            <w:sz w:val="21"/>
          </w:rPr>
          <w:t xml:space="preserve">6. Reproductibilité</w:t>
        </w:r>
        <w:r>
          <w:rPr>
            <w:rFonts w:ascii="Calibri" w:hAnsi="Calibri"/>
            <w:color w:val="1F2937"/>
            <w:sz w:val="21"/>
          </w:rPr>
          <w:tab/>
        </w:r>
        <w:r>
          <w:rPr>
            <w:rFonts w:ascii="Calibri" w:hAnsi="Calibri"/>
            <w:color w:val="1F2937"/>
            <w:sz w:val="21"/>
          </w:rPr>
          <w:t>9</w:t>
        </w:r>
      </w:hyperlink>
    </w:p>
    <w:p>
      <w:pPr>
        <w:tabs>
          <w:tab w:val="right" w:leader="dot" w:pos="9298"/>
        </w:tabs>
        <w:spacing w:after="40"/>
        <w:ind w:left="0"/>
      </w:pPr>
      <w:hyperlink w:anchor="_TocP130014" w:history="1">
        <w:r>
          <w:rPr>
            <w:rFonts w:ascii="Calibri" w:hAnsi="Calibri"/>
            <w:color w:val="1F2937"/>
            <w:sz w:val="21"/>
          </w:rPr>
          <w:t xml:space="preserve">7. Limites et biais</w:t>
        </w:r>
        <w:r>
          <w:rPr>
            <w:rFonts w:ascii="Calibri" w:hAnsi="Calibri"/>
            <w:color w:val="1F2937"/>
            <w:sz w:val="21"/>
          </w:rPr>
          <w:tab/>
        </w:r>
        <w:r>
          <w:rPr>
            <w:rFonts w:ascii="Calibri" w:hAnsi="Calibri"/>
            <w:color w:val="1F2937"/>
            <w:sz w:val="21"/>
          </w:rPr>
          <w:t>10</w:t>
        </w:r>
      </w:hyperlink>
    </w:p>
    <w:p>
      <w:pPr>
        <w:tabs>
          <w:tab w:val="right" w:leader="dot" w:pos="9298"/>
        </w:tabs>
        <w:spacing w:after="40"/>
        <w:ind w:left="0"/>
      </w:pPr>
      <w:hyperlink w:anchor="_TocP130015" w:history="1">
        <w:r>
          <w:rPr>
            <w:rFonts w:ascii="Calibri" w:hAnsi="Calibri"/>
            <w:color w:val="1F2937"/>
            <w:sz w:val="21"/>
          </w:rPr>
          <w:t xml:space="preserve">8. Procédure de documentation</w:t>
        </w:r>
        <w:r>
          <w:rPr>
            <w:rFonts w:ascii="Calibri" w:hAnsi="Calibri"/>
            <w:color w:val="1F2937"/>
            <w:sz w:val="21"/>
          </w:rPr>
          <w:tab/>
        </w:r>
        <w:r>
          <w:rPr>
            <w:rFonts w:ascii="Calibri" w:hAnsi="Calibri"/>
            <w:color w:val="1F2937"/>
            <w:sz w:val="21"/>
          </w:rPr>
          <w:t>11</w:t>
        </w:r>
      </w:hyperlink>
    </w:p>
    <w:p>
      <w:pPr>
        <w:tabs>
          <w:tab w:val="right" w:leader="dot" w:pos="9298"/>
        </w:tabs>
        <w:spacing w:after="40"/>
        <w:ind w:left="340"/>
      </w:pPr>
      <w:hyperlink w:anchor="_TocP130016" w:history="1">
        <w:r>
          <w:rPr>
            <w:rFonts w:ascii="Calibri" w:hAnsi="Calibri"/>
            <w:color w:val="1F2937"/>
            <w:sz w:val="21"/>
          </w:rPr>
          <w:t xml:space="preserve">8.1 Règles de nommage</w:t>
        </w:r>
        <w:r>
          <w:rPr>
            <w:rFonts w:ascii="Calibri" w:hAnsi="Calibri"/>
            <w:color w:val="1F2937"/>
            <w:sz w:val="21"/>
          </w:rPr>
          <w:tab/>
        </w:r>
        <w:r>
          <w:rPr>
            <w:rFonts w:ascii="Calibri" w:hAnsi="Calibri"/>
            <w:color w:val="1F2937"/>
            <w:sz w:val="21"/>
          </w:rPr>
          <w:t>11</w:t>
        </w:r>
      </w:hyperlink>
    </w:p>
    <w:p>
      <w:pPr>
        <w:tabs>
          <w:tab w:val="right" w:leader="dot" w:pos="9298"/>
        </w:tabs>
        <w:spacing w:after="40"/>
        <w:ind w:left="340"/>
      </w:pPr>
      <w:hyperlink w:anchor="_TocP130017" w:history="1">
        <w:r>
          <w:rPr>
            <w:rFonts w:ascii="Calibri" w:hAnsi="Calibri"/>
            <w:color w:val="1F2937"/>
            <w:sz w:val="21"/>
          </w:rPr>
          <w:t xml:space="preserve">8.2 Règles de versionnage</w:t>
        </w:r>
        <w:r>
          <w:rPr>
            <w:rFonts w:ascii="Calibri" w:hAnsi="Calibri"/>
            <w:color w:val="1F2937"/>
            <w:sz w:val="21"/>
          </w:rPr>
          <w:tab/>
        </w:r>
        <w:r>
          <w:rPr>
            <w:rFonts w:ascii="Calibri" w:hAnsi="Calibri"/>
            <w:color w:val="1F2937"/>
            <w:sz w:val="21"/>
          </w:rPr>
          <w:t>11</w:t>
        </w:r>
      </w:hyperlink>
    </w:p>
    <w:p>
      <w:pPr>
        <w:tabs>
          <w:tab w:val="right" w:leader="dot" w:pos="9298"/>
        </w:tabs>
        <w:spacing w:after="40"/>
        <w:ind w:left="340"/>
      </w:pPr>
      <w:hyperlink w:anchor="_TocP130018" w:history="1">
        <w:r>
          <w:rPr>
            <w:rFonts w:ascii="Calibri" w:hAnsi="Calibri"/>
            <w:color w:val="1F2937"/>
            <w:sz w:val="21"/>
          </w:rPr>
          <w:t xml:space="preserve">8.3 Règles de journalisation des essais</w:t>
        </w:r>
        <w:r>
          <w:rPr>
            <w:rFonts w:ascii="Calibri" w:hAnsi="Calibri"/>
            <w:color w:val="1F2937"/>
            <w:sz w:val="21"/>
          </w:rPr>
          <w:tab/>
        </w:r>
        <w:r>
          <w:rPr>
            <w:rFonts w:ascii="Calibri" w:hAnsi="Calibri"/>
            <w:color w:val="1F2937"/>
            <w:sz w:val="21"/>
          </w:rPr>
          <w:t>11</w:t>
        </w:r>
      </w:hyperlink>
    </w:p>
    <w:p>
      <w:pPr>
        <w:tabs>
          <w:tab w:val="right" w:leader="dot" w:pos="9298"/>
        </w:tabs>
        <w:spacing w:after="40"/>
        <w:ind w:left="340"/>
      </w:pPr>
      <w:hyperlink w:anchor="_TocP130019" w:history="1">
        <w:r>
          <w:rPr>
            <w:rFonts w:ascii="Calibri" w:hAnsi="Calibri"/>
            <w:color w:val="1F2937"/>
            <w:sz w:val="21"/>
          </w:rPr>
          <w:t xml:space="preserve">8.4 Règles de rédaction des livrables</w:t>
        </w:r>
        <w:r>
          <w:rPr>
            <w:rFonts w:ascii="Calibri" w:hAnsi="Calibri"/>
            <w:color w:val="1F2937"/>
            <w:sz w:val="21"/>
          </w:rPr>
          <w:tab/>
        </w:r>
        <w:r>
          <w:rPr>
            <w:rFonts w:ascii="Calibri" w:hAnsi="Calibri"/>
            <w:color w:val="1F2937"/>
            <w:sz w:val="21"/>
          </w:rPr>
          <w:t>12</w:t>
        </w:r>
      </w:hyperlink>
    </w:p>
    <w:p>
      <w:pPr>
        <w:tabs>
          <w:tab w:val="right" w:leader="dot" w:pos="9298"/>
        </w:tabs>
        <w:spacing w:after="40"/>
        <w:ind w:left="340"/>
      </w:pPr>
      <w:hyperlink w:anchor="_TocP130020" w:history="1">
        <w:r>
          <w:rPr>
            <w:rFonts w:ascii="Calibri" w:hAnsi="Calibri"/>
            <w:color w:val="1F2937"/>
            <w:sz w:val="21"/>
          </w:rPr>
          <w:t xml:space="preserve">8.5 Contrôle avant dépôt</w:t>
        </w:r>
        <w:r>
          <w:rPr>
            <w:rFonts w:ascii="Calibri" w:hAnsi="Calibri"/>
            <w:color w:val="1F2937"/>
            <w:sz w:val="21"/>
          </w:rPr>
          <w:tab/>
        </w:r>
        <w:r>
          <w:rPr>
            <w:rFonts w:ascii="Calibri" w:hAnsi="Calibri"/>
            <w:color w:val="1F2937"/>
            <w:sz w:val="21"/>
          </w:rPr>
          <w:t>12</w:t>
        </w:r>
      </w:hyperlink>
    </w:p>
    <w:p>
      <w:pPr>
        <w:tabs>
          <w:tab w:val="right" w:leader="dot" w:pos="9298"/>
        </w:tabs>
        <w:spacing w:after="40"/>
        <w:ind w:left="0"/>
      </w:pPr>
      <w:hyperlink w:anchor="_TocP130021" w:history="1">
        <w:r>
          <w:rPr>
            <w:rFonts w:ascii="Calibri" w:hAnsi="Calibri"/>
            <w:color w:val="1F2937"/>
            <w:sz w:val="21"/>
          </w:rPr>
          <w:t xml:space="preserve">9. Posture de conseil adoptée</w:t>
        </w:r>
        <w:r>
          <w:rPr>
            <w:rFonts w:ascii="Calibri" w:hAnsi="Calibri"/>
            <w:color w:val="1F2937"/>
            <w:sz w:val="21"/>
          </w:rPr>
          <w:tab/>
        </w:r>
        <w:r>
          <w:rPr>
            <w:rFonts w:ascii="Calibri" w:hAnsi="Calibri"/>
            <w:color w:val="1F2937"/>
            <w:sz w:val="21"/>
          </w:rPr>
          <w:t>12</w:t>
        </w:r>
      </w:hyperlink>
    </w:p>
    <w:p>
      <w:pPr>
        <w:tabs>
          <w:tab w:val="right" w:leader="dot" w:pos="9298"/>
        </w:tabs>
        <w:spacing w:after="40"/>
        <w:ind w:left="340"/>
      </w:pPr>
      <w:hyperlink w:anchor="_TocP130022" w:history="1">
        <w:r>
          <w:rPr>
            <w:rFonts w:ascii="Calibri" w:hAnsi="Calibri"/>
            <w:color w:val="1F2937"/>
            <w:sz w:val="21"/>
          </w:rPr>
          <w:t xml:space="preserve">9.1 Ce que le positionnement change concrètement</w:t>
        </w:r>
        <w:r>
          <w:rPr>
            <w:rFonts w:ascii="Calibri" w:hAnsi="Calibri"/>
            <w:color w:val="1F2937"/>
            <w:sz w:val="21"/>
          </w:rPr>
          <w:tab/>
        </w:r>
        <w:r>
          <w:rPr>
            <w:rFonts w:ascii="Calibri" w:hAnsi="Calibri"/>
            <w:color w:val="1F2937"/>
            <w:sz w:val="21"/>
          </w:rPr>
          <w:t>12</w:t>
        </w:r>
      </w:hyperlink>
    </w:p>
    <w:p>
      <w:pPr>
        <w:tabs>
          <w:tab w:val="right" w:leader="dot" w:pos="9298"/>
        </w:tabs>
        <w:spacing w:after="40"/>
        <w:ind w:left="340"/>
      </w:pPr>
      <w:hyperlink w:anchor="_TocP130023" w:history="1">
        <w:r>
          <w:rPr>
            <w:rFonts w:ascii="Calibri" w:hAnsi="Calibri"/>
            <w:color w:val="1F2937"/>
            <w:sz w:val="21"/>
          </w:rPr>
          <w:t xml:space="preserve">9.2 Limites du mandat, énoncées au commanditaire</w:t>
        </w:r>
        <w:r>
          <w:rPr>
            <w:rFonts w:ascii="Calibri" w:hAnsi="Calibri"/>
            <w:color w:val="1F2937"/>
            <w:sz w:val="21"/>
          </w:rPr>
          <w:tab/>
        </w:r>
        <w:r>
          <w:rPr>
            <w:rFonts w:ascii="Calibri" w:hAnsi="Calibri"/>
            <w:color w:val="1F2937"/>
            <w:sz w:val="21"/>
          </w:rPr>
          <w:t>12</w:t>
        </w:r>
      </w:hyperlink>
    </w:p>
    <w:p>
      <w:pPr>
        <w:tabs>
          <w:tab w:val="right" w:leader="dot" w:pos="9298"/>
        </w:tabs>
        <w:spacing w:after="40"/>
        <w:ind w:left="340"/>
      </w:pPr>
      <w:hyperlink w:anchor="_TocP130024" w:history="1">
        <w:r>
          <w:rPr>
            <w:rFonts w:ascii="Calibri" w:hAnsi="Calibri"/>
            <w:color w:val="1F2937"/>
            <w:sz w:val="21"/>
          </w:rPr>
          <w:t xml:space="preserve">9.3 Accompagnement des équipes</w:t>
        </w:r>
        <w:r>
          <w:rPr>
            <w:rFonts w:ascii="Calibri" w:hAnsi="Calibri"/>
            <w:color w:val="1F2937"/>
            <w:sz w:val="21"/>
          </w:rPr>
          <w:tab/>
        </w:r>
        <w:r>
          <w:rPr>
            <w:rFonts w:ascii="Calibri" w:hAnsi="Calibri"/>
            <w:color w:val="1F2937"/>
            <w:sz w:val="21"/>
          </w:rPr>
          <w:t>13</w:t>
        </w:r>
      </w:hyperlink>
    </w:p>
    <w:p>
      <w:pPr>
        <w:tabs>
          <w:tab w:val="right" w:leader="dot" w:pos="9298"/>
        </w:tabs>
        <w:spacing w:after="40"/>
        <w:ind w:left="0"/>
      </w:pPr>
      <w:hyperlink w:anchor="_TocP130025" w:history="1">
        <w:r>
          <w:rPr>
            <w:rFonts w:ascii="Calibri" w:hAnsi="Calibri"/>
            <w:color w:val="1F2937"/>
            <w:sz w:val="21"/>
          </w:rPr>
          <w:t xml:space="preserve">10. Synthèse et prochaines étapes</w:t>
        </w:r>
        <w:r>
          <w:rPr>
            <w:rFonts w:ascii="Calibri" w:hAnsi="Calibri"/>
            <w:color w:val="1F2937"/>
            <w:sz w:val="21"/>
          </w:rPr>
          <w:tab/>
        </w:r>
        <w:r>
          <w:rPr>
            <w:rFonts w:ascii="Calibri" w:hAnsi="Calibri"/>
            <w:color w:val="1F2937"/>
            <w:sz w:val="21"/>
          </w:rPr>
          <w:t>13</w:t>
        </w:r>
      </w:hyperlink>
    </w:p>
    <w:p>
      <w:pPr>
        <w:tabs>
          <w:tab w:val="right" w:leader="dot" w:pos="9298"/>
        </w:tabs>
        <w:spacing w:after="40"/>
        <w:ind w:left="0"/>
      </w:pPr>
      <w:hyperlink w:anchor="_TocP130026" w:history="1">
        <w:r>
          <w:rPr>
            <w:rFonts w:ascii="Calibri" w:hAnsi="Calibri"/>
            <w:color w:val="1F2937"/>
            <w:sz w:val="21"/>
          </w:rPr>
          <w:t xml:space="preserve">Annexe A. Journal brut des essais d'IA</w:t>
        </w:r>
        <w:r>
          <w:rPr>
            <w:rFonts w:ascii="Calibri" w:hAnsi="Calibri"/>
            <w:color w:val="1F2937"/>
            <w:sz w:val="21"/>
          </w:rPr>
          <w:tab/>
        </w:r>
        <w:r>
          <w:rPr>
            <w:rFonts w:ascii="Calibri" w:hAnsi="Calibri"/>
            <w:color w:val="1F2937"/>
            <w:sz w:val="21"/>
          </w:rPr>
          <w:t>14</w:t>
        </w:r>
      </w:hyperlink>
    </w:p>
    <w:p>
      <w:pPr>
        <w:tabs>
          <w:tab w:val="right" w:leader="dot" w:pos="9298"/>
        </w:tabs>
        <w:spacing w:after="40"/>
        <w:ind w:left="340"/>
      </w:pPr>
      <w:hyperlink w:anchor="_TocP130027" w:history="1">
        <w:r>
          <w:rPr>
            <w:rFonts w:ascii="Calibri" w:hAnsi="Calibri"/>
            <w:color w:val="1F2937"/>
            <w:sz w:val="21"/>
          </w:rPr>
          <w:t xml:space="preserve">A.1 Axe 1, qualité des données</w:t>
        </w:r>
        <w:r>
          <w:rPr>
            <w:rFonts w:ascii="Calibri" w:hAnsi="Calibri"/>
            <w:color w:val="1F2937"/>
            <w:sz w:val="21"/>
          </w:rPr>
          <w:tab/>
        </w:r>
        <w:r>
          <w:rPr>
            <w:rFonts w:ascii="Calibri" w:hAnsi="Calibri"/>
            <w:color w:val="1F2937"/>
            <w:sz w:val="21"/>
          </w:rPr>
          <w:t>14</w:t>
        </w:r>
      </w:hyperlink>
    </w:p>
    <w:p>
      <w:pPr>
        <w:tabs>
          <w:tab w:val="right" w:leader="dot" w:pos="9298"/>
        </w:tabs>
        <w:spacing w:after="40"/>
        <w:ind w:left="340"/>
      </w:pPr>
      <w:hyperlink w:anchor="_TocP130028" w:history="1">
        <w:r>
          <w:rPr>
            <w:rFonts w:ascii="Calibri" w:hAnsi="Calibri"/>
            <w:color w:val="1F2937"/>
            <w:sz w:val="21"/>
          </w:rPr>
          <w:t xml:space="preserve">A.2 Axe 2, performance et reproductibilité</w:t>
        </w:r>
        <w:r>
          <w:rPr>
            <w:rFonts w:ascii="Calibri" w:hAnsi="Calibri"/>
            <w:color w:val="1F2937"/>
            <w:sz w:val="21"/>
          </w:rPr>
          <w:tab/>
        </w:r>
        <w:r>
          <w:rPr>
            <w:rFonts w:ascii="Calibri" w:hAnsi="Calibri"/>
            <w:color w:val="1F2937"/>
            <w:sz w:val="21"/>
          </w:rPr>
          <w:t>15</w:t>
        </w:r>
      </w:hyperlink>
    </w:p>
    <w:p>
      <w:pPr>
        <w:tabs>
          <w:tab w:val="right" w:leader="dot" w:pos="9298"/>
        </w:tabs>
        <w:spacing w:after="40"/>
        <w:ind w:left="340"/>
      </w:pPr>
      <w:hyperlink w:anchor="_TocP130029" w:history="1">
        <w:r>
          <w:rPr>
            <w:rFonts w:ascii="Calibri" w:hAnsi="Calibri"/>
            <w:color w:val="1F2937"/>
            <w:sz w:val="21"/>
          </w:rPr>
          <w:t xml:space="preserve">A.3 Axe 3, détection d'anomalies</w:t>
        </w:r>
        <w:r>
          <w:rPr>
            <w:rFonts w:ascii="Calibri" w:hAnsi="Calibri"/>
            <w:color w:val="1F2937"/>
            <w:sz w:val="21"/>
          </w:rPr>
          <w:tab/>
        </w:r>
        <w:r>
          <w:rPr>
            <w:rFonts w:ascii="Calibri" w:hAnsi="Calibri"/>
            <w:color w:val="1F2937"/>
            <w:sz w:val="21"/>
          </w:rPr>
          <w:t>16</w:t>
        </w:r>
      </w:hyperlink>
    </w:p>
    <w:p>
      <w:pPr>
        <w:tabs>
          <w:tab w:val="right" w:leader="dot" w:pos="9298"/>
        </w:tabs>
        <w:spacing w:after="40"/>
        <w:ind w:left="340"/>
      </w:pPr>
      <w:hyperlink w:anchor="_TocP130030" w:history="1">
        <w:r>
          <w:rPr>
            <w:rFonts w:ascii="Calibri" w:hAnsi="Calibri"/>
            <w:color w:val="1F2937"/>
            <w:sz w:val="21"/>
          </w:rPr>
          <w:t xml:space="preserve">A.4 Axe 4, interprétabilité et documentation</w:t>
        </w:r>
        <w:r>
          <w:rPr>
            <w:rFonts w:ascii="Calibri" w:hAnsi="Calibri"/>
            <w:color w:val="1F2937"/>
            <w:sz w:val="21"/>
          </w:rPr>
          <w:tab/>
        </w:r>
        <w:r>
          <w:rPr>
            <w:rFonts w:ascii="Calibri" w:hAnsi="Calibri"/>
            <w:color w:val="1F2937"/>
            <w:sz w:val="21"/>
          </w:rPr>
          <w:t>16</w:t>
        </w:r>
      </w:hyperlink>
    </w:p>
    <w:p>
      <w:pPr>
        <w:tabs>
          <w:tab w:val="right" w:leader="dot" w:pos="9298"/>
        </w:tabs>
        <w:spacing w:after="40"/>
        <w:ind w:left="340"/>
      </w:pPr>
      <w:hyperlink w:anchor="_TocP130031" w:history="1">
        <w:r>
          <w:rPr>
            <w:rFonts w:ascii="Calibri" w:hAnsi="Calibri"/>
            <w:color w:val="1F2937"/>
            <w:sz w:val="21"/>
          </w:rPr>
          <w:t xml:space="preserve">A.5 Besoin 2, les chiffres du réassort</w:t>
        </w:r>
        <w:r>
          <w:rPr>
            <w:rFonts w:ascii="Calibri" w:hAnsi="Calibri"/>
            <w:color w:val="1F2937"/>
            <w:sz w:val="21"/>
          </w:rPr>
          <w:tab/>
        </w:r>
        <w:r>
          <w:rPr>
            <w:rFonts w:ascii="Calibri" w:hAnsi="Calibri"/>
            <w:color w:val="1F2937"/>
            <w:sz w:val="21"/>
          </w:rPr>
          <w:t>17</w:t>
        </w:r>
      </w:hyperlink>
      <w:r>
        <w:fldChar w:fldCharType="end"/>
      </w:r>
    </w:p>
    <w:p>
      <w:r>
        <w:br w:type="page"/>
      </w:r>
    </w:p>
    <w:p>
      <w:pPr>
        <w:pStyle w:val="Heading1"/>
      </w:pPr>
      <w:bookmarkStart w:id="7001" w:name="_TocP130001"/>
      <w:r>
        <w:t>1. Objet et méthode</w:t>
      </w:r>
      <w:bookmarkEnd w:id="7001"/>
    </w:p>
    <w:p>
      <w:r>
        <w:rPr>
          <w:rFonts w:ascii="Calibri" w:hAnsi="Calibri"/>
          <w:b w:val="0"/>
          <w:i w:val="0"/>
          <w:color w:val="333333"/>
          <w:sz w:val="21"/>
        </w:rPr>
        <w:t xml:space="preserve">Pour chaque amélioration du notebook, je donne le raisonnement demandé par l'énoncé : au moins deux options comparées, des critères explicites, la trace des essais. La démarche doit pouvoir être rejouée et présentée.</w:t>
      </w:r>
    </w:p>
    <w:p>
      <w:r>
        <w:rPr>
          <w:rFonts w:ascii="Calibri" w:hAnsi="Calibri"/>
          <w:b w:val="0"/>
          <w:i w:val="0"/>
          <w:color w:val="333333"/>
          <w:sz w:val="21"/>
        </w:rPr>
        <w:t xml:space="preserve">J'ai utilisé les assistants d'IA pour les variantes de code, la rédaction de documentation, les propositions de tests et la reformulation. Chaque sortie a été exécutée et vérifiée avant d'être intégrée. Le 7 octobre, j'ai relu et relancé les essais C et D du 25 septembre, recalculés par l'assistant dans un script séparé, et retrouvé les mêmes chiffres. Une suggestion qui n'apporte rien de mesurable est écartée, et ce rejet est noté comme le serait une adoption.</w:t>
      </w:r>
    </w:p>
    <w:p>
      <w:pPr>
        <w:spacing w:before="60" w:after="160"/>
      </w:pPr>
      <w:r>
        <w:rPr>
          <w:rFonts w:ascii="Calibri" w:hAnsi="Calibri"/>
          <w:b/>
          <w:i w:val="0"/>
          <w:color w:val="333333"/>
          <w:sz w:val="20"/>
        </w:rPr>
        <w:t xml:space="preserve">Principe directeur.</w:t>
      </w:r>
      <w:r>
        <w:rPr>
          <w:rFonts w:ascii="Calibri" w:hAnsi="Calibri"/>
          <w:b w:val="0"/>
          <w:i w:val="0"/>
          <w:color w:val="333333"/>
          <w:sz w:val="20"/>
        </w:rPr>
        <w:t xml:space="preserve"> Je ne retiens une amélioration que si elle répond à un besoin repéré au cadrage et si elle bat l'existant sur au moins un des sept critères. Garder l'existant est une décision comme une autre, et je la documente de la même façon.</w:t>
      </w:r>
    </w:p>
    <w:p>
      <w:pPr>
        <w:spacing w:after="40"/>
      </w:pPr>
    </w:p>
    <w:p>
      <w:pPr>
        <w:pStyle w:val="Heading2"/>
      </w:pPr>
      <w:bookmarkStart w:id="7002" w:name="_TocP130002"/>
      <w:r>
        <w:t>1.1 Les sept critères de comparaison</w:t>
      </w:r>
      <w:bookmarkEnd w:id="7002"/>
    </w:p>
    <w:p>
      <w:r>
        <w:rPr>
          <w:rFonts w:ascii="Calibri" w:hAnsi="Calibri"/>
          <w:b w:val="0"/>
          <w:i w:val="0"/>
          <w:color w:val="333333"/>
          <w:sz w:val="21"/>
        </w:rPr>
        <w:t>Identiques dans tout le dossier, ils sont définis dans le document de veille : qualité et robustesse, biais, coût en temps, reproductibilité, sécurité et conformité, maintenabilité, sobriété et impact.</w:t>
      </w:r>
    </w:p>
    <w:p>
      <w:pPr>
        <w:pStyle w:val="Heading2"/>
      </w:pPr>
      <w:bookmarkStart w:id="7003" w:name="_TocP130003"/>
      <w:r>
        <w:t>1.2 Hypothèses de départ</w:t>
      </w:r>
      <w:bookmarkEnd w:id="7003"/>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907"/>
            <w:shd w:val="clear" w:color="auto" w:fill="1F2937"/>
          </w:tcPr>
          <w:p>
            <w:pPr>
              <w:spacing w:after="0"/>
            </w:pPr>
            <w:r>
              <w:rPr>
                <w:rFonts w:ascii="Calibri" w:hAnsi="Calibri"/>
                <w:b/>
                <w:color w:val="FFFFFF"/>
                <w:sz w:val="18"/>
              </w:rPr>
              <w:t>Hypothèse</w:t>
            </w:r>
          </w:p>
        </w:tc>
        <w:tc>
          <w:tcPr>
            <w:tcW w:type="dxa" w:w="5329"/>
            <w:shd w:val="clear" w:color="auto" w:fill="1F2937"/>
          </w:tcPr>
          <w:p>
            <w:pPr>
              <w:spacing w:after="0"/>
            </w:pPr>
            <w:r>
              <w:rPr>
                <w:rFonts w:ascii="Calibri" w:hAnsi="Calibri"/>
                <w:b/>
                <w:color w:val="FFFFFF"/>
                <w:sz w:val="18"/>
              </w:rPr>
              <w:t>Énoncé</w:t>
            </w:r>
          </w:p>
        </w:tc>
        <w:tc>
          <w:tcPr>
            <w:tcW w:type="dxa" w:w="3061"/>
            <w:shd w:val="clear" w:color="auto" w:fill="1F2937"/>
          </w:tcPr>
          <w:p>
            <w:pPr>
              <w:spacing w:after="0"/>
            </w:pPr>
            <w:r>
              <w:rPr>
                <w:rFonts w:ascii="Calibri" w:hAnsi="Calibri"/>
                <w:b/>
                <w:color w:val="FFFFFF"/>
                <w:sz w:val="18"/>
              </w:rPr>
              <w:t>Statut après essais</w:t>
            </w:r>
          </w:p>
        </w:tc>
      </w:tr>
      <w:tr>
        <w:trPr>
          <w:cantSplit/>
        </w:trPr>
        <w:tc>
          <w:tcPr>
            <w:tcW w:type="dxa" w:w="907"/>
          </w:tcPr>
          <w:p>
            <w:pPr>
              <w:spacing w:after="0" w:line="252" w:lineRule="auto"/>
            </w:pPr>
            <w:r>
              <w:rPr>
                <w:rFonts w:ascii="Calibri" w:hAnsi="Calibri"/>
                <w:b w:val="0"/>
                <w:i w:val="0"/>
                <w:color w:val="333333"/>
                <w:sz w:val="18"/>
              </w:rPr>
              <w:t>H1</w:t>
            </w:r>
          </w:p>
        </w:tc>
        <w:tc>
          <w:tcPr>
            <w:tcW w:type="dxa" w:w="5329"/>
          </w:tcPr>
          <w:p>
            <w:pPr>
              <w:spacing w:after="0" w:line="252" w:lineRule="auto"/>
            </w:pPr>
            <w:r>
              <w:rPr>
                <w:rFonts w:ascii="Calibri" w:hAnsi="Calibri"/>
                <w:b w:val="0"/>
                <w:i w:val="0"/>
                <w:color w:val="333333"/>
                <w:sz w:val="18"/>
              </w:rPr>
              <w:t xml:space="preserve">La qualité des données peut être contrôlée par un contrat déclaratif plutôt que par des contrôles écrits à la main</w:t>
            </w:r>
          </w:p>
        </w:tc>
        <w:tc>
          <w:tcPr>
            <w:tcW w:type="dxa" w:w="3061"/>
          </w:tcPr>
          <w:p>
            <w:pPr>
              <w:spacing w:after="0" w:line="252" w:lineRule="auto"/>
            </w:pPr>
            <w:r>
              <w:rPr>
                <w:rFonts w:ascii="Calibri" w:hAnsi="Calibri"/>
                <w:b w:val="0"/>
                <w:i w:val="0"/>
                <w:color w:val="333333"/>
                <w:sz w:val="18"/>
              </w:rPr>
              <w:t>Confirmée</w:t>
            </w:r>
          </w:p>
        </w:tc>
      </w:tr>
      <w:tr>
        <w:trPr>
          <w:cantSplit/>
        </w:trPr>
        <w:tc>
          <w:tcPr>
            <w:tcW w:type="dxa" w:w="907"/>
            <w:shd w:val="clear" w:color="auto" w:fill="F1F5F9"/>
          </w:tcPr>
          <w:p>
            <w:pPr>
              <w:spacing w:after="0" w:line="252" w:lineRule="auto"/>
            </w:pPr>
            <w:r>
              <w:rPr>
                <w:rFonts w:ascii="Calibri" w:hAnsi="Calibri"/>
                <w:b w:val="0"/>
                <w:i w:val="0"/>
                <w:color w:val="333333"/>
                <w:sz w:val="18"/>
              </w:rPr>
              <w:t>H2</w:t>
            </w:r>
          </w:p>
        </w:tc>
        <w:tc>
          <w:tcPr>
            <w:tcW w:type="dxa" w:w="5329"/>
            <w:shd w:val="clear" w:color="auto" w:fill="F1F5F9"/>
          </w:tcPr>
          <w:p>
            <w:pPr>
              <w:spacing w:after="0" w:line="252" w:lineRule="auto"/>
            </w:pPr>
            <w:r>
              <w:rPr>
                <w:rFonts w:ascii="Calibri" w:hAnsi="Calibri"/>
                <w:b w:val="0"/>
                <w:i w:val="0"/>
                <w:color w:val="333333"/>
                <w:sz w:val="18"/>
              </w:rPr>
              <w:t xml:space="preserve">À la volumétrie actuelle, changer d'outil de calcul n'apporte pas de gain significatif, mais le gain existe à plus grande échelle</w:t>
            </w:r>
          </w:p>
        </w:tc>
        <w:tc>
          <w:tcPr>
            <w:tcW w:type="dxa" w:w="3061"/>
            <w:shd w:val="clear" w:color="auto" w:fill="F1F5F9"/>
          </w:tcPr>
          <w:p>
            <w:pPr>
              <w:spacing w:after="0" w:line="252" w:lineRule="auto"/>
            </w:pPr>
            <w:r>
              <w:rPr>
                <w:rFonts w:ascii="Calibri" w:hAnsi="Calibri"/>
                <w:b w:val="0"/>
                <w:i w:val="0"/>
                <w:color w:val="333333"/>
                <w:sz w:val="18"/>
              </w:rPr>
              <w:t>Confirmée dans les deux volets</w:t>
            </w:r>
          </w:p>
        </w:tc>
      </w:tr>
      <w:tr>
        <w:trPr>
          <w:cantSplit/>
        </w:trPr>
        <w:tc>
          <w:tcPr>
            <w:tcW w:type="dxa" w:w="907"/>
          </w:tcPr>
          <w:p>
            <w:pPr>
              <w:spacing w:after="0" w:line="252" w:lineRule="auto"/>
            </w:pPr>
            <w:r>
              <w:rPr>
                <w:rFonts w:ascii="Calibri" w:hAnsi="Calibri"/>
                <w:b w:val="0"/>
                <w:i w:val="0"/>
                <w:color w:val="333333"/>
                <w:sz w:val="18"/>
              </w:rPr>
              <w:t>H3</w:t>
            </w:r>
          </w:p>
        </w:tc>
        <w:tc>
          <w:tcPr>
            <w:tcW w:type="dxa" w:w="5329"/>
          </w:tcPr>
          <w:p>
            <w:pPr>
              <w:spacing w:after="0" w:line="252" w:lineRule="auto"/>
            </w:pPr>
            <w:r>
              <w:rPr>
                <w:rFonts w:ascii="Calibri" w:hAnsi="Calibri"/>
                <w:b w:val="0"/>
                <w:i w:val="0"/>
                <w:color w:val="333333"/>
                <w:sz w:val="18"/>
              </w:rPr>
              <w:t>Une détection d'anomalies multivariée capte des cas que la méthode univariée ignore</w:t>
            </w:r>
          </w:p>
        </w:tc>
        <w:tc>
          <w:tcPr>
            <w:tcW w:type="dxa" w:w="3061"/>
          </w:tcPr>
          <w:p>
            <w:pPr>
              <w:spacing w:after="0" w:line="252" w:lineRule="auto"/>
            </w:pPr>
            <w:r>
              <w:rPr>
                <w:rFonts w:ascii="Calibri" w:hAnsi="Calibri"/>
                <w:b w:val="0"/>
                <w:i w:val="0"/>
                <w:color w:val="333333"/>
                <w:sz w:val="18"/>
              </w:rPr>
              <w:t xml:space="preserve">Confirmée : 26 signaux de plus (leur nombre découle du taux de 5 %), dont un cas avéré, une référence affichée sous son prix d'achat</w:t>
            </w:r>
          </w:p>
        </w:tc>
      </w:tr>
      <w:tr>
        <w:trPr>
          <w:cantSplit/>
        </w:trPr>
        <w:tc>
          <w:tcPr>
            <w:tcW w:type="dxa" w:w="907"/>
            <w:shd w:val="clear" w:color="auto" w:fill="F1F5F9"/>
          </w:tcPr>
          <w:p>
            <w:pPr>
              <w:spacing w:after="0" w:line="252" w:lineRule="auto"/>
            </w:pPr>
            <w:r>
              <w:rPr>
                <w:rFonts w:ascii="Calibri" w:hAnsi="Calibri"/>
                <w:b w:val="0"/>
                <w:i w:val="0"/>
                <w:color w:val="333333"/>
                <w:sz w:val="18"/>
              </w:rPr>
              <w:t>H4</w:t>
            </w:r>
          </w:p>
        </w:tc>
        <w:tc>
          <w:tcPr>
            <w:tcW w:type="dxa" w:w="5329"/>
            <w:shd w:val="clear" w:color="auto" w:fill="F1F5F9"/>
          </w:tcPr>
          <w:p>
            <w:pPr>
              <w:spacing w:after="0" w:line="252" w:lineRule="auto"/>
            </w:pPr>
            <w:r>
              <w:rPr>
                <w:rFonts w:ascii="Calibri" w:hAnsi="Calibri"/>
                <w:b w:val="0"/>
                <w:i w:val="0"/>
                <w:color w:val="333333"/>
                <w:sz w:val="18"/>
              </w:rPr>
              <w:t>Le volume de ventes s'explique par des facteurs identifiables et démontrables</w:t>
            </w:r>
          </w:p>
        </w:tc>
        <w:tc>
          <w:tcPr>
            <w:tcW w:type="dxa" w:w="3061"/>
            <w:shd w:val="clear" w:color="auto" w:fill="F1F5F9"/>
          </w:tcPr>
          <w:p>
            <w:pPr>
              <w:spacing w:after="0" w:line="252" w:lineRule="auto"/>
            </w:pPr>
            <w:r>
              <w:rPr>
                <w:rFonts w:ascii="Calibri" w:hAnsi="Calibri"/>
                <w:b w:val="0"/>
                <w:i w:val="0"/>
                <w:color w:val="333333"/>
                <w:sz w:val="18"/>
              </w:rPr>
              <w:t>Confirmée avec réserve, voir les limites en section 7</w:t>
            </w:r>
          </w:p>
        </w:tc>
      </w:tr>
    </w:tbl>
    <w:p>
      <w:pPr>
        <w:spacing w:after="40"/>
      </w:pPr>
    </w:p>
    <w:p>
      <w:pPr>
        <w:pStyle w:val="Heading1"/>
      </w:pPr>
      <w:bookmarkStart w:id="7004" w:name="_TocP130004"/>
      <w:r>
        <w:t>2. Journal de traçabilité des essais d'IA</w:t>
      </w:r>
      <w:bookmarkEnd w:id="7004"/>
    </w:p>
    <w:p>
      <w:r>
        <w:rPr>
          <w:rFonts w:ascii="Calibri" w:hAnsi="Calibri"/>
          <w:b w:val="0"/>
          <w:i w:val="0"/>
          <w:color w:val="333333"/>
          <w:sz w:val="21"/>
        </w:rPr>
        <w:t xml:space="preserve">Chaque tableau donne la demande à l'assistant, les variantes, le résultat mesuré, la décision et son motif. Les essais consignés ont été menés avec Claude (Anthropic). J'ai aussi utilisé ChatGPT (OpenAI), surtout pour la rédaction, la relecture, la recherche d'idées et le code ; ces échanges n'ont pas été archivés. Le journal brut (outil, dates, extraits de code et de sorties, retouches à la main) est en annexe A et dans le dossier journal_essais_IA, à côté du notebook.</w:t>
      </w:r>
    </w:p>
    <w:p>
      <w:pPr>
        <w:pStyle w:val="Heading2"/>
      </w:pPr>
      <w:bookmarkStart w:id="7005" w:name="_TocP130005"/>
      <w:r>
        <w:t>2.1 Axe 1, qualité des données</w:t>
      </w:r>
      <w:bookmarkEnd w:id="7005"/>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2268"/>
            <w:shd w:val="clear" w:color="auto" w:fill="1F2937"/>
          </w:tcPr>
          <w:p>
            <w:pPr>
              <w:spacing w:after="0"/>
            </w:pPr>
            <w:r>
              <w:rPr>
                <w:rFonts w:ascii="Calibri" w:hAnsi="Calibri"/>
                <w:b/>
                <w:color w:val="FFFFFF"/>
                <w:sz w:val="18"/>
              </w:rPr>
              <w:t>Élément</w:t>
            </w:r>
          </w:p>
        </w:tc>
        <w:tc>
          <w:tcPr>
            <w:tcW w:type="dxa" w:w="7030"/>
            <w:shd w:val="clear" w:color="auto" w:fill="1F2937"/>
          </w:tcPr>
          <w:p>
            <w:pPr>
              <w:spacing w:after="0"/>
            </w:pPr>
            <w:r>
              <w:rPr>
                <w:rFonts w:ascii="Calibri" w:hAnsi="Calibri"/>
                <w:b/>
                <w:color w:val="FFFFFF"/>
                <w:sz w:val="18"/>
              </w:rPr>
              <w:t>Détail</w:t>
            </w:r>
          </w:p>
        </w:tc>
      </w:tr>
      <w:tr>
        <w:trPr>
          <w:cantSplit/>
        </w:trPr>
        <w:tc>
          <w:tcPr>
            <w:tcW w:type="dxa" w:w="2268"/>
          </w:tcPr>
          <w:p>
            <w:pPr>
              <w:spacing w:after="0" w:line="252" w:lineRule="auto"/>
            </w:pPr>
            <w:r>
              <w:rPr>
                <w:rFonts w:ascii="Calibri" w:hAnsi="Calibri"/>
                <w:b w:val="0"/>
                <w:i w:val="0"/>
                <w:color w:val="333333"/>
                <w:sz w:val="18"/>
              </w:rPr>
              <w:t>Demande adressée à l'assistant</w:t>
            </w:r>
          </w:p>
        </w:tc>
        <w:tc>
          <w:tcPr>
            <w:tcW w:type="dxa" w:w="7030"/>
          </w:tcPr>
          <w:p>
            <w:pPr>
              <w:spacing w:after="0" w:line="252" w:lineRule="auto"/>
            </w:pPr>
            <w:r>
              <w:rPr>
                <w:rFonts w:ascii="Calibri" w:hAnsi="Calibri"/>
                <w:b w:val="0"/>
                <w:i w:val="0"/>
                <w:color w:val="333333"/>
                <w:sz w:val="18"/>
              </w:rPr>
              <w:t xml:space="preserve">Convertir les neuf contrôles écrits à la main, sur l'ERP, le site et la table de liaison, en un schéma de validation typé et réutilisable qui produise un rapport des lignes en infraction. Comparer deux bibliothèques de validation.</w:t>
            </w:r>
          </w:p>
        </w:tc>
      </w:tr>
      <w:tr>
        <w:trPr>
          <w:cantSplit/>
        </w:trPr>
        <w:tc>
          <w:tcPr>
            <w:tcW w:type="dxa" w:w="2268"/>
            <w:shd w:val="clear" w:color="auto" w:fill="F1F5F9"/>
          </w:tcPr>
          <w:p>
            <w:pPr>
              <w:spacing w:after="0" w:line="252" w:lineRule="auto"/>
            </w:pPr>
            <w:r>
              <w:rPr>
                <w:rFonts w:ascii="Calibri" w:hAnsi="Calibri"/>
                <w:b w:val="0"/>
                <w:i w:val="0"/>
                <w:color w:val="333333"/>
                <w:sz w:val="18"/>
              </w:rPr>
              <w:t>Variantes testées</w:t>
            </w:r>
          </w:p>
        </w:tc>
        <w:tc>
          <w:tcPr>
            <w:tcW w:type="dxa" w:w="7030"/>
            <w:shd w:val="clear" w:color="auto" w:fill="F1F5F9"/>
          </w:tcPr>
          <w:p>
            <w:pPr>
              <w:spacing w:after="0" w:line="252" w:lineRule="auto"/>
            </w:pPr>
            <w:r>
              <w:rPr>
                <w:rFonts w:ascii="Calibri" w:hAnsi="Calibri"/>
                <w:b w:val="0"/>
                <w:i w:val="0"/>
                <w:color w:val="333333"/>
                <w:sz w:val="18"/>
              </w:rPr>
              <w:t xml:space="preserve">Assertions écrites à la main et Pandera, exécutés ; Great Expectations, comparé sur sa documentation</w:t>
            </w:r>
          </w:p>
        </w:tc>
      </w:tr>
      <w:tr>
        <w:trPr>
          <w:cantSplit/>
        </w:trPr>
        <w:tc>
          <w:tcPr>
            <w:tcW w:type="dxa" w:w="2268"/>
          </w:tcPr>
          <w:p>
            <w:pPr>
              <w:spacing w:after="0" w:line="252" w:lineRule="auto"/>
            </w:pPr>
            <w:r>
              <w:rPr>
                <w:rFonts w:ascii="Calibri" w:hAnsi="Calibri"/>
                <w:b w:val="0"/>
                <w:i w:val="0"/>
                <w:color w:val="333333"/>
                <w:sz w:val="18"/>
              </w:rPr>
              <w:t>Résultat mesuré</w:t>
            </w:r>
          </w:p>
        </w:tc>
        <w:tc>
          <w:tcPr>
            <w:tcW w:type="dxa" w:w="7030"/>
          </w:tcPr>
          <w:p>
            <w:pPr>
              <w:spacing w:after="0" w:line="252" w:lineRule="auto"/>
            </w:pPr>
            <w:r>
              <w:rPr>
                <w:rFonts w:ascii="Calibri" w:hAnsi="Calibri"/>
                <w:b w:val="0"/>
                <w:i w:val="0"/>
                <w:color w:val="333333"/>
                <w:sz w:val="18"/>
              </w:rPr>
              <w:t xml:space="preserve">Le contrat retrouve toutes les anomalies des trois règles de l'ERP (prix, stocks, marges) ; les six autres types d'erreurs, sur le site et la table de liaison, restent comptés par la cellule d'audit. Le schéma déclaratif tient en 14 lignes ; les neuf contrôles manuels du projet 6, sur un périmètre plus large, en demandaient environ 55. Le rapport est produit automatiquement. Neuf lignes de l'ERP sur 825 sont en infraction.</w:t>
            </w:r>
          </w:p>
        </w:tc>
      </w:tr>
      <w:tr>
        <w:trPr>
          <w:cantSplit/>
        </w:trPr>
        <w:tc>
          <w:tcPr>
            <w:tcW w:type="dxa" w:w="2268"/>
            <w:shd w:val="clear" w:color="auto" w:fill="F1F5F9"/>
          </w:tcPr>
          <w:p>
            <w:pPr>
              <w:spacing w:after="0" w:line="252" w:lineRule="auto"/>
            </w:pPr>
            <w:r>
              <w:rPr>
                <w:rFonts w:ascii="Calibri" w:hAnsi="Calibri"/>
                <w:b w:val="0"/>
                <w:i w:val="0"/>
                <w:color w:val="333333"/>
                <w:sz w:val="18"/>
              </w:rPr>
              <w:t>Décision</w:t>
            </w:r>
          </w:p>
        </w:tc>
        <w:tc>
          <w:tcPr>
            <w:tcW w:type="dxa" w:w="7030"/>
            <w:shd w:val="clear" w:color="auto" w:fill="F1F5F9"/>
          </w:tcPr>
          <w:p>
            <w:pPr>
              <w:spacing w:after="0" w:line="252" w:lineRule="auto"/>
            </w:pPr>
            <w:r>
              <w:rPr>
                <w:rFonts w:ascii="Calibri" w:hAnsi="Calibri"/>
                <w:b w:val="0"/>
                <w:i w:val="0"/>
                <w:color w:val="333333"/>
                <w:sz w:val="18"/>
              </w:rPr>
              <w:t>Pandera retenu. Great Expectations écarté pour un notebook, gardé en réserve pour un pipeline. Contrôles manuels écartés car non réutilisables.</w:t>
            </w:r>
          </w:p>
        </w:tc>
      </w:tr>
      <w:tr>
        <w:trPr>
          <w:cantSplit/>
        </w:trPr>
        <w:tc>
          <w:tcPr>
            <w:tcW w:type="dxa" w:w="2268"/>
          </w:tcPr>
          <w:p>
            <w:pPr>
              <w:spacing w:after="0" w:line="252" w:lineRule="auto"/>
            </w:pPr>
            <w:r>
              <w:rPr>
                <w:rFonts w:ascii="Calibri" w:hAnsi="Calibri"/>
                <w:b w:val="0"/>
                <w:i w:val="0"/>
                <w:color w:val="333333"/>
                <w:sz w:val="18"/>
              </w:rPr>
              <w:t>Vérification humaine</w:t>
            </w:r>
          </w:p>
        </w:tc>
        <w:tc>
          <w:tcPr>
            <w:tcW w:type="dxa" w:w="7030"/>
          </w:tcPr>
          <w:p>
            <w:pPr>
              <w:spacing w:after="0" w:line="252" w:lineRule="auto"/>
            </w:pPr>
            <w:r>
              <w:rPr>
                <w:rFonts w:ascii="Calibri" w:hAnsi="Calibri"/>
                <w:b w:val="0"/>
                <w:i w:val="0"/>
                <w:color w:val="333333"/>
                <w:sz w:val="18"/>
              </w:rPr>
              <w:t>Le décompte du schéma a été confronté ligne à ligne à l'audit manuel. Un écart d'affichage a été corrigé, voir la note ci-dessous.</w:t>
            </w:r>
          </w:p>
        </w:tc>
      </w:tr>
    </w:tbl>
    <w:p>
      <w:pPr>
        <w:spacing w:after="40"/>
      </w:pPr>
    </w:p>
    <w:p>
      <w:pPr>
        <w:spacing w:before="60" w:after="160"/>
      </w:pPr>
      <w:r>
        <w:rPr>
          <w:rFonts w:ascii="Calibri" w:hAnsi="Calibri"/>
          <w:b/>
          <w:i w:val="0"/>
          <w:color w:val="333333"/>
          <w:sz w:val="20"/>
        </w:rPr>
        <w:t>Note de lecture importante.</w:t>
      </w:r>
      <w:r>
        <w:rPr>
          <w:rFonts w:ascii="Calibri" w:hAnsi="Calibri"/>
          <w:b w:val="0"/>
          <w:i w:val="0"/>
          <w:color w:val="333333"/>
          <w:sz w:val="20"/>
        </w:rPr>
        <w:t xml:space="preserve"> Un contrôle portant sur l'ensemble du tableau, comme la règle de marge négative, remonte un cas par colonne et par ligne fautive. Sept lignes fautives sur six colonnes produisent donc 42 cas dans le rapport brut, ce qui prête à confusion. Le rapport a été réécrit pour afficher le nombre de lignes uniques concernées, soit 9 sur 825. C'est ce chiffre qui figure dans le cahier des charges.</w:t>
      </w:r>
    </w:p>
    <w:p>
      <w:pPr>
        <w:spacing w:after="40"/>
      </w:pPr>
    </w:p>
    <w:p>
      <w:pPr>
        <w:pStyle w:val="Heading2"/>
      </w:pPr>
      <w:bookmarkStart w:id="7006" w:name="_TocP130006"/>
      <w:r>
        <w:t>2.2 Axe 2, performance et reproductibilité</w:t>
      </w:r>
      <w:bookmarkEnd w:id="7006"/>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2268"/>
            <w:shd w:val="clear" w:color="auto" w:fill="1F2937"/>
          </w:tcPr>
          <w:p>
            <w:pPr>
              <w:spacing w:after="0"/>
            </w:pPr>
            <w:r>
              <w:rPr>
                <w:rFonts w:ascii="Calibri" w:hAnsi="Calibri"/>
                <w:b/>
                <w:color w:val="FFFFFF"/>
                <w:sz w:val="18"/>
              </w:rPr>
              <w:t>Élément</w:t>
            </w:r>
          </w:p>
        </w:tc>
        <w:tc>
          <w:tcPr>
            <w:tcW w:type="dxa" w:w="7030"/>
            <w:shd w:val="clear" w:color="auto" w:fill="1F2937"/>
          </w:tcPr>
          <w:p>
            <w:pPr>
              <w:spacing w:after="0"/>
            </w:pPr>
            <w:r>
              <w:rPr>
                <w:rFonts w:ascii="Calibri" w:hAnsi="Calibri"/>
                <w:b/>
                <w:color w:val="FFFFFF"/>
                <w:sz w:val="18"/>
              </w:rPr>
              <w:t>Détail</w:t>
            </w:r>
          </w:p>
        </w:tc>
      </w:tr>
      <w:tr>
        <w:trPr>
          <w:cantSplit/>
        </w:trPr>
        <w:tc>
          <w:tcPr>
            <w:tcW w:type="dxa" w:w="2268"/>
          </w:tcPr>
          <w:p>
            <w:pPr>
              <w:spacing w:after="0" w:line="252" w:lineRule="auto"/>
            </w:pPr>
            <w:r>
              <w:rPr>
                <w:rFonts w:ascii="Calibri" w:hAnsi="Calibri"/>
                <w:b w:val="0"/>
                <w:i w:val="0"/>
                <w:color w:val="333333"/>
                <w:sz w:val="18"/>
              </w:rPr>
              <w:t>Demande adressée à l'assistant</w:t>
            </w:r>
          </w:p>
        </w:tc>
        <w:tc>
          <w:tcPr>
            <w:tcW w:type="dxa" w:w="7030"/>
          </w:tcPr>
          <w:p>
            <w:pPr>
              <w:spacing w:after="0" w:line="252" w:lineRule="auto"/>
            </w:pPr>
            <w:r>
              <w:rPr>
                <w:rFonts w:ascii="Calibri" w:hAnsi="Calibri"/>
                <w:b w:val="0"/>
                <w:i w:val="0"/>
                <w:color w:val="333333"/>
                <w:sz w:val="18"/>
              </w:rPr>
              <w:t xml:space="preserve">Réécrire la jointure et l'agrégation dans deux outils alternatifs, puis comparer les trois implémentations en temps médian sur plusieurs exécutions, d'abord à la volumétrie réelle puis sur un jeu synthétique de deux millions de lignes.</w:t>
            </w:r>
          </w:p>
        </w:tc>
      </w:tr>
      <w:tr>
        <w:trPr>
          <w:cantSplit/>
        </w:trPr>
        <w:tc>
          <w:tcPr>
            <w:tcW w:type="dxa" w:w="2268"/>
            <w:shd w:val="clear" w:color="auto" w:fill="F1F5F9"/>
          </w:tcPr>
          <w:p>
            <w:pPr>
              <w:spacing w:after="0" w:line="252" w:lineRule="auto"/>
            </w:pPr>
            <w:r>
              <w:rPr>
                <w:rFonts w:ascii="Calibri" w:hAnsi="Calibri"/>
                <w:b w:val="0"/>
                <w:i w:val="0"/>
                <w:color w:val="333333"/>
                <w:sz w:val="18"/>
              </w:rPr>
              <w:t>Variantes testées</w:t>
            </w:r>
          </w:p>
        </w:tc>
        <w:tc>
          <w:tcPr>
            <w:tcW w:type="dxa" w:w="7030"/>
            <w:shd w:val="clear" w:color="auto" w:fill="F1F5F9"/>
          </w:tcPr>
          <w:p>
            <w:pPr>
              <w:spacing w:after="0" w:line="252" w:lineRule="auto"/>
            </w:pPr>
            <w:r>
              <w:rPr>
                <w:rFonts w:ascii="Calibri" w:hAnsi="Calibri"/>
                <w:b w:val="0"/>
                <w:i w:val="0"/>
                <w:color w:val="333333"/>
                <w:sz w:val="18"/>
              </w:rPr>
              <w:t>pandas ; Polars ; DuckDB</w:t>
            </w:r>
          </w:p>
        </w:tc>
      </w:tr>
      <w:tr>
        <w:trPr>
          <w:cantSplit/>
        </w:trPr>
        <w:tc>
          <w:tcPr>
            <w:tcW w:type="dxa" w:w="2268"/>
          </w:tcPr>
          <w:p>
            <w:pPr>
              <w:spacing w:after="0" w:line="252" w:lineRule="auto"/>
            </w:pPr>
            <w:r>
              <w:rPr>
                <w:rFonts w:ascii="Calibri" w:hAnsi="Calibri"/>
                <w:b w:val="0"/>
                <w:i w:val="0"/>
                <w:color w:val="333333"/>
                <w:sz w:val="18"/>
              </w:rPr>
              <w:t>Résultat mesuré</w:t>
            </w:r>
          </w:p>
        </w:tc>
        <w:tc>
          <w:tcPr>
            <w:tcW w:type="dxa" w:w="7030"/>
          </w:tcPr>
          <w:p>
            <w:pPr>
              <w:spacing w:after="0" w:line="252" w:lineRule="auto"/>
            </w:pPr>
            <w:r>
              <w:rPr>
                <w:rFonts w:ascii="Calibri" w:hAnsi="Calibri"/>
                <w:b w:val="0"/>
                <w:i w:val="0"/>
                <w:color w:val="333333"/>
                <w:sz w:val="18"/>
              </w:rPr>
              <w:t xml:space="preserve">À 825 lignes, les trois outils s'exécutent en moins de 40 millisecondes ; DuckDB est le plus lent, à cause de son temps d'initialisation. À deux millions de lignes, Polars et DuckDB sont 4,1 fois et 2,9 fois plus rapides que pandas dans l'exécution livrée ; 8,1 et 5,7 fois sur mon poste le 25 septembre.</w:t>
            </w:r>
          </w:p>
        </w:tc>
      </w:tr>
      <w:tr>
        <w:trPr>
          <w:cantSplit/>
        </w:trPr>
        <w:tc>
          <w:tcPr>
            <w:tcW w:type="dxa" w:w="2268"/>
            <w:shd w:val="clear" w:color="auto" w:fill="F1F5F9"/>
          </w:tcPr>
          <w:p>
            <w:pPr>
              <w:spacing w:after="0" w:line="252" w:lineRule="auto"/>
            </w:pPr>
            <w:r>
              <w:rPr>
                <w:rFonts w:ascii="Calibri" w:hAnsi="Calibri"/>
                <w:b w:val="0"/>
                <w:i w:val="0"/>
                <w:color w:val="333333"/>
                <w:sz w:val="18"/>
              </w:rPr>
              <w:t>Décision</w:t>
            </w:r>
          </w:p>
        </w:tc>
        <w:tc>
          <w:tcPr>
            <w:tcW w:type="dxa" w:w="7030"/>
            <w:shd w:val="clear" w:color="auto" w:fill="F1F5F9"/>
          </w:tcPr>
          <w:p>
            <w:pPr>
              <w:spacing w:after="0" w:line="252" w:lineRule="auto"/>
            </w:pPr>
            <w:r>
              <w:rPr>
                <w:rFonts w:ascii="Calibri" w:hAnsi="Calibri"/>
                <w:b w:val="0"/>
                <w:i w:val="0"/>
                <w:color w:val="333333"/>
                <w:sz w:val="18"/>
              </w:rPr>
              <w:t>pandas conservé à la volumétrie actuelle, pour la sobriété et la lisibilité. Polars et DuckDB gardés en réserve, activables quand la volumétrie le justifiera.</w:t>
            </w:r>
          </w:p>
        </w:tc>
      </w:tr>
      <w:tr>
        <w:trPr>
          <w:cantSplit/>
        </w:trPr>
        <w:tc>
          <w:tcPr>
            <w:tcW w:type="dxa" w:w="2268"/>
          </w:tcPr>
          <w:p>
            <w:pPr>
              <w:spacing w:after="0" w:line="252" w:lineRule="auto"/>
            </w:pPr>
            <w:r>
              <w:rPr>
                <w:rFonts w:ascii="Calibri" w:hAnsi="Calibri"/>
                <w:b w:val="0"/>
                <w:i w:val="0"/>
                <w:color w:val="333333"/>
                <w:sz w:val="18"/>
              </w:rPr>
              <w:t>Vérification humaine</w:t>
            </w:r>
          </w:p>
        </w:tc>
        <w:tc>
          <w:tcPr>
            <w:tcW w:type="dxa" w:w="7030"/>
          </w:tcPr>
          <w:p>
            <w:pPr>
              <w:spacing w:after="0" w:line="252" w:lineRule="auto"/>
            </w:pPr>
            <w:r>
              <w:rPr>
                <w:rFonts w:ascii="Calibri" w:hAnsi="Calibri"/>
                <w:b w:val="0"/>
                <w:i w:val="0"/>
                <w:color w:val="333333"/>
                <w:sz w:val="18"/>
              </w:rPr>
              <w:t xml:space="preserve">Le résultat de chaque outil a été comparé au résultat de référence pour vérifier l'équivalence fonctionnelle avant toute comparaison de temps.</w:t>
            </w:r>
          </w:p>
        </w:tc>
      </w:tr>
    </w:tbl>
    <w:p>
      <w:pPr>
        <w:spacing w:after="40"/>
      </w:pPr>
    </w:p>
    <w:p>
      <w:r>
        <w:rPr>
          <w:rFonts w:ascii="Calibri" w:hAnsi="Calibri"/>
          <w:b w:val="0"/>
          <w:i w:val="0"/>
          <w:color w:val="333333"/>
          <w:sz w:val="21"/>
        </w:rPr>
        <w:t xml:space="preserve">Seule la mesure de cet axe dépend du matériel : le gain change d'une machine à l'autre, la décision ne change pas. Toutes les mesures sont en annexe A.2 et dans le journal (fichier 02).</w:t>
      </w:r>
    </w:p>
    <w:p>
      <w:pPr>
        <w:spacing w:after="60"/>
        <w:jc w:val="center"/>
      </w:pPr>
      <w:r>
        <w:drawing>
          <wp:inline xmlns:a="http://schemas.openxmlformats.org/drawingml/2006/main" xmlns:pic="http://schemas.openxmlformats.org/drawingml/2006/picture">
            <wp:extent cx="5220000" cy="2041215"/>
            <wp:docPr id="1" name="Picture 1"/>
            <wp:cNvGraphicFramePr>
              <a:graphicFrameLocks noChangeAspect="1"/>
            </wp:cNvGraphicFramePr>
            <a:graphic>
              <a:graphicData uri="http://schemas.openxmlformats.org/drawingml/2006/picture">
                <pic:pic>
                  <pic:nvPicPr>
                    <pic:cNvPr id="0" name="fig_performance.png"/>
                    <pic:cNvPicPr/>
                  </pic:nvPicPr>
                  <pic:blipFill>
                    <a:blip r:embed="rId10"/>
                    <a:stretch>
                      <a:fillRect/>
                    </a:stretch>
                  </pic:blipFill>
                  <pic:spPr>
                    <a:xfrm>
                      <a:off x="0" y="0"/>
                      <a:ext cx="5220000" cy="2041215"/>
                    </a:xfrm>
                    <a:prstGeom prst="rect"/>
                  </pic:spPr>
                </pic:pic>
              </a:graphicData>
            </a:graphic>
          </wp:inline>
        </w:drawing>
      </w:r>
    </w:p>
    <w:p>
      <w:pPr>
        <w:spacing w:after="200"/>
        <w:jc w:val="center"/>
      </w:pPr>
      <w:r>
        <w:rPr>
          <w:rFonts w:ascii="Calibri" w:hAnsi="Calibri"/>
          <w:b w:val="0"/>
          <w:i/>
          <w:color w:val="64748B"/>
          <w:sz w:val="17"/>
        </w:rPr>
        <w:t xml:space="preserve">Figure 1. Temps médian des trois outils, au volume réel puis sur deux millions de lignes (exécution livrée). Figure redessinée à partir des sorties du notebook (mêmes données).</w:t>
      </w:r>
    </w:p>
    <w:p>
      <w:pPr>
        <w:pStyle w:val="Heading2"/>
      </w:pPr>
      <w:bookmarkStart w:id="7007" w:name="_TocP130007"/>
      <w:r>
        <w:t>2.3 Axe 3, détection d'anomalies</w:t>
      </w:r>
      <w:bookmarkEnd w:id="7007"/>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2268"/>
            <w:shd w:val="clear" w:color="auto" w:fill="1F2937"/>
          </w:tcPr>
          <w:p>
            <w:pPr>
              <w:spacing w:after="0"/>
            </w:pPr>
            <w:r>
              <w:rPr>
                <w:rFonts w:ascii="Calibri" w:hAnsi="Calibri"/>
                <w:b/>
                <w:color w:val="FFFFFF"/>
                <w:sz w:val="18"/>
              </w:rPr>
              <w:t>Élément</w:t>
            </w:r>
          </w:p>
        </w:tc>
        <w:tc>
          <w:tcPr>
            <w:tcW w:type="dxa" w:w="7030"/>
            <w:shd w:val="clear" w:color="auto" w:fill="1F2937"/>
          </w:tcPr>
          <w:p>
            <w:pPr>
              <w:spacing w:after="0"/>
            </w:pPr>
            <w:r>
              <w:rPr>
                <w:rFonts w:ascii="Calibri" w:hAnsi="Calibri"/>
                <w:b/>
                <w:color w:val="FFFFFF"/>
                <w:sz w:val="18"/>
              </w:rPr>
              <w:t>Détail</w:t>
            </w:r>
          </w:p>
        </w:tc>
      </w:tr>
      <w:tr>
        <w:trPr>
          <w:cantSplit/>
        </w:trPr>
        <w:tc>
          <w:tcPr>
            <w:tcW w:type="dxa" w:w="2268"/>
          </w:tcPr>
          <w:p>
            <w:pPr>
              <w:spacing w:after="0" w:line="252" w:lineRule="auto"/>
            </w:pPr>
            <w:r>
              <w:rPr>
                <w:rFonts w:ascii="Calibri" w:hAnsi="Calibri"/>
                <w:b w:val="0"/>
                <w:i w:val="0"/>
                <w:color w:val="333333"/>
                <w:sz w:val="18"/>
              </w:rPr>
              <w:t>Demande adressée à l'assistant</w:t>
            </w:r>
          </w:p>
        </w:tc>
        <w:tc>
          <w:tcPr>
            <w:tcW w:type="dxa" w:w="7030"/>
          </w:tcPr>
          <w:p>
            <w:pPr>
              <w:spacing w:after="0" w:line="252" w:lineRule="auto"/>
            </w:pPr>
            <w:r>
              <w:rPr>
                <w:rFonts w:ascii="Calibri" w:hAnsi="Calibri"/>
                <w:b w:val="0"/>
                <w:i w:val="0"/>
                <w:color w:val="333333"/>
                <w:sz w:val="18"/>
              </w:rPr>
              <w:t xml:space="preserve">Proposer une détection d'anomalies portant sur plusieurs variables à la fois (prix, prix d'achat, stock, ventes et taux de marge) et la comparer à la détection existante par écart type sur le seul prix. Évaluer une troisième méthode fondée sur le voisinage local.</w:t>
            </w:r>
          </w:p>
        </w:tc>
      </w:tr>
      <w:tr>
        <w:trPr>
          <w:cantSplit/>
        </w:trPr>
        <w:tc>
          <w:tcPr>
            <w:tcW w:type="dxa" w:w="2268"/>
            <w:shd w:val="clear" w:color="auto" w:fill="F1F5F9"/>
          </w:tcPr>
          <w:p>
            <w:pPr>
              <w:spacing w:after="0" w:line="252" w:lineRule="auto"/>
            </w:pPr>
            <w:r>
              <w:rPr>
                <w:rFonts w:ascii="Calibri" w:hAnsi="Calibri"/>
                <w:b w:val="0"/>
                <w:i w:val="0"/>
                <w:color w:val="333333"/>
                <w:sz w:val="18"/>
              </w:rPr>
              <w:t>Variantes testées</w:t>
            </w:r>
          </w:p>
        </w:tc>
        <w:tc>
          <w:tcPr>
            <w:tcW w:type="dxa" w:w="7030"/>
            <w:shd w:val="clear" w:color="auto" w:fill="F1F5F9"/>
          </w:tcPr>
          <w:p>
            <w:pPr>
              <w:spacing w:after="0" w:line="252" w:lineRule="auto"/>
            </w:pPr>
            <w:r>
              <w:rPr>
                <w:rFonts w:ascii="Calibri" w:hAnsi="Calibri"/>
                <w:b w:val="0"/>
                <w:i w:val="0"/>
                <w:color w:val="333333"/>
                <w:sz w:val="18"/>
              </w:rPr>
              <w:t>Écart type sur le prix, méthode existante ; Isolation Forest ; Local Outlier Factor</w:t>
            </w:r>
          </w:p>
        </w:tc>
      </w:tr>
      <w:tr>
        <w:trPr>
          <w:cantSplit/>
        </w:trPr>
        <w:tc>
          <w:tcPr>
            <w:tcW w:type="dxa" w:w="2268"/>
          </w:tcPr>
          <w:p>
            <w:pPr>
              <w:spacing w:after="0" w:line="252" w:lineRule="auto"/>
            </w:pPr>
            <w:r>
              <w:rPr>
                <w:rFonts w:ascii="Calibri" w:hAnsi="Calibri"/>
                <w:b w:val="0"/>
                <w:i w:val="0"/>
                <w:color w:val="333333"/>
                <w:sz w:val="18"/>
              </w:rPr>
              <w:t>Résultat mesuré</w:t>
            </w:r>
          </w:p>
        </w:tc>
        <w:tc>
          <w:tcPr>
            <w:tcW w:type="dxa" w:w="7030"/>
          </w:tcPr>
          <w:p>
            <w:pPr>
              <w:spacing w:after="0" w:line="252" w:lineRule="auto"/>
            </w:pPr>
            <w:r>
              <w:rPr>
                <w:rFonts w:ascii="Calibri" w:hAnsi="Calibri"/>
                <w:b w:val="0"/>
                <w:i w:val="0"/>
                <w:color w:val="333333"/>
                <w:sz w:val="18"/>
              </w:rPr>
              <w:t xml:space="preserve">Isolation Forest signale 36 références, la méthode existante 13, dont 10 communes. La méthode multivariée capte donc 26 références supplémentaires, que l'écart type ne voit pas.</w:t>
            </w:r>
          </w:p>
        </w:tc>
      </w:tr>
      <w:tr>
        <w:trPr>
          <w:cantSplit/>
        </w:trPr>
        <w:tc>
          <w:tcPr>
            <w:tcW w:type="dxa" w:w="2268"/>
            <w:shd w:val="clear" w:color="auto" w:fill="F1F5F9"/>
          </w:tcPr>
          <w:p>
            <w:pPr>
              <w:spacing w:after="0" w:line="252" w:lineRule="auto"/>
            </w:pPr>
            <w:r>
              <w:rPr>
                <w:rFonts w:ascii="Calibri" w:hAnsi="Calibri"/>
                <w:b w:val="0"/>
                <w:i w:val="0"/>
                <w:color w:val="333333"/>
                <w:sz w:val="18"/>
              </w:rPr>
              <w:t>Décision</w:t>
            </w:r>
          </w:p>
        </w:tc>
        <w:tc>
          <w:tcPr>
            <w:tcW w:type="dxa" w:w="7030"/>
            <w:shd w:val="clear" w:color="auto" w:fill="F1F5F9"/>
          </w:tcPr>
          <w:p>
            <w:pPr>
              <w:spacing w:after="0" w:line="252" w:lineRule="auto"/>
            </w:pPr>
            <w:r>
              <w:rPr>
                <w:rFonts w:ascii="Calibri" w:hAnsi="Calibri"/>
                <w:b w:val="0"/>
                <w:i w:val="0"/>
                <w:color w:val="333333"/>
                <w:sz w:val="18"/>
              </w:rPr>
              <w:t>Méthode existante conservée pour sa transparence. Isolation Forest ajouté en complément. Local Outlier Factor écarté pour instabilité selon le paramètre de voisinage.</w:t>
            </w:r>
          </w:p>
        </w:tc>
      </w:tr>
      <w:tr>
        <w:trPr>
          <w:cantSplit/>
        </w:trPr>
        <w:tc>
          <w:tcPr>
            <w:tcW w:type="dxa" w:w="2268"/>
          </w:tcPr>
          <w:p>
            <w:pPr>
              <w:spacing w:after="0" w:line="252" w:lineRule="auto"/>
            </w:pPr>
            <w:r>
              <w:rPr>
                <w:rFonts w:ascii="Calibri" w:hAnsi="Calibri"/>
                <w:b w:val="0"/>
                <w:i w:val="0"/>
                <w:color w:val="333333"/>
                <w:sz w:val="18"/>
              </w:rPr>
              <w:t>Vérification humaine</w:t>
            </w:r>
          </w:p>
        </w:tc>
        <w:tc>
          <w:tcPr>
            <w:tcW w:type="dxa" w:w="7030"/>
          </w:tcPr>
          <w:p>
            <w:pPr>
              <w:spacing w:after="0" w:line="252" w:lineRule="auto"/>
            </w:pPr>
            <w:r>
              <w:rPr>
                <w:rFonts w:ascii="Calibri" w:hAnsi="Calibri"/>
                <w:b w:val="0"/>
                <w:i w:val="0"/>
                <w:color w:val="333333"/>
                <w:sz w:val="18"/>
              </w:rPr>
              <w:t xml:space="preserve">Les 26 références supplémentaires ont été inspectées une à une. La plus parlante, la référence 4355, est affichée en ligne à 12,65 euros pour 77,48 euros d'achat, sans vente en octobre : la détection sur le seul prix ne pouvait pas voir cet écart. Chaque vente ferait perdre près de 65 euros.</w:t>
            </w:r>
          </w:p>
        </w:tc>
      </w:tr>
    </w:tbl>
    <w:p>
      <w:pPr>
        <w:spacing w:after="40"/>
      </w:pPr>
    </w:p>
    <w:p>
      <w:pPr>
        <w:spacing w:after="60"/>
        <w:jc w:val="center"/>
      </w:pPr>
      <w:r>
        <w:drawing>
          <wp:inline xmlns:a="http://schemas.openxmlformats.org/drawingml/2006/main" xmlns:pic="http://schemas.openxmlformats.org/drawingml/2006/picture">
            <wp:extent cx="5400000" cy="2102683"/>
            <wp:docPr id="2" name="Picture 2"/>
            <wp:cNvGraphicFramePr>
              <a:graphicFrameLocks noChangeAspect="1"/>
            </wp:cNvGraphicFramePr>
            <a:graphic>
              <a:graphicData uri="http://schemas.openxmlformats.org/drawingml/2006/picture">
                <pic:pic>
                  <pic:nvPicPr>
                    <pic:cNvPr id="0" name="fig_anomalies.png"/>
                    <pic:cNvPicPr/>
                  </pic:nvPicPr>
                  <pic:blipFill>
                    <a:blip r:embed="rId11"/>
                    <a:stretch>
                      <a:fillRect/>
                    </a:stretch>
                  </pic:blipFill>
                  <pic:spPr>
                    <a:xfrm>
                      <a:off x="0" y="0"/>
                      <a:ext cx="5400000" cy="2102683"/>
                    </a:xfrm>
                    <a:prstGeom prst="rect"/>
                  </pic:spPr>
                </pic:pic>
              </a:graphicData>
            </a:graphic>
          </wp:inline>
        </w:drawing>
      </w:r>
    </w:p>
    <w:p>
      <w:pPr>
        <w:spacing w:after="200"/>
        <w:jc w:val="center"/>
      </w:pPr>
      <w:r>
        <w:rPr>
          <w:rFonts w:ascii="Calibri" w:hAnsi="Calibri"/>
          <w:b w:val="0"/>
          <w:i/>
          <w:color w:val="64748B"/>
          <w:sz w:val="17"/>
        </w:rPr>
        <w:t xml:space="preserve">Figure 2. À gauche, la détection sur le seul prix. À droite, la détection multivariée. Figure redessinée à partir des sorties du notebook (mêmes données).</w:t>
      </w:r>
    </w:p>
    <w:p>
      <w:pPr>
        <w:pStyle w:val="Heading2"/>
      </w:pPr>
      <w:bookmarkStart w:id="7008" w:name="_TocP130008"/>
      <w:r>
        <w:t>2.4 Axe 4, interprétabilité et documentation</w:t>
      </w:r>
      <w:bookmarkEnd w:id="7008"/>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2268"/>
            <w:shd w:val="clear" w:color="auto" w:fill="1F2937"/>
          </w:tcPr>
          <w:p>
            <w:pPr>
              <w:spacing w:after="0"/>
            </w:pPr>
            <w:r>
              <w:rPr>
                <w:rFonts w:ascii="Calibri" w:hAnsi="Calibri"/>
                <w:b/>
                <w:color w:val="FFFFFF"/>
                <w:sz w:val="18"/>
              </w:rPr>
              <w:t>Élément</w:t>
            </w:r>
          </w:p>
        </w:tc>
        <w:tc>
          <w:tcPr>
            <w:tcW w:type="dxa" w:w="7030"/>
            <w:shd w:val="clear" w:color="auto" w:fill="1F2937"/>
          </w:tcPr>
          <w:p>
            <w:pPr>
              <w:spacing w:after="0"/>
            </w:pPr>
            <w:r>
              <w:rPr>
                <w:rFonts w:ascii="Calibri" w:hAnsi="Calibri"/>
                <w:b/>
                <w:color w:val="FFFFFF"/>
                <w:sz w:val="18"/>
              </w:rPr>
              <w:t>Détail</w:t>
            </w:r>
          </w:p>
        </w:tc>
      </w:tr>
      <w:tr>
        <w:trPr>
          <w:cantSplit/>
        </w:trPr>
        <w:tc>
          <w:tcPr>
            <w:tcW w:type="dxa" w:w="2268"/>
          </w:tcPr>
          <w:p>
            <w:pPr>
              <w:spacing w:after="0" w:line="252" w:lineRule="auto"/>
            </w:pPr>
            <w:r>
              <w:rPr>
                <w:rFonts w:ascii="Calibri" w:hAnsi="Calibri"/>
                <w:b w:val="0"/>
                <w:i w:val="0"/>
                <w:color w:val="333333"/>
                <w:sz w:val="18"/>
              </w:rPr>
              <w:t>Demande adressée à l'assistant</w:t>
            </w:r>
          </w:p>
        </w:tc>
        <w:tc>
          <w:tcPr>
            <w:tcW w:type="dxa" w:w="7030"/>
          </w:tcPr>
          <w:p>
            <w:pPr>
              <w:spacing w:after="0" w:line="252" w:lineRule="auto"/>
            </w:pPr>
            <w:r>
              <w:rPr>
                <w:rFonts w:ascii="Calibri" w:hAnsi="Calibri"/>
                <w:b w:val="0"/>
                <w:i w:val="0"/>
                <w:color w:val="333333"/>
                <w:sz w:val="18"/>
              </w:rPr>
              <w:t xml:space="preserve">Modéliser le volume de ventes à partir des variables disponibles, puis expliquer le poids de chaque facteur, à la fois globalement et référence par référence. Comparer les importances globales du modèle et une méthode d'attribution par valeurs de Shapley.</w:t>
            </w:r>
          </w:p>
        </w:tc>
      </w:tr>
      <w:tr>
        <w:trPr>
          <w:cantSplit/>
        </w:trPr>
        <w:tc>
          <w:tcPr>
            <w:tcW w:type="dxa" w:w="2268"/>
            <w:shd w:val="clear" w:color="auto" w:fill="F1F5F9"/>
          </w:tcPr>
          <w:p>
            <w:pPr>
              <w:spacing w:after="0" w:line="252" w:lineRule="auto"/>
            </w:pPr>
            <w:r>
              <w:rPr>
                <w:rFonts w:ascii="Calibri" w:hAnsi="Calibri"/>
                <w:b w:val="0"/>
                <w:i w:val="0"/>
                <w:color w:val="333333"/>
                <w:sz w:val="18"/>
              </w:rPr>
              <w:t>Variantes testées</w:t>
            </w:r>
          </w:p>
        </w:tc>
        <w:tc>
          <w:tcPr>
            <w:tcW w:type="dxa" w:w="7030"/>
            <w:shd w:val="clear" w:color="auto" w:fill="F1F5F9"/>
          </w:tcPr>
          <w:p>
            <w:pPr>
              <w:spacing w:after="0" w:line="252" w:lineRule="auto"/>
            </w:pPr>
            <w:r>
              <w:rPr>
                <w:rFonts w:ascii="Calibri" w:hAnsi="Calibri"/>
                <w:b w:val="0"/>
                <w:i w:val="0"/>
                <w:color w:val="333333"/>
                <w:sz w:val="18"/>
              </w:rPr>
              <w:t>Importances globales d'un modèle d'arbres ; valeurs de Shapley avec l'explicateur dédié aux modèles d'arbres</w:t>
            </w:r>
          </w:p>
        </w:tc>
      </w:tr>
      <w:tr>
        <w:trPr>
          <w:cantSplit/>
        </w:trPr>
        <w:tc>
          <w:tcPr>
            <w:tcW w:type="dxa" w:w="2268"/>
          </w:tcPr>
          <w:p>
            <w:pPr>
              <w:spacing w:after="0" w:line="252" w:lineRule="auto"/>
            </w:pPr>
            <w:r>
              <w:rPr>
                <w:rFonts w:ascii="Calibri" w:hAnsi="Calibri"/>
                <w:b w:val="0"/>
                <w:i w:val="0"/>
                <w:color w:val="333333"/>
                <w:sz w:val="18"/>
              </w:rPr>
              <w:t>Résultat mesuré</w:t>
            </w:r>
          </w:p>
        </w:tc>
        <w:tc>
          <w:tcPr>
            <w:tcW w:type="dxa" w:w="7030"/>
          </w:tcPr>
          <w:p>
            <w:pPr>
              <w:spacing w:after="0" w:line="252" w:lineRule="auto"/>
            </w:pPr>
            <w:r>
              <w:rPr>
                <w:rFonts w:ascii="Calibri" w:hAnsi="Calibri"/>
                <w:b w:val="0"/>
                <w:i w:val="0"/>
                <w:color w:val="333333"/>
                <w:sz w:val="18"/>
              </w:rPr>
              <w:t xml:space="preserve">Le modèle atteint un coefficient de détermination de 0,72 sur le jeu de test, pour une erreur absolue moyenne de 1,54 unité. Le stock disponible est le premier facteur du modèle, devant le prix d'achat et le taux de marge. La note et le nombre d'avis ne pèsent rien, faute de données : les avis sont désactivés sur le site, ces deux colonnes valent zéro pour les 714 produits. En validation croisée à cinq plis (essai D), le pouvoir explicatif va de 0,53 à 0,76 (0,67 en moyenne). Le modèle fait deux fois moins d'erreur qu'une prédiction naïve : 1,54 unité contre 3,46 sur le jeu de test, 1,51 contre 3,26 en moyenne sur les plis.</w:t>
            </w:r>
          </w:p>
        </w:tc>
      </w:tr>
      <w:tr>
        <w:trPr>
          <w:cantSplit/>
        </w:trPr>
        <w:tc>
          <w:tcPr>
            <w:tcW w:type="dxa" w:w="2268"/>
            <w:shd w:val="clear" w:color="auto" w:fill="F1F5F9"/>
          </w:tcPr>
          <w:p>
            <w:pPr>
              <w:spacing w:after="0" w:line="252" w:lineRule="auto"/>
            </w:pPr>
            <w:r>
              <w:rPr>
                <w:rFonts w:ascii="Calibri" w:hAnsi="Calibri"/>
                <w:b w:val="0"/>
                <w:i w:val="0"/>
                <w:color w:val="333333"/>
                <w:sz w:val="18"/>
              </w:rPr>
              <w:t>Décision</w:t>
            </w:r>
          </w:p>
        </w:tc>
        <w:tc>
          <w:tcPr>
            <w:tcW w:type="dxa" w:w="7030"/>
            <w:shd w:val="clear" w:color="auto" w:fill="F1F5F9"/>
          </w:tcPr>
          <w:p>
            <w:pPr>
              <w:spacing w:after="0" w:line="252" w:lineRule="auto"/>
            </w:pPr>
            <w:r>
              <w:rPr>
                <w:rFonts w:ascii="Calibri" w:hAnsi="Calibri"/>
                <w:b w:val="0"/>
                <w:i w:val="0"/>
                <w:color w:val="333333"/>
                <w:sz w:val="18"/>
              </w:rPr>
              <w:t>Valeurs de Shapley retenues, pour l'explication locale et globale. Importances globales jugées insuffisantes car elles ne disent rien du cas particulier.</w:t>
            </w:r>
          </w:p>
        </w:tc>
      </w:tr>
      <w:tr>
        <w:trPr>
          <w:cantSplit/>
        </w:trPr>
        <w:tc>
          <w:tcPr>
            <w:tcW w:type="dxa" w:w="2268"/>
          </w:tcPr>
          <w:p>
            <w:pPr>
              <w:spacing w:after="0" w:line="252" w:lineRule="auto"/>
            </w:pPr>
            <w:r>
              <w:rPr>
                <w:rFonts w:ascii="Calibri" w:hAnsi="Calibri"/>
                <w:b w:val="0"/>
                <w:i w:val="0"/>
                <w:color w:val="333333"/>
                <w:sz w:val="18"/>
              </w:rPr>
              <w:t>Vérification humaine</w:t>
            </w:r>
          </w:p>
        </w:tc>
        <w:tc>
          <w:tcPr>
            <w:tcW w:type="dxa" w:w="7030"/>
          </w:tcPr>
          <w:p>
            <w:pPr>
              <w:spacing w:after="0" w:line="252" w:lineRule="auto"/>
            </w:pPr>
            <w:r>
              <w:rPr>
                <w:rFonts w:ascii="Calibri" w:hAnsi="Calibri"/>
                <w:b w:val="0"/>
                <w:i w:val="0"/>
                <w:color w:val="333333"/>
                <w:sz w:val="18"/>
              </w:rPr>
              <w:t>L'interprétation a été confrontée au bon sens métier, ce qui a fait apparaître un risque de lecture causale abusive, traité en section 7.</w:t>
            </w:r>
          </w:p>
        </w:tc>
      </w:tr>
    </w:tbl>
    <w:p>
      <w:pPr>
        <w:spacing w:after="40"/>
      </w:pPr>
    </w:p>
    <w:p>
      <w:pPr>
        <w:spacing w:after="60"/>
        <w:jc w:val="center"/>
      </w:pPr>
      <w:r>
        <w:drawing>
          <wp:inline xmlns:a="http://schemas.openxmlformats.org/drawingml/2006/main" xmlns:pic="http://schemas.openxmlformats.org/drawingml/2006/picture">
            <wp:extent cx="5220000" cy="2690431"/>
            <wp:docPr id="3" name="Picture 3"/>
            <wp:cNvGraphicFramePr>
              <a:graphicFrameLocks noChangeAspect="1"/>
            </wp:cNvGraphicFramePr>
            <a:graphic>
              <a:graphicData uri="http://schemas.openxmlformats.org/drawingml/2006/picture">
                <pic:pic>
                  <pic:nvPicPr>
                    <pic:cNvPr id="0" name="fig_interpretabilite.png"/>
                    <pic:cNvPicPr/>
                  </pic:nvPicPr>
                  <pic:blipFill>
                    <a:blip r:embed="rId12"/>
                    <a:stretch>
                      <a:fillRect/>
                    </a:stretch>
                  </pic:blipFill>
                  <pic:spPr>
                    <a:xfrm>
                      <a:off x="0" y="0"/>
                      <a:ext cx="5220000" cy="2690431"/>
                    </a:xfrm>
                    <a:prstGeom prst="rect"/>
                  </pic:spPr>
                </pic:pic>
              </a:graphicData>
            </a:graphic>
          </wp:inline>
        </w:drawing>
      </w:r>
    </w:p>
    <w:p>
      <w:pPr>
        <w:spacing w:after="200"/>
        <w:jc w:val="center"/>
      </w:pPr>
      <w:r>
        <w:rPr>
          <w:rFonts w:ascii="Calibri" w:hAnsi="Calibri"/>
          <w:b w:val="0"/>
          <w:i/>
          <w:color w:val="64748B"/>
          <w:sz w:val="17"/>
        </w:rPr>
        <w:t xml:space="preserve">Figure 3. Contribution de chaque variable au volume de ventes, référence par référence (valeurs de Shapley ; couleur : valeur de la variable, de faible à élevée). Figure redessinée à partir des sorties du notebook (mêmes données).</w:t>
      </w:r>
    </w:p>
    <w:p>
      <w:pPr>
        <w:pStyle w:val="Heading1"/>
      </w:pPr>
      <w:bookmarkStart w:id="7009" w:name="_TocP130009"/>
      <w:r>
        <w:t>3. Justifications techniques</w:t>
      </w:r>
      <w:bookmarkEnd w:id="7009"/>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041"/>
            <w:shd w:val="clear" w:color="auto" w:fill="1F2937"/>
          </w:tcPr>
          <w:p>
            <w:pPr>
              <w:spacing w:after="0"/>
            </w:pPr>
            <w:r>
              <w:rPr>
                <w:rFonts w:ascii="Calibri" w:hAnsi="Calibri"/>
                <w:b/>
                <w:color w:val="FFFFFF"/>
                <w:sz w:val="17"/>
              </w:rPr>
              <w:t>Choix</w:t>
            </w:r>
          </w:p>
        </w:tc>
        <w:tc>
          <w:tcPr>
            <w:tcW w:type="dxa" w:w="3061"/>
            <w:shd w:val="clear" w:color="auto" w:fill="1F2937"/>
          </w:tcPr>
          <w:p>
            <w:pPr>
              <w:spacing w:after="0"/>
            </w:pPr>
            <w:r>
              <w:rPr>
                <w:rFonts w:ascii="Calibri" w:hAnsi="Calibri"/>
                <w:b/>
                <w:color w:val="FFFFFF"/>
                <w:sz w:val="17"/>
              </w:rPr>
              <w:t>Décision retenue</w:t>
            </w:r>
          </w:p>
        </w:tc>
        <w:tc>
          <w:tcPr>
            <w:tcW w:type="dxa" w:w="4195"/>
            <w:shd w:val="clear" w:color="auto" w:fill="1F2937"/>
          </w:tcPr>
          <w:p>
            <w:pPr>
              <w:spacing w:after="0"/>
            </w:pPr>
            <w:r>
              <w:rPr>
                <w:rFonts w:ascii="Calibri" w:hAnsi="Calibri"/>
                <w:b/>
                <w:color w:val="FFFFFF"/>
                <w:sz w:val="17"/>
              </w:rPr>
              <w:t>Motif</w:t>
            </w:r>
          </w:p>
        </w:tc>
      </w:tr>
      <w:tr>
        <w:trPr>
          <w:cantSplit/>
        </w:trPr>
        <w:tc>
          <w:tcPr>
            <w:tcW w:type="dxa" w:w="2041"/>
          </w:tcPr>
          <w:p>
            <w:pPr>
              <w:spacing w:after="0" w:line="252" w:lineRule="auto"/>
            </w:pPr>
            <w:r>
              <w:rPr>
                <w:rFonts w:ascii="Calibri" w:hAnsi="Calibri"/>
                <w:b w:val="0"/>
                <w:i w:val="0"/>
                <w:color w:val="333333"/>
                <w:sz w:val="17"/>
              </w:rPr>
              <w:t>Variables du modèle de ventes</w:t>
            </w:r>
          </w:p>
        </w:tc>
        <w:tc>
          <w:tcPr>
            <w:tcW w:type="dxa" w:w="3061"/>
          </w:tcPr>
          <w:p>
            <w:pPr>
              <w:spacing w:after="0" w:line="252" w:lineRule="auto"/>
            </w:pPr>
            <w:r>
              <w:rPr>
                <w:rFonts w:ascii="Calibri" w:hAnsi="Calibri"/>
                <w:b w:val="0"/>
                <w:i w:val="0"/>
                <w:color w:val="333333"/>
                <w:sz w:val="17"/>
              </w:rPr>
              <w:t>Prix, prix d'achat, taux de marge, stock, note moyenne, nombre d'avis, mise en ligne</w:t>
            </w:r>
          </w:p>
        </w:tc>
        <w:tc>
          <w:tcPr>
            <w:tcW w:type="dxa" w:w="4195"/>
          </w:tcPr>
          <w:p>
            <w:pPr>
              <w:spacing w:after="0" w:line="252" w:lineRule="auto"/>
            </w:pPr>
            <w:r>
              <w:rPr>
                <w:rFonts w:ascii="Calibri" w:hAnsi="Calibri"/>
                <w:b w:val="0"/>
                <w:i w:val="0"/>
                <w:color w:val="333333"/>
                <w:sz w:val="17"/>
              </w:rPr>
              <w:t xml:space="preserve">Variables présentes dans les extractions et utiles au métier, sans la cible parmi les entrées. Réserve : le stock est relevé le 31 octobre, après les ventes qu'il explique ; usage explicatif, jamais prédictif. En pratique, quatre variables portent l'information : note et nombre d'avis valent zéro (avis désactivés), mise en ligne presque constante (713 produits sur 714)</w:t>
            </w:r>
          </w:p>
        </w:tc>
      </w:tr>
      <w:tr>
        <w:trPr>
          <w:cantSplit/>
        </w:trPr>
        <w:tc>
          <w:tcPr>
            <w:tcW w:type="dxa" w:w="2041"/>
            <w:shd w:val="clear" w:color="auto" w:fill="F1F5F9"/>
          </w:tcPr>
          <w:p>
            <w:pPr>
              <w:spacing w:after="0" w:line="252" w:lineRule="auto"/>
            </w:pPr>
            <w:r>
              <w:rPr>
                <w:rFonts w:ascii="Calibri" w:hAnsi="Calibri"/>
                <w:b w:val="0"/>
                <w:i w:val="0"/>
                <w:color w:val="333333"/>
                <w:sz w:val="17"/>
              </w:rPr>
              <w:t>Traitement des valeurs manquantes</w:t>
            </w:r>
          </w:p>
        </w:tc>
        <w:tc>
          <w:tcPr>
            <w:tcW w:type="dxa" w:w="3061"/>
            <w:shd w:val="clear" w:color="auto" w:fill="F1F5F9"/>
          </w:tcPr>
          <w:p>
            <w:pPr>
              <w:spacing w:after="0" w:line="252" w:lineRule="auto"/>
            </w:pPr>
            <w:r>
              <w:rPr>
                <w:rFonts w:ascii="Calibri" w:hAnsi="Calibri"/>
                <w:b w:val="0"/>
                <w:i w:val="0"/>
                <w:color w:val="333333"/>
                <w:sz w:val="17"/>
              </w:rPr>
              <w:t xml:space="preserve">Médiane pour la détection d'anomalies, zéro pour le modèle de ventes</w:t>
            </w:r>
          </w:p>
        </w:tc>
        <w:tc>
          <w:tcPr>
            <w:tcW w:type="dxa" w:w="4195"/>
            <w:shd w:val="clear" w:color="auto" w:fill="F1F5F9"/>
          </w:tcPr>
          <w:p>
            <w:pPr>
              <w:spacing w:after="0" w:line="252" w:lineRule="auto"/>
            </w:pPr>
            <w:r>
              <w:rPr>
                <w:rFonts w:ascii="Calibri" w:hAnsi="Calibri"/>
                <w:b w:val="0"/>
                <w:i w:val="0"/>
                <w:color w:val="333333"/>
                <w:sz w:val="17"/>
              </w:rPr>
              <w:t xml:space="preserve">Aucune valeur ne manque dans ces colonnes pour les 714 produits : le remplissage est une précaution pour les prochaines extractions</w:t>
            </w:r>
          </w:p>
        </w:tc>
      </w:tr>
      <w:tr>
        <w:trPr>
          <w:cantSplit/>
        </w:trPr>
        <w:tc>
          <w:tcPr>
            <w:tcW w:type="dxa" w:w="2041"/>
          </w:tcPr>
          <w:p>
            <w:pPr>
              <w:spacing w:after="0" w:line="252" w:lineRule="auto"/>
            </w:pPr>
            <w:r>
              <w:rPr>
                <w:rFonts w:ascii="Calibri" w:hAnsi="Calibri"/>
                <w:b w:val="0"/>
                <w:i w:val="0"/>
                <w:color w:val="333333"/>
                <w:sz w:val="17"/>
              </w:rPr>
              <w:t>Stratégie de jointure</w:t>
            </w:r>
          </w:p>
        </w:tc>
        <w:tc>
          <w:tcPr>
            <w:tcW w:type="dxa" w:w="3061"/>
          </w:tcPr>
          <w:p>
            <w:pPr>
              <w:spacing w:after="0" w:line="252" w:lineRule="auto"/>
            </w:pPr>
            <w:r>
              <w:rPr>
                <w:rFonts w:ascii="Calibri" w:hAnsi="Calibri"/>
                <w:b w:val="0"/>
                <w:i w:val="0"/>
                <w:color w:val="333333"/>
                <w:sz w:val="17"/>
              </w:rPr>
              <w:t>Rapprochement en deux temps par la table de liaison</w:t>
            </w:r>
          </w:p>
        </w:tc>
        <w:tc>
          <w:tcPr>
            <w:tcW w:type="dxa" w:w="4195"/>
          </w:tcPr>
          <w:p>
            <w:pPr>
              <w:spacing w:after="0" w:line="252" w:lineRule="auto"/>
            </w:pPr>
            <w:r>
              <w:rPr>
                <w:rFonts w:ascii="Calibri" w:hAnsi="Calibri"/>
                <w:b w:val="0"/>
                <w:i w:val="0"/>
                <w:color w:val="333333"/>
                <w:sz w:val="17"/>
              </w:rPr>
              <w:t>Les deux systèmes utilisent des identifiants différents, aucune jointure directe n'est possible</w:t>
            </w:r>
          </w:p>
        </w:tc>
      </w:tr>
      <w:tr>
        <w:trPr>
          <w:cantSplit/>
        </w:trPr>
        <w:tc>
          <w:tcPr>
            <w:tcW w:type="dxa" w:w="2041"/>
            <w:shd w:val="clear" w:color="auto" w:fill="F1F5F9"/>
          </w:tcPr>
          <w:p>
            <w:pPr>
              <w:spacing w:after="0" w:line="252" w:lineRule="auto"/>
            </w:pPr>
            <w:r>
              <w:rPr>
                <w:rFonts w:ascii="Calibri" w:hAnsi="Calibri"/>
                <w:b w:val="0"/>
                <w:i w:val="0"/>
                <w:color w:val="333333"/>
                <w:sz w:val="17"/>
              </w:rPr>
              <w:t>Algorithme de détection d'anomalies</w:t>
            </w:r>
          </w:p>
        </w:tc>
        <w:tc>
          <w:tcPr>
            <w:tcW w:type="dxa" w:w="3061"/>
            <w:shd w:val="clear" w:color="auto" w:fill="F1F5F9"/>
          </w:tcPr>
          <w:p>
            <w:pPr>
              <w:spacing w:after="0" w:line="252" w:lineRule="auto"/>
            </w:pPr>
            <w:r>
              <w:rPr>
                <w:rFonts w:ascii="Calibri" w:hAnsi="Calibri"/>
                <w:b w:val="0"/>
                <w:i w:val="0"/>
                <w:color w:val="333333"/>
                <w:sz w:val="17"/>
              </w:rPr>
              <w:t>Isolation Forest</w:t>
            </w:r>
          </w:p>
        </w:tc>
        <w:tc>
          <w:tcPr>
            <w:tcW w:type="dxa" w:w="4195"/>
            <w:shd w:val="clear" w:color="auto" w:fill="F1F5F9"/>
          </w:tcPr>
          <w:p>
            <w:pPr>
              <w:spacing w:after="0" w:line="252" w:lineRule="auto"/>
            </w:pPr>
            <w:r>
              <w:rPr>
                <w:rFonts w:ascii="Calibri" w:hAnsi="Calibri"/>
                <w:b w:val="0"/>
                <w:i w:val="0"/>
                <w:color w:val="333333"/>
                <w:sz w:val="17"/>
              </w:rPr>
              <w:t xml:space="preserve">Stable, peu de réglages, adapté aux petits tableaux</w:t>
            </w:r>
          </w:p>
        </w:tc>
      </w:tr>
      <w:tr>
        <w:trPr>
          <w:cantSplit/>
        </w:trPr>
        <w:tc>
          <w:tcPr>
            <w:tcW w:type="dxa" w:w="2041"/>
          </w:tcPr>
          <w:p>
            <w:pPr>
              <w:spacing w:after="0" w:line="252" w:lineRule="auto"/>
            </w:pPr>
            <w:r>
              <w:rPr>
                <w:rFonts w:ascii="Calibri" w:hAnsi="Calibri"/>
                <w:b w:val="0"/>
                <w:i w:val="0"/>
                <w:color w:val="333333"/>
                <w:sz w:val="17"/>
              </w:rPr>
              <w:t>Algorithme du modèle de ventes</w:t>
            </w:r>
          </w:p>
        </w:tc>
        <w:tc>
          <w:tcPr>
            <w:tcW w:type="dxa" w:w="3061"/>
          </w:tcPr>
          <w:p>
            <w:pPr>
              <w:spacing w:after="0" w:line="252" w:lineRule="auto"/>
            </w:pPr>
            <w:r>
              <w:rPr>
                <w:rFonts w:ascii="Calibri" w:hAnsi="Calibri"/>
                <w:b w:val="0"/>
                <w:i w:val="0"/>
                <w:color w:val="333333"/>
                <w:sz w:val="17"/>
              </w:rPr>
              <w:t>Modèle d'arbres par renforcement de gradient</w:t>
            </w:r>
          </w:p>
        </w:tc>
        <w:tc>
          <w:tcPr>
            <w:tcW w:type="dxa" w:w="4195"/>
          </w:tcPr>
          <w:p>
            <w:pPr>
              <w:spacing w:after="0" w:line="252" w:lineRule="auto"/>
            </w:pPr>
            <w:r>
              <w:rPr>
                <w:rFonts w:ascii="Calibri" w:hAnsi="Calibri"/>
                <w:b w:val="0"/>
                <w:i w:val="0"/>
                <w:color w:val="333333"/>
                <w:sz w:val="17"/>
              </w:rPr>
              <w:t>Capte les relations non linéaires et se prête à l'explication par valeurs de Shapley</w:t>
            </w:r>
          </w:p>
        </w:tc>
      </w:tr>
      <w:tr>
        <w:trPr>
          <w:cantSplit/>
        </w:trPr>
        <w:tc>
          <w:tcPr>
            <w:tcW w:type="dxa" w:w="2041"/>
            <w:shd w:val="clear" w:color="auto" w:fill="F1F5F9"/>
          </w:tcPr>
          <w:p>
            <w:pPr>
              <w:spacing w:after="0" w:line="252" w:lineRule="auto"/>
            </w:pPr>
            <w:r>
              <w:rPr>
                <w:rFonts w:ascii="Calibri" w:hAnsi="Calibri"/>
                <w:b w:val="0"/>
                <w:i w:val="0"/>
                <w:color w:val="333333"/>
                <w:sz w:val="17"/>
              </w:rPr>
              <w:t>Seuil de détection univariée</w:t>
            </w:r>
          </w:p>
        </w:tc>
        <w:tc>
          <w:tcPr>
            <w:tcW w:type="dxa" w:w="3061"/>
            <w:shd w:val="clear" w:color="auto" w:fill="F1F5F9"/>
          </w:tcPr>
          <w:p>
            <w:pPr>
              <w:spacing w:after="0" w:line="252" w:lineRule="auto"/>
            </w:pPr>
            <w:r>
              <w:rPr>
                <w:rFonts w:ascii="Calibri" w:hAnsi="Calibri"/>
                <w:b w:val="0"/>
                <w:i w:val="0"/>
                <w:color w:val="333333"/>
                <w:sz w:val="17"/>
              </w:rPr>
              <w:t>Écart supérieur à trois écarts types</w:t>
            </w:r>
          </w:p>
        </w:tc>
        <w:tc>
          <w:tcPr>
            <w:tcW w:type="dxa" w:w="4195"/>
            <w:shd w:val="clear" w:color="auto" w:fill="F1F5F9"/>
          </w:tcPr>
          <w:p>
            <w:pPr>
              <w:spacing w:after="0" w:line="252" w:lineRule="auto"/>
            </w:pPr>
            <w:r>
              <w:rPr>
                <w:rFonts w:ascii="Calibri" w:hAnsi="Calibri"/>
                <w:b w:val="0"/>
                <w:i w:val="0"/>
                <w:color w:val="333333"/>
                <w:sz w:val="17"/>
              </w:rPr>
              <w:t>Convention statistique usuelle, explicable au métier</w:t>
            </w:r>
          </w:p>
        </w:tc>
      </w:tr>
      <w:tr>
        <w:trPr>
          <w:cantSplit/>
        </w:trPr>
        <w:tc>
          <w:tcPr>
            <w:tcW w:type="dxa" w:w="2041"/>
          </w:tcPr>
          <w:p>
            <w:pPr>
              <w:spacing w:after="0" w:line="252" w:lineRule="auto"/>
            </w:pPr>
            <w:r>
              <w:rPr>
                <w:rFonts w:ascii="Calibri" w:hAnsi="Calibri"/>
                <w:b w:val="0"/>
                <w:i w:val="0"/>
                <w:color w:val="333333"/>
                <w:sz w:val="17"/>
              </w:rPr>
              <w:t>Taux d'anomalies attendu</w:t>
            </w:r>
          </w:p>
        </w:tc>
        <w:tc>
          <w:tcPr>
            <w:tcW w:type="dxa" w:w="3061"/>
          </w:tcPr>
          <w:p>
            <w:pPr>
              <w:spacing w:after="0" w:line="252" w:lineRule="auto"/>
            </w:pPr>
            <w:r>
              <w:rPr>
                <w:rFonts w:ascii="Calibri" w:hAnsi="Calibri"/>
                <w:b w:val="0"/>
                <w:i w:val="0"/>
                <w:color w:val="333333"/>
                <w:sz w:val="17"/>
              </w:rPr>
              <w:t>5 %</w:t>
            </w:r>
          </w:p>
        </w:tc>
        <w:tc>
          <w:tcPr>
            <w:tcW w:type="dxa" w:w="4195"/>
          </w:tcPr>
          <w:p>
            <w:pPr>
              <w:spacing w:after="0" w:line="252" w:lineRule="auto"/>
            </w:pPr>
            <w:r>
              <w:rPr>
                <w:rFonts w:ascii="Calibri" w:hAnsi="Calibri"/>
                <w:b w:val="0"/>
                <w:i w:val="0"/>
                <w:color w:val="333333"/>
                <w:sz w:val="17"/>
              </w:rPr>
              <w:t>Ordre de grandeur retenu au cadrage, à réviser avec le métier après une première campagne</w:t>
            </w:r>
          </w:p>
        </w:tc>
      </w:tr>
      <w:tr>
        <w:trPr>
          <w:cantSplit/>
        </w:trPr>
        <w:tc>
          <w:tcPr>
            <w:tcW w:type="dxa" w:w="2041"/>
            <w:shd w:val="clear" w:color="auto" w:fill="F1F5F9"/>
          </w:tcPr>
          <w:p>
            <w:pPr>
              <w:spacing w:after="0" w:line="252" w:lineRule="auto"/>
            </w:pPr>
            <w:r>
              <w:rPr>
                <w:rFonts w:ascii="Calibri" w:hAnsi="Calibri"/>
                <w:b w:val="0"/>
                <w:i w:val="0"/>
                <w:color w:val="333333"/>
                <w:sz w:val="17"/>
              </w:rPr>
              <w:t>Séparation des données</w:t>
            </w:r>
          </w:p>
        </w:tc>
        <w:tc>
          <w:tcPr>
            <w:tcW w:type="dxa" w:w="3061"/>
            <w:shd w:val="clear" w:color="auto" w:fill="F1F5F9"/>
          </w:tcPr>
          <w:p>
            <w:pPr>
              <w:spacing w:after="0" w:line="252" w:lineRule="auto"/>
            </w:pPr>
            <w:r>
              <w:rPr>
                <w:rFonts w:ascii="Calibri" w:hAnsi="Calibri"/>
                <w:b w:val="0"/>
                <w:i w:val="0"/>
                <w:color w:val="333333"/>
                <w:sz w:val="17"/>
              </w:rPr>
              <w:t>75 % pour l'apprentissage, 25 % pour le test</w:t>
            </w:r>
          </w:p>
        </w:tc>
        <w:tc>
          <w:tcPr>
            <w:tcW w:type="dxa" w:w="4195"/>
            <w:shd w:val="clear" w:color="auto" w:fill="F1F5F9"/>
          </w:tcPr>
          <w:p>
            <w:pPr>
              <w:spacing w:after="0" w:line="252" w:lineRule="auto"/>
            </w:pPr>
            <w:r>
              <w:rPr>
                <w:rFonts w:ascii="Calibri" w:hAnsi="Calibri"/>
                <w:b w:val="0"/>
                <w:i w:val="0"/>
                <w:color w:val="333333"/>
                <w:sz w:val="17"/>
              </w:rPr>
              <w:t xml:space="preserve">Mesure la performance sur des données non vues et révèle le surapprentissage</w:t>
            </w:r>
          </w:p>
        </w:tc>
      </w:tr>
      <w:tr>
        <w:trPr>
          <w:cantSplit/>
        </w:trPr>
        <w:tc>
          <w:tcPr>
            <w:tcW w:type="dxa" w:w="2041"/>
          </w:tcPr>
          <w:p>
            <w:pPr>
              <w:spacing w:after="0" w:line="252" w:lineRule="auto"/>
            </w:pPr>
            <w:r>
              <w:rPr>
                <w:rFonts w:ascii="Calibri" w:hAnsi="Calibri"/>
                <w:b w:val="0"/>
                <w:i w:val="0"/>
                <w:color w:val="333333"/>
                <w:sz w:val="17"/>
              </w:rPr>
              <w:t>Métriques retenues</w:t>
            </w:r>
          </w:p>
        </w:tc>
        <w:tc>
          <w:tcPr>
            <w:tcW w:type="dxa" w:w="3061"/>
          </w:tcPr>
          <w:p>
            <w:pPr>
              <w:spacing w:after="0" w:line="252" w:lineRule="auto"/>
            </w:pPr>
            <w:r>
              <w:rPr>
                <w:rFonts w:ascii="Calibri" w:hAnsi="Calibri"/>
                <w:b w:val="0"/>
                <w:i w:val="0"/>
                <w:color w:val="333333"/>
                <w:sz w:val="17"/>
              </w:rPr>
              <w:t>Coefficient de détermination et erreur absolue moyenne</w:t>
            </w:r>
          </w:p>
        </w:tc>
        <w:tc>
          <w:tcPr>
            <w:tcW w:type="dxa" w:w="4195"/>
          </w:tcPr>
          <w:p>
            <w:pPr>
              <w:spacing w:after="0" w:line="252" w:lineRule="auto"/>
            </w:pPr>
            <w:r>
              <w:rPr>
                <w:rFonts w:ascii="Calibri" w:hAnsi="Calibri"/>
                <w:b w:val="0"/>
                <w:i w:val="0"/>
                <w:color w:val="333333"/>
                <w:sz w:val="17"/>
              </w:rPr>
              <w:t xml:space="preserve">La première mesure la part de variation expliquée, la seconde s'exprime en unités vendues, plus parlantes pour le métier</w:t>
            </w:r>
          </w:p>
        </w:tc>
      </w:tr>
    </w:tbl>
    <w:p>
      <w:pPr>
        <w:spacing w:after="40"/>
      </w:pPr>
    </w:p>
    <w:p>
      <w:pPr>
        <w:pStyle w:val="Heading1"/>
      </w:pPr>
      <w:bookmarkStart w:id="7010" w:name="_TocP130010"/>
      <w:r>
        <w:t>4. Résultats consolidés</w:t>
      </w:r>
      <w:bookmarkEnd w:id="7010"/>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3628"/>
            <w:shd w:val="clear" w:color="auto" w:fill="1F2937"/>
          </w:tcPr>
          <w:p>
            <w:pPr>
              <w:spacing w:after="0"/>
            </w:pPr>
            <w:r>
              <w:rPr>
                <w:rFonts w:ascii="Calibri" w:hAnsi="Calibri"/>
                <w:b/>
                <w:color w:val="FFFFFF"/>
                <w:sz w:val="17"/>
              </w:rPr>
              <w:t>Indicateur</w:t>
            </w:r>
          </w:p>
        </w:tc>
        <w:tc>
          <w:tcPr>
            <w:tcW w:type="dxa" w:w="2835"/>
            <w:shd w:val="clear" w:color="auto" w:fill="1F2937"/>
          </w:tcPr>
          <w:p>
            <w:pPr>
              <w:spacing w:after="0"/>
            </w:pPr>
            <w:r>
              <w:rPr>
                <w:rFonts w:ascii="Calibri" w:hAnsi="Calibri"/>
                <w:b/>
                <w:color w:val="FFFFFF"/>
                <w:sz w:val="17"/>
              </w:rPr>
              <w:t>Valeur</w:t>
            </w:r>
          </w:p>
        </w:tc>
        <w:tc>
          <w:tcPr>
            <w:tcW w:type="dxa" w:w="2835"/>
            <w:shd w:val="clear" w:color="auto" w:fill="1F2937"/>
          </w:tcPr>
          <w:p>
            <w:pPr>
              <w:spacing w:after="0"/>
            </w:pPr>
            <w:r>
              <w:rPr>
                <w:rFonts w:ascii="Calibri" w:hAnsi="Calibri"/>
                <w:b/>
                <w:color w:val="FFFFFF"/>
                <w:sz w:val="17"/>
              </w:rPr>
              <w:t>Origine du calcul</w:t>
            </w:r>
          </w:p>
        </w:tc>
      </w:tr>
      <w:tr>
        <w:trPr>
          <w:cantSplit/>
        </w:trPr>
        <w:tc>
          <w:tcPr>
            <w:tcW w:type="dxa" w:w="3628"/>
          </w:tcPr>
          <w:p>
            <w:pPr>
              <w:spacing w:after="0" w:line="252" w:lineRule="auto"/>
            </w:pPr>
            <w:r>
              <w:rPr>
                <w:rFonts w:ascii="Calibri" w:hAnsi="Calibri"/>
                <w:b w:val="0"/>
                <w:i w:val="0"/>
                <w:color w:val="333333"/>
                <w:sz w:val="17"/>
              </w:rPr>
              <w:t>Produits analysables après nettoyage</w:t>
            </w:r>
          </w:p>
        </w:tc>
        <w:tc>
          <w:tcPr>
            <w:tcW w:type="dxa" w:w="2835"/>
          </w:tcPr>
          <w:p>
            <w:pPr>
              <w:spacing w:after="0" w:line="252" w:lineRule="auto"/>
            </w:pPr>
            <w:r>
              <w:rPr>
                <w:rFonts w:ascii="Calibri" w:hAnsi="Calibri"/>
                <w:b w:val="0"/>
                <w:i w:val="0"/>
                <w:color w:val="333333"/>
                <w:sz w:val="17"/>
              </w:rPr>
              <w:t>714</w:t>
            </w:r>
          </w:p>
        </w:tc>
        <w:tc>
          <w:tcPr>
            <w:tcW w:type="dxa" w:w="2835"/>
          </w:tcPr>
          <w:p>
            <w:pPr>
              <w:spacing w:after="0" w:line="252" w:lineRule="auto"/>
            </w:pPr>
            <w:r>
              <w:rPr>
                <w:rFonts w:ascii="Calibri" w:hAnsi="Calibri"/>
                <w:b w:val="0"/>
                <w:i w:val="0"/>
                <w:color w:val="333333"/>
                <w:sz w:val="17"/>
              </w:rPr>
              <w:t>Jointure ERP, liaison et site</w:t>
            </w:r>
          </w:p>
        </w:tc>
      </w:tr>
      <w:tr>
        <w:trPr>
          <w:cantSplit/>
        </w:trPr>
        <w:tc>
          <w:tcPr>
            <w:tcW w:type="dxa" w:w="3628"/>
            <w:shd w:val="clear" w:color="auto" w:fill="F1F5F9"/>
          </w:tcPr>
          <w:p>
            <w:pPr>
              <w:spacing w:after="0" w:line="252" w:lineRule="auto"/>
            </w:pPr>
            <w:r>
              <w:rPr>
                <w:rFonts w:ascii="Calibri" w:hAnsi="Calibri"/>
                <w:b w:val="0"/>
                <w:i w:val="0"/>
                <w:color w:val="333333"/>
                <w:sz w:val="17"/>
              </w:rPr>
              <w:t>Types d'anomalies relevés à l'audit initial</w:t>
            </w:r>
          </w:p>
        </w:tc>
        <w:tc>
          <w:tcPr>
            <w:tcW w:type="dxa" w:w="2835"/>
            <w:shd w:val="clear" w:color="auto" w:fill="F1F5F9"/>
          </w:tcPr>
          <w:p>
            <w:pPr>
              <w:spacing w:after="0" w:line="252" w:lineRule="auto"/>
            </w:pPr>
            <w:r>
              <w:rPr>
                <w:rFonts w:ascii="Calibri" w:hAnsi="Calibri"/>
                <w:b w:val="0"/>
                <w:i w:val="0"/>
                <w:color w:val="333333"/>
                <w:sz w:val="17"/>
              </w:rPr>
              <w:t>9</w:t>
            </w:r>
          </w:p>
        </w:tc>
        <w:tc>
          <w:tcPr>
            <w:tcW w:type="dxa" w:w="2835"/>
            <w:shd w:val="clear" w:color="auto" w:fill="F1F5F9"/>
          </w:tcPr>
          <w:p>
            <w:pPr>
              <w:spacing w:after="0" w:line="252" w:lineRule="auto"/>
            </w:pPr>
            <w:r>
              <w:rPr>
                <w:rFonts w:ascii="Calibri" w:hAnsi="Calibri"/>
                <w:b w:val="0"/>
                <w:i w:val="0"/>
                <w:color w:val="333333"/>
                <w:sz w:val="17"/>
              </w:rPr>
              <w:t>Audit des trois fichiers sources</w:t>
            </w:r>
          </w:p>
        </w:tc>
      </w:tr>
      <w:tr>
        <w:trPr>
          <w:cantSplit/>
        </w:trPr>
        <w:tc>
          <w:tcPr>
            <w:tcW w:type="dxa" w:w="3628"/>
          </w:tcPr>
          <w:p>
            <w:pPr>
              <w:spacing w:after="0" w:line="252" w:lineRule="auto"/>
            </w:pPr>
            <w:r>
              <w:rPr>
                <w:rFonts w:ascii="Calibri" w:hAnsi="Calibri"/>
                <w:b w:val="0"/>
                <w:i w:val="0"/>
                <w:color w:val="333333"/>
                <w:sz w:val="17"/>
              </w:rPr>
              <w:t xml:space="preserve">Lignes ERP en infraction au contrat de qualité</w:t>
            </w:r>
          </w:p>
        </w:tc>
        <w:tc>
          <w:tcPr>
            <w:tcW w:type="dxa" w:w="2835"/>
          </w:tcPr>
          <w:p>
            <w:pPr>
              <w:spacing w:after="0" w:line="252" w:lineRule="auto"/>
            </w:pPr>
            <w:r>
              <w:rPr>
                <w:rFonts w:ascii="Calibri" w:hAnsi="Calibri"/>
                <w:b w:val="0"/>
                <w:i w:val="0"/>
                <w:color w:val="333333"/>
                <w:sz w:val="17"/>
              </w:rPr>
              <w:t>9 sur 825</w:t>
            </w:r>
          </w:p>
        </w:tc>
        <w:tc>
          <w:tcPr>
            <w:tcW w:type="dxa" w:w="2835"/>
          </w:tcPr>
          <w:p>
            <w:pPr>
              <w:spacing w:after="0" w:line="252" w:lineRule="auto"/>
            </w:pPr>
            <w:r>
              <w:rPr>
                <w:rFonts w:ascii="Calibri" w:hAnsi="Calibri"/>
                <w:b w:val="0"/>
                <w:i w:val="0"/>
                <w:color w:val="333333"/>
                <w:sz w:val="17"/>
              </w:rPr>
              <w:t xml:space="preserve">Contrat de qualité déclaratif</w:t>
            </w:r>
          </w:p>
        </w:tc>
      </w:tr>
      <w:tr>
        <w:trPr>
          <w:cantSplit/>
        </w:trPr>
        <w:tc>
          <w:tcPr>
            <w:tcW w:type="dxa" w:w="3628"/>
            <w:shd w:val="clear" w:color="auto" w:fill="F1F5F9"/>
          </w:tcPr>
          <w:p>
            <w:pPr>
              <w:spacing w:after="0" w:line="252" w:lineRule="auto"/>
            </w:pPr>
            <w:r>
              <w:rPr>
                <w:rFonts w:ascii="Calibri" w:hAnsi="Calibri"/>
                <w:b w:val="0"/>
                <w:i w:val="0"/>
                <w:color w:val="333333"/>
                <w:sz w:val="17"/>
              </w:rPr>
              <w:t>Chiffre d'affaires reconstitué</w:t>
            </w:r>
          </w:p>
        </w:tc>
        <w:tc>
          <w:tcPr>
            <w:tcW w:type="dxa" w:w="2835"/>
            <w:shd w:val="clear" w:color="auto" w:fill="F1F5F9"/>
          </w:tcPr>
          <w:p>
            <w:pPr>
              <w:spacing w:after="0" w:line="252" w:lineRule="auto"/>
            </w:pPr>
            <w:r>
              <w:rPr>
                <w:rFonts w:ascii="Calibri" w:hAnsi="Calibri"/>
                <w:b w:val="0"/>
                <w:i w:val="0"/>
                <w:color w:val="333333"/>
                <w:sz w:val="17"/>
              </w:rPr>
              <w:t>143 680 euros</w:t>
            </w:r>
          </w:p>
        </w:tc>
        <w:tc>
          <w:tcPr>
            <w:tcW w:type="dxa" w:w="2835"/>
            <w:shd w:val="clear" w:color="auto" w:fill="F1F5F9"/>
          </w:tcPr>
          <w:p>
            <w:pPr>
              <w:spacing w:after="0" w:line="252" w:lineRule="auto"/>
            </w:pPr>
            <w:r>
              <w:rPr>
                <w:rFonts w:ascii="Calibri" w:hAnsi="Calibri"/>
                <w:b w:val="0"/>
                <w:i w:val="0"/>
                <w:color w:val="333333"/>
                <w:sz w:val="17"/>
              </w:rPr>
              <w:t>Prix multiplié par les ventes, par référence</w:t>
            </w:r>
          </w:p>
        </w:tc>
      </w:tr>
      <w:tr>
        <w:trPr>
          <w:cantSplit/>
        </w:trPr>
        <w:tc>
          <w:tcPr>
            <w:tcW w:type="dxa" w:w="3628"/>
          </w:tcPr>
          <w:p>
            <w:pPr>
              <w:spacing w:after="0" w:line="252" w:lineRule="auto"/>
            </w:pPr>
            <w:r>
              <w:rPr>
                <w:rFonts w:ascii="Calibri" w:hAnsi="Calibri"/>
                <w:b w:val="0"/>
                <w:i w:val="0"/>
                <w:color w:val="333333"/>
                <w:sz w:val="17"/>
              </w:rPr>
              <w:t>Unités vendues</w:t>
            </w:r>
          </w:p>
        </w:tc>
        <w:tc>
          <w:tcPr>
            <w:tcW w:type="dxa" w:w="2835"/>
          </w:tcPr>
          <w:p>
            <w:pPr>
              <w:spacing w:after="0" w:line="252" w:lineRule="auto"/>
            </w:pPr>
            <w:r>
              <w:rPr>
                <w:rFonts w:ascii="Calibri" w:hAnsi="Calibri"/>
                <w:b w:val="0"/>
                <w:i w:val="0"/>
                <w:color w:val="333333"/>
                <w:sz w:val="17"/>
              </w:rPr>
              <w:t>5 751</w:t>
            </w:r>
          </w:p>
        </w:tc>
        <w:tc>
          <w:tcPr>
            <w:tcW w:type="dxa" w:w="2835"/>
          </w:tcPr>
          <w:p>
            <w:pPr>
              <w:spacing w:after="0" w:line="252" w:lineRule="auto"/>
            </w:pPr>
            <w:r>
              <w:rPr>
                <w:rFonts w:ascii="Calibri" w:hAnsi="Calibri"/>
                <w:b w:val="0"/>
                <w:i w:val="0"/>
                <w:color w:val="333333"/>
                <w:sz w:val="17"/>
              </w:rPr>
              <w:t>Somme des ventes du site</w:t>
            </w:r>
          </w:p>
        </w:tc>
      </w:tr>
      <w:tr>
        <w:trPr>
          <w:cantSplit/>
        </w:trPr>
        <w:tc>
          <w:tcPr>
            <w:tcW w:type="dxa" w:w="3628"/>
            <w:shd w:val="clear" w:color="auto" w:fill="F1F5F9"/>
          </w:tcPr>
          <w:p>
            <w:pPr>
              <w:spacing w:after="0" w:line="252" w:lineRule="auto"/>
            </w:pPr>
            <w:r>
              <w:rPr>
                <w:rFonts w:ascii="Calibri" w:hAnsi="Calibri"/>
                <w:b w:val="0"/>
                <w:i w:val="0"/>
                <w:color w:val="333333"/>
                <w:sz w:val="17"/>
              </w:rPr>
              <w:t>Références générant du chiffre d'affaires</w:t>
            </w:r>
          </w:p>
        </w:tc>
        <w:tc>
          <w:tcPr>
            <w:tcW w:type="dxa" w:w="2835"/>
            <w:shd w:val="clear" w:color="auto" w:fill="F1F5F9"/>
          </w:tcPr>
          <w:p>
            <w:pPr>
              <w:spacing w:after="0" w:line="252" w:lineRule="auto"/>
            </w:pPr>
            <w:r>
              <w:rPr>
                <w:rFonts w:ascii="Calibri" w:hAnsi="Calibri"/>
                <w:b w:val="0"/>
                <w:i w:val="0"/>
                <w:color w:val="333333"/>
                <w:sz w:val="17"/>
              </w:rPr>
              <w:t>689 sur 714</w:t>
            </w:r>
          </w:p>
        </w:tc>
        <w:tc>
          <w:tcPr>
            <w:tcW w:type="dxa" w:w="2835"/>
            <w:shd w:val="clear" w:color="auto" w:fill="F1F5F9"/>
          </w:tcPr>
          <w:p>
            <w:pPr>
              <w:spacing w:after="0" w:line="252" w:lineRule="auto"/>
            </w:pPr>
            <w:r>
              <w:rPr>
                <w:rFonts w:ascii="Calibri" w:hAnsi="Calibri"/>
                <w:b w:val="0"/>
                <w:i w:val="0"/>
                <w:color w:val="333333"/>
                <w:sz w:val="17"/>
              </w:rPr>
              <w:t>Ventes strictement positives</w:t>
            </w:r>
          </w:p>
        </w:tc>
      </w:tr>
      <w:tr>
        <w:trPr>
          <w:cantSplit/>
        </w:trPr>
        <w:tc>
          <w:tcPr>
            <w:tcW w:type="dxa" w:w="3628"/>
          </w:tcPr>
          <w:p>
            <w:pPr>
              <w:spacing w:after="0" w:line="252" w:lineRule="auto"/>
            </w:pPr>
            <w:r>
              <w:rPr>
                <w:rFonts w:ascii="Calibri" w:hAnsi="Calibri"/>
                <w:b w:val="0"/>
                <w:i w:val="0"/>
                <w:color w:val="333333"/>
                <w:sz w:val="17"/>
              </w:rPr>
              <w:t>Concentration du chiffre d'affaires</w:t>
            </w:r>
          </w:p>
        </w:tc>
        <w:tc>
          <w:tcPr>
            <w:tcW w:type="dxa" w:w="2835"/>
          </w:tcPr>
          <w:p>
            <w:pPr>
              <w:spacing w:after="0" w:line="252" w:lineRule="auto"/>
            </w:pPr>
            <w:r>
              <w:rPr>
                <w:rFonts w:ascii="Calibri" w:hAnsi="Calibri"/>
                <w:b w:val="0"/>
                <w:i w:val="0"/>
                <w:color w:val="333333"/>
                <w:sz w:val="17"/>
              </w:rPr>
              <w:t xml:space="preserve">435 références sur 689, soit 63 %, font 80 % du chiffre d'affaires : une concentration faible</w:t>
            </w:r>
          </w:p>
        </w:tc>
        <w:tc>
          <w:tcPr>
            <w:tcW w:type="dxa" w:w="2835"/>
          </w:tcPr>
          <w:p>
            <w:pPr>
              <w:spacing w:after="0" w:line="252" w:lineRule="auto"/>
            </w:pPr>
            <w:r>
              <w:rPr>
                <w:rFonts w:ascii="Calibri" w:hAnsi="Calibri"/>
                <w:b w:val="0"/>
                <w:i w:val="0"/>
                <w:color w:val="333333"/>
                <w:sz w:val="17"/>
              </w:rPr>
              <w:t>Cumul décroissant sur les 689 références qui vendent</w:t>
            </w:r>
          </w:p>
        </w:tc>
      </w:tr>
      <w:tr>
        <w:trPr>
          <w:cantSplit/>
        </w:trPr>
        <w:tc>
          <w:tcPr>
            <w:tcW w:type="dxa" w:w="3628"/>
            <w:shd w:val="clear" w:color="auto" w:fill="F1F5F9"/>
          </w:tcPr>
          <w:p>
            <w:pPr>
              <w:spacing w:after="0" w:line="252" w:lineRule="auto"/>
            </w:pPr>
            <w:r>
              <w:rPr>
                <w:rFonts w:ascii="Calibri" w:hAnsi="Calibri"/>
                <w:b w:val="0"/>
                <w:i w:val="0"/>
                <w:color w:val="333333"/>
                <w:sz w:val="17"/>
              </w:rPr>
              <w:t>Chiffre d'affaires porté par ces 435 références</w:t>
            </w:r>
          </w:p>
        </w:tc>
        <w:tc>
          <w:tcPr>
            <w:tcW w:type="dxa" w:w="2835"/>
            <w:shd w:val="clear" w:color="auto" w:fill="F1F5F9"/>
          </w:tcPr>
          <w:p>
            <w:pPr>
              <w:spacing w:after="0" w:line="252" w:lineRule="auto"/>
            </w:pPr>
            <w:r>
              <w:rPr>
                <w:rFonts w:ascii="Calibri" w:hAnsi="Calibri"/>
                <w:b w:val="0"/>
                <w:i w:val="0"/>
                <w:color w:val="333333"/>
                <w:sz w:val="17"/>
              </w:rPr>
              <w:t>115 068 euros</w:t>
            </w:r>
          </w:p>
        </w:tc>
        <w:tc>
          <w:tcPr>
            <w:tcW w:type="dxa" w:w="2835"/>
            <w:shd w:val="clear" w:color="auto" w:fill="F1F5F9"/>
          </w:tcPr>
          <w:p>
            <w:pPr>
              <w:spacing w:after="0" w:line="252" w:lineRule="auto"/>
            </w:pPr>
            <w:r>
              <w:rPr>
                <w:rFonts w:ascii="Calibri" w:hAnsi="Calibri"/>
                <w:b w:val="0"/>
                <w:i w:val="0"/>
                <w:color w:val="333333"/>
                <w:sz w:val="17"/>
              </w:rPr>
              <w:t>Cumul décroissant</w:t>
            </w:r>
          </w:p>
        </w:tc>
      </w:tr>
      <w:tr>
        <w:trPr>
          <w:cantSplit/>
        </w:trPr>
        <w:tc>
          <w:tcPr>
            <w:tcW w:type="dxa" w:w="3628"/>
          </w:tcPr>
          <w:p>
            <w:pPr>
              <w:spacing w:after="0" w:line="252" w:lineRule="auto"/>
            </w:pPr>
            <w:r>
              <w:rPr>
                <w:rFonts w:ascii="Calibri" w:hAnsi="Calibri"/>
                <w:b w:val="0"/>
                <w:i w:val="0"/>
                <w:color w:val="333333"/>
                <w:sz w:val="17"/>
              </w:rPr>
              <w:t>Taux de marge moyen</w:t>
            </w:r>
          </w:p>
        </w:tc>
        <w:tc>
          <w:tcPr>
            <w:tcW w:type="dxa" w:w="2835"/>
          </w:tcPr>
          <w:p>
            <w:pPr>
              <w:spacing w:after="0" w:line="252" w:lineRule="auto"/>
            </w:pPr>
            <w:r>
              <w:rPr>
                <w:rFonts w:ascii="Calibri" w:hAnsi="Calibri"/>
                <w:b w:val="0"/>
                <w:i w:val="0"/>
                <w:color w:val="333333"/>
                <w:sz w:val="17"/>
              </w:rPr>
              <w:t>47,4 %, médiane à 48,3 %</w:t>
            </w:r>
          </w:p>
        </w:tc>
        <w:tc>
          <w:tcPr>
            <w:tcW w:type="dxa" w:w="2835"/>
          </w:tcPr>
          <w:p>
            <w:pPr>
              <w:spacing w:after="0" w:line="252" w:lineRule="auto"/>
            </w:pPr>
            <w:r>
              <w:rPr>
                <w:rFonts w:ascii="Calibri" w:hAnsi="Calibri"/>
                <w:b w:val="0"/>
                <w:i w:val="0"/>
                <w:color w:val="333333"/>
                <w:sz w:val="17"/>
              </w:rPr>
              <w:t xml:space="preserve">Notebook complémentaire, essai C</w:t>
            </w:r>
          </w:p>
        </w:tc>
      </w:tr>
      <w:tr>
        <w:trPr>
          <w:cantSplit/>
        </w:trPr>
        <w:tc>
          <w:tcPr>
            <w:tcW w:type="dxa" w:w="3628"/>
            <w:shd w:val="clear" w:color="auto" w:fill="F1F5F9"/>
          </w:tcPr>
          <w:p>
            <w:pPr>
              <w:spacing w:after="0" w:line="252" w:lineRule="auto"/>
            </w:pPr>
            <w:r>
              <w:rPr>
                <w:rFonts w:ascii="Calibri" w:hAnsi="Calibri"/>
                <w:b w:val="0"/>
                <w:i w:val="0"/>
                <w:color w:val="333333"/>
                <w:sz w:val="17"/>
              </w:rPr>
              <w:t>Anomalies supplémentaires captées par la détection multivariée</w:t>
            </w:r>
          </w:p>
        </w:tc>
        <w:tc>
          <w:tcPr>
            <w:tcW w:type="dxa" w:w="2835"/>
            <w:shd w:val="clear" w:color="auto" w:fill="F1F5F9"/>
          </w:tcPr>
          <w:p>
            <w:pPr>
              <w:spacing w:after="0" w:line="252" w:lineRule="auto"/>
            </w:pPr>
            <w:r>
              <w:rPr>
                <w:rFonts w:ascii="Calibri" w:hAnsi="Calibri"/>
                <w:b w:val="0"/>
                <w:i w:val="0"/>
                <w:color w:val="333333"/>
                <w:sz w:val="17"/>
              </w:rPr>
              <w:t>26</w:t>
            </w:r>
          </w:p>
        </w:tc>
        <w:tc>
          <w:tcPr>
            <w:tcW w:type="dxa" w:w="2835"/>
            <w:shd w:val="clear" w:color="auto" w:fill="F1F5F9"/>
          </w:tcPr>
          <w:p>
            <w:pPr>
              <w:spacing w:after="0" w:line="252" w:lineRule="auto"/>
            </w:pPr>
            <w:r>
              <w:rPr>
                <w:rFonts w:ascii="Calibri" w:hAnsi="Calibri"/>
                <w:b w:val="0"/>
                <w:i w:val="0"/>
                <w:color w:val="333333"/>
                <w:sz w:val="17"/>
              </w:rPr>
              <w:t>Comparaison des deux méthodes</w:t>
            </w:r>
          </w:p>
        </w:tc>
      </w:tr>
      <w:tr>
        <w:trPr>
          <w:cantSplit/>
        </w:trPr>
        <w:tc>
          <w:tcPr>
            <w:tcW w:type="dxa" w:w="3628"/>
          </w:tcPr>
          <w:p>
            <w:pPr>
              <w:spacing w:after="0" w:line="252" w:lineRule="auto"/>
            </w:pPr>
            <w:r>
              <w:rPr>
                <w:rFonts w:ascii="Calibri" w:hAnsi="Calibri"/>
                <w:b w:val="0"/>
                <w:i w:val="0"/>
                <w:color w:val="333333"/>
                <w:sz w:val="17"/>
              </w:rPr>
              <w:t>Pouvoir explicatif du modèle de ventes</w:t>
            </w:r>
          </w:p>
        </w:tc>
        <w:tc>
          <w:tcPr>
            <w:tcW w:type="dxa" w:w="2835"/>
          </w:tcPr>
          <w:p>
            <w:pPr>
              <w:spacing w:after="0" w:line="252" w:lineRule="auto"/>
            </w:pPr>
            <w:r>
              <w:rPr>
                <w:rFonts w:ascii="Calibri" w:hAnsi="Calibri"/>
                <w:b w:val="0"/>
                <w:i w:val="0"/>
                <w:color w:val="333333"/>
                <w:sz w:val="17"/>
              </w:rPr>
              <w:t>0,72</w:t>
            </w:r>
          </w:p>
        </w:tc>
        <w:tc>
          <w:tcPr>
            <w:tcW w:type="dxa" w:w="2835"/>
          </w:tcPr>
          <w:p>
            <w:pPr>
              <w:spacing w:after="0" w:line="252" w:lineRule="auto"/>
            </w:pPr>
            <w:r>
              <w:rPr>
                <w:rFonts w:ascii="Calibri" w:hAnsi="Calibri"/>
                <w:b w:val="0"/>
                <w:i w:val="0"/>
                <w:color w:val="333333"/>
                <w:sz w:val="17"/>
              </w:rPr>
              <w:t>Jeu de test, 25 % des données</w:t>
            </w:r>
          </w:p>
        </w:tc>
      </w:tr>
      <w:tr>
        <w:trPr>
          <w:cantSplit/>
        </w:trPr>
        <w:tc>
          <w:tcPr>
            <w:tcW w:type="dxa" w:w="3628"/>
            <w:shd w:val="clear" w:color="auto" w:fill="F1F5F9"/>
          </w:tcPr>
          <w:p>
            <w:pPr>
              <w:spacing w:after="0" w:line="252" w:lineRule="auto"/>
            </w:pPr>
            <w:r>
              <w:rPr>
                <w:rFonts w:ascii="Calibri" w:hAnsi="Calibri"/>
                <w:b w:val="0"/>
                <w:i w:val="0"/>
                <w:color w:val="333333"/>
                <w:sz w:val="17"/>
              </w:rPr>
              <w:t>Erreur absolue moyenne du modèle</w:t>
            </w:r>
          </w:p>
        </w:tc>
        <w:tc>
          <w:tcPr>
            <w:tcW w:type="dxa" w:w="2835"/>
            <w:shd w:val="clear" w:color="auto" w:fill="F1F5F9"/>
          </w:tcPr>
          <w:p>
            <w:pPr>
              <w:spacing w:after="0" w:line="252" w:lineRule="auto"/>
            </w:pPr>
            <w:r>
              <w:rPr>
                <w:rFonts w:ascii="Calibri" w:hAnsi="Calibri"/>
                <w:b w:val="0"/>
                <w:i w:val="0"/>
                <w:color w:val="333333"/>
                <w:sz w:val="17"/>
              </w:rPr>
              <w:t>1,54 unité</w:t>
            </w:r>
          </w:p>
        </w:tc>
        <w:tc>
          <w:tcPr>
            <w:tcW w:type="dxa" w:w="2835"/>
            <w:shd w:val="clear" w:color="auto" w:fill="F1F5F9"/>
          </w:tcPr>
          <w:p>
            <w:pPr>
              <w:spacing w:after="0" w:line="252" w:lineRule="auto"/>
            </w:pPr>
            <w:r>
              <w:rPr>
                <w:rFonts w:ascii="Calibri" w:hAnsi="Calibri"/>
                <w:b w:val="0"/>
                <w:i w:val="0"/>
                <w:color w:val="333333"/>
                <w:sz w:val="17"/>
              </w:rPr>
              <w:t>Jeu de test</w:t>
            </w:r>
          </w:p>
        </w:tc>
      </w:tr>
      <w:tr>
        <w:trPr>
          <w:cantSplit/>
        </w:trPr>
        <w:tc>
          <w:tcPr>
            <w:tcW w:type="dxa" w:w="3628"/>
            <w:shd w:val="clear" w:color="auto" w:fill="F1F5F9"/>
          </w:tcPr>
          <w:p>
            <w:pPr>
              <w:spacing w:after="0" w:line="252" w:lineRule="auto"/>
            </w:pPr>
            <w:r>
              <w:rPr>
                <w:rFonts w:ascii="Calibri" w:hAnsi="Calibri"/>
                <w:b w:val="0"/>
                <w:i w:val="0"/>
                <w:color w:val="333333"/>
                <w:sz w:val="17"/>
              </w:rPr>
              <w:t xml:space="preserve">Pouvoir explicatif en validation croisée</w:t>
            </w:r>
          </w:p>
        </w:tc>
        <w:tc>
          <w:tcPr>
            <w:tcW w:type="dxa" w:w="2835"/>
            <w:shd w:val="clear" w:color="auto" w:fill="F1F5F9"/>
          </w:tcPr>
          <w:p>
            <w:pPr>
              <w:spacing w:after="0" w:line="252" w:lineRule="auto"/>
            </w:pPr>
            <w:r>
              <w:rPr>
                <w:rFonts w:ascii="Calibri" w:hAnsi="Calibri"/>
                <w:b w:val="0"/>
                <w:i w:val="0"/>
                <w:color w:val="333333"/>
                <w:sz w:val="17"/>
              </w:rPr>
              <w:t xml:space="preserve">0,67 en moyenne, de 0,53 à 0,76 selon le pli</w:t>
            </w:r>
          </w:p>
        </w:tc>
        <w:tc>
          <w:tcPr>
            <w:tcW w:type="dxa" w:w="2835"/>
            <w:shd w:val="clear" w:color="auto" w:fill="F1F5F9"/>
          </w:tcPr>
          <w:p>
            <w:pPr>
              <w:spacing w:after="0" w:line="252" w:lineRule="auto"/>
            </w:pPr>
            <w:r>
              <w:rPr>
                <w:rFonts w:ascii="Calibri" w:hAnsi="Calibri"/>
                <w:b w:val="0"/>
                <w:i w:val="0"/>
                <w:color w:val="333333"/>
                <w:sz w:val="17"/>
              </w:rPr>
              <w:t xml:space="preserve">Notebook complémentaire, essai D, cinq plis</w:t>
            </w:r>
          </w:p>
        </w:tc>
      </w:tr>
      <w:tr>
        <w:trPr>
          <w:cantSplit/>
        </w:trPr>
        <w:tc>
          <w:tcPr>
            <w:tcW w:type="dxa" w:w="3628"/>
            <w:shd w:val="clear" w:color="auto" w:fill="F1F5F9"/>
          </w:tcPr>
          <w:p>
            <w:pPr>
              <w:spacing w:after="0" w:line="252" w:lineRule="auto"/>
            </w:pPr>
            <w:r>
              <w:rPr>
                <w:rFonts w:ascii="Calibri" w:hAnsi="Calibri"/>
                <w:b w:val="0"/>
                <w:i w:val="0"/>
                <w:color w:val="333333"/>
                <w:sz w:val="17"/>
              </w:rPr>
              <w:t xml:space="preserve">Erreur d'une prédiction naïve</w:t>
            </w:r>
          </w:p>
        </w:tc>
        <w:tc>
          <w:tcPr>
            <w:tcW w:type="dxa" w:w="2835"/>
            <w:shd w:val="clear" w:color="auto" w:fill="F1F5F9"/>
          </w:tcPr>
          <w:p>
            <w:pPr>
              <w:spacing w:after="0" w:line="252" w:lineRule="auto"/>
            </w:pPr>
            <w:r>
              <w:rPr>
                <w:rFonts w:ascii="Calibri" w:hAnsi="Calibri"/>
                <w:b w:val="0"/>
                <w:i w:val="0"/>
                <w:color w:val="333333"/>
                <w:sz w:val="17"/>
              </w:rPr>
              <w:t xml:space="preserve">3,46 unités, contre 1,54 pour le modèle</w:t>
            </w:r>
          </w:p>
        </w:tc>
        <w:tc>
          <w:tcPr>
            <w:tcW w:type="dxa" w:w="2835"/>
            <w:shd w:val="clear" w:color="auto" w:fill="F1F5F9"/>
          </w:tcPr>
          <w:p>
            <w:pPr>
              <w:spacing w:after="0" w:line="252" w:lineRule="auto"/>
            </w:pPr>
            <w:r>
              <w:rPr>
                <w:rFonts w:ascii="Calibri" w:hAnsi="Calibri"/>
                <w:b w:val="0"/>
                <w:i w:val="0"/>
                <w:color w:val="333333"/>
                <w:sz w:val="17"/>
              </w:rPr>
              <w:t xml:space="preserve">Essai D, moyenne du jeu d'apprentissage</w:t>
            </w:r>
          </w:p>
        </w:tc>
      </w:tr>
      <w:tr>
        <w:trPr>
          <w:cantSplit/>
        </w:trPr>
        <w:tc>
          <w:tcPr>
            <w:tcW w:type="dxa" w:w="3628"/>
            <w:shd w:val="clear" w:color="auto" w:fill="F1F5F9"/>
          </w:tcPr>
          <w:p>
            <w:pPr>
              <w:spacing w:after="0" w:line="252" w:lineRule="auto"/>
            </w:pPr>
            <w:r>
              <w:rPr>
                <w:rFonts w:ascii="Calibri" w:hAnsi="Calibri"/>
                <w:b w:val="0"/>
                <w:i w:val="0"/>
                <w:color w:val="333333"/>
                <w:sz w:val="17"/>
              </w:rPr>
              <w:t xml:space="preserve">Références clés à stock nul</w:t>
            </w:r>
          </w:p>
        </w:tc>
        <w:tc>
          <w:tcPr>
            <w:tcW w:type="dxa" w:w="2835"/>
            <w:shd w:val="clear" w:color="auto" w:fill="F1F5F9"/>
          </w:tcPr>
          <w:p>
            <w:pPr>
              <w:spacing w:after="0" w:line="252" w:lineRule="auto"/>
            </w:pPr>
            <w:r>
              <w:rPr>
                <w:rFonts w:ascii="Calibri" w:hAnsi="Calibri"/>
                <w:b w:val="0"/>
                <w:i w:val="0"/>
                <w:color w:val="333333"/>
                <w:sz w:val="17"/>
              </w:rPr>
              <w:t xml:space="preserve">14 sur 435, pour 5 434 euros de ventes en octobre</w:t>
            </w:r>
          </w:p>
        </w:tc>
        <w:tc>
          <w:tcPr>
            <w:tcW w:type="dxa" w:w="2835"/>
            <w:shd w:val="clear" w:color="auto" w:fill="F1F5F9"/>
          </w:tcPr>
          <w:p>
            <w:pPr>
              <w:spacing w:after="0" w:line="252" w:lineRule="auto"/>
            </w:pPr>
            <w:r>
              <w:rPr>
                <w:rFonts w:ascii="Calibri" w:hAnsi="Calibri"/>
                <w:b w:val="0"/>
                <w:i w:val="0"/>
                <w:color w:val="333333"/>
                <w:sz w:val="17"/>
              </w:rPr>
              <w:t xml:space="preserve">Essai C</w:t>
            </w:r>
          </w:p>
        </w:tc>
      </w:tr>
      <w:tr>
        <w:trPr>
          <w:cantSplit/>
        </w:trPr>
        <w:tc>
          <w:tcPr>
            <w:tcW w:type="dxa" w:w="3628"/>
            <w:shd w:val="clear" w:color="auto" w:fill="F1F5F9"/>
          </w:tcPr>
          <w:p>
            <w:pPr>
              <w:spacing w:after="0" w:line="252" w:lineRule="auto"/>
            </w:pPr>
            <w:r>
              <w:rPr>
                <w:rFonts w:ascii="Calibri" w:hAnsi="Calibri"/>
                <w:b w:val="0"/>
                <w:i w:val="0"/>
                <w:color w:val="333333"/>
                <w:sz w:val="17"/>
              </w:rPr>
              <w:t xml:space="preserve">Références à plus d'un an de stock</w:t>
            </w:r>
          </w:p>
        </w:tc>
        <w:tc>
          <w:tcPr>
            <w:tcW w:type="dxa" w:w="2835"/>
            <w:shd w:val="clear" w:color="auto" w:fill="F1F5F9"/>
          </w:tcPr>
          <w:p>
            <w:pPr>
              <w:spacing w:after="0" w:line="252" w:lineRule="auto"/>
            </w:pPr>
            <w:r>
              <w:rPr>
                <w:rFonts w:ascii="Calibri" w:hAnsi="Calibri"/>
                <w:b w:val="0"/>
                <w:i w:val="0"/>
                <w:color w:val="333333"/>
                <w:sz w:val="17"/>
              </w:rPr>
              <w:t xml:space="preserve">24, environ 95 000 euros au prix d'achat (35 % de la valeur du stock des 712 produits retenus pour l'essai C)</w:t>
            </w:r>
          </w:p>
        </w:tc>
        <w:tc>
          <w:tcPr>
            <w:tcW w:type="dxa" w:w="2835"/>
            <w:shd w:val="clear" w:color="auto" w:fill="F1F5F9"/>
          </w:tcPr>
          <w:p>
            <w:pPr>
              <w:spacing w:after="0" w:line="252" w:lineRule="auto"/>
            </w:pPr>
            <w:r>
              <w:rPr>
                <w:rFonts w:ascii="Calibri" w:hAnsi="Calibri"/>
                <w:b w:val="0"/>
                <w:i w:val="0"/>
                <w:color w:val="333333"/>
                <w:sz w:val="17"/>
              </w:rPr>
              <w:t xml:space="preserve">Essai C, au rythme des ventes d'octobre</w:t>
            </w:r>
          </w:p>
        </w:tc>
      </w:tr>
      <w:tr>
        <w:trPr>
          <w:cantSplit/>
        </w:trPr>
        <w:tc>
          <w:tcPr>
            <w:tcW w:type="dxa" w:w="3628"/>
          </w:tcPr>
          <w:p>
            <w:pPr>
              <w:spacing w:after="0" w:line="252" w:lineRule="auto"/>
            </w:pPr>
            <w:r>
              <w:rPr>
                <w:rFonts w:ascii="Calibri" w:hAnsi="Calibri"/>
                <w:b w:val="0"/>
                <w:i w:val="0"/>
                <w:color w:val="333333"/>
                <w:sz w:val="17"/>
              </w:rPr>
              <w:t xml:space="preserve">Accélération possible en cas de montée en charge</w:t>
            </w:r>
          </w:p>
        </w:tc>
        <w:tc>
          <w:tcPr>
            <w:tcW w:type="dxa" w:w="2835"/>
          </w:tcPr>
          <w:p>
            <w:pPr>
              <w:spacing w:after="0" w:line="252" w:lineRule="auto"/>
            </w:pPr>
            <w:r>
              <w:rPr>
                <w:rFonts w:ascii="Calibri" w:hAnsi="Calibri"/>
                <w:b w:val="0"/>
                <w:i w:val="0"/>
                <w:color w:val="333333"/>
                <w:sz w:val="17"/>
              </w:rPr>
              <w:t xml:space="preserve">Polars 4,1 fois et DuckDB 2,9 fois plus rapides que pandas dans l'exécution livrée ; 8,1 et 5,7 fois sur mon poste le 25 septembre</w:t>
            </w:r>
          </w:p>
        </w:tc>
        <w:tc>
          <w:tcPr>
            <w:tcW w:type="dxa" w:w="2835"/>
          </w:tcPr>
          <w:p>
            <w:pPr>
              <w:spacing w:after="0" w:line="252" w:lineRule="auto"/>
            </w:pPr>
            <w:r>
              <w:rPr>
                <w:rFonts w:ascii="Calibri" w:hAnsi="Calibri"/>
                <w:b w:val="0"/>
                <w:i w:val="0"/>
                <w:color w:val="333333"/>
                <w:sz w:val="17"/>
              </w:rPr>
              <w:t>Test sur deux millions de lignes</w:t>
            </w:r>
          </w:p>
        </w:tc>
      </w:tr>
    </w:tbl>
    <w:p>
      <w:pPr>
        <w:spacing w:after="40"/>
      </w:pPr>
    </w:p>
    <w:p>
      <w:pPr>
        <w:spacing w:after="60"/>
        <w:jc w:val="center"/>
      </w:pPr>
      <w:r>
        <w:drawing>
          <wp:inline xmlns:a="http://schemas.openxmlformats.org/drawingml/2006/main" xmlns:pic="http://schemas.openxmlformats.org/drawingml/2006/picture">
            <wp:extent cx="4860000" cy="2491448"/>
            <wp:docPr id="4" name="Picture 4"/>
            <wp:cNvGraphicFramePr>
              <a:graphicFrameLocks noChangeAspect="1"/>
            </wp:cNvGraphicFramePr>
            <a:graphic>
              <a:graphicData uri="http://schemas.openxmlformats.org/drawingml/2006/picture">
                <pic:pic>
                  <pic:nvPicPr>
                    <pic:cNvPr id="0" name="fig_concentration.png"/>
                    <pic:cNvPicPr/>
                  </pic:nvPicPr>
                  <pic:blipFill>
                    <a:blip r:embed="rId13"/>
                    <a:stretch>
                      <a:fillRect/>
                    </a:stretch>
                  </pic:blipFill>
                  <pic:spPr>
                    <a:xfrm>
                      <a:off x="0" y="0"/>
                      <a:ext cx="4860000" cy="2491448"/>
                    </a:xfrm>
                    <a:prstGeom prst="rect"/>
                  </pic:spPr>
                </pic:pic>
              </a:graphicData>
            </a:graphic>
          </wp:inline>
        </w:drawing>
      </w:r>
    </w:p>
    <w:p>
      <w:pPr>
        <w:spacing w:after="200"/>
        <w:jc w:val="center"/>
      </w:pPr>
      <w:r>
        <w:rPr>
          <w:rFonts w:ascii="Calibri" w:hAnsi="Calibri"/>
          <w:b w:val="0"/>
          <w:i/>
          <w:color w:val="64748B"/>
          <w:sz w:val="17"/>
        </w:rPr>
        <w:t xml:space="preserve">Figure 4. Concentration du chiffre d'affaires : 63 % des références qui vendent en portent 80 %, une concentration faible. Figure redessinée à partir des sorties du notebook (mêmes données).</w:t>
      </w:r>
    </w:p>
    <w:p>
      <w:pPr>
        <w:pStyle w:val="Heading1"/>
      </w:pPr>
      <w:bookmarkStart w:id="7011" w:name="_TocP130011"/>
      <w:r>
        <w:t>5. Ce que le projet change pour le métier</w:t>
      </w:r>
      <w:bookmarkEnd w:id="7011"/>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1361"/>
            <w:shd w:val="clear" w:color="auto" w:fill="1F2937"/>
          </w:tcPr>
          <w:p>
            <w:pPr>
              <w:spacing w:after="0"/>
            </w:pPr>
            <w:r>
              <w:rPr>
                <w:rFonts w:ascii="Calibri" w:hAnsi="Calibri"/>
                <w:b/>
                <w:color w:val="FFFFFF"/>
                <w:sz w:val="17"/>
              </w:rPr>
              <w:t>Sujet</w:t>
            </w:r>
          </w:p>
        </w:tc>
        <w:tc>
          <w:tcPr>
            <w:tcW w:type="dxa" w:w="2268"/>
            <w:shd w:val="clear" w:color="auto" w:fill="1F2937"/>
          </w:tcPr>
          <w:p>
            <w:pPr>
              <w:spacing w:after="0"/>
            </w:pPr>
            <w:r>
              <w:rPr>
                <w:rFonts w:ascii="Calibri" w:hAnsi="Calibri"/>
                <w:b/>
                <w:color w:val="FFFFFF"/>
                <w:sz w:val="17"/>
              </w:rPr>
              <w:t>Avant, projet 6</w:t>
            </w:r>
          </w:p>
        </w:tc>
        <w:tc>
          <w:tcPr>
            <w:tcW w:type="dxa" w:w="2494"/>
            <w:shd w:val="clear" w:color="auto" w:fill="1F2937"/>
          </w:tcPr>
          <w:p>
            <w:pPr>
              <w:spacing w:after="0"/>
            </w:pPr>
            <w:r>
              <w:rPr>
                <w:rFonts w:ascii="Calibri" w:hAnsi="Calibri"/>
                <w:b/>
                <w:color w:val="FFFFFF"/>
                <w:sz w:val="17"/>
              </w:rPr>
              <w:t>Après, projet 13</w:t>
            </w:r>
          </w:p>
        </w:tc>
        <w:tc>
          <w:tcPr>
            <w:tcW w:type="dxa" w:w="3175"/>
            <w:shd w:val="clear" w:color="auto" w:fill="1F2937"/>
          </w:tcPr>
          <w:p>
            <w:pPr>
              <w:spacing w:after="0"/>
            </w:pPr>
            <w:r>
              <w:rPr>
                <w:rFonts w:ascii="Calibri" w:hAnsi="Calibri"/>
                <w:b/>
                <w:color w:val="FFFFFF"/>
                <w:sz w:val="17"/>
              </w:rPr>
              <w:t>Bénéfice pour BottleNeck</w:t>
            </w:r>
          </w:p>
        </w:tc>
      </w:tr>
      <w:tr>
        <w:trPr>
          <w:cantSplit/>
        </w:trPr>
        <w:tc>
          <w:tcPr>
            <w:tcW w:type="dxa" w:w="1361"/>
          </w:tcPr>
          <w:p>
            <w:pPr>
              <w:spacing w:after="0" w:line="252" w:lineRule="auto"/>
            </w:pPr>
            <w:r>
              <w:rPr>
                <w:rFonts w:ascii="Calibri" w:hAnsi="Calibri"/>
                <w:b w:val="0"/>
                <w:i w:val="0"/>
                <w:color w:val="333333"/>
                <w:sz w:val="17"/>
              </w:rPr>
              <w:t>Qualité</w:t>
            </w:r>
          </w:p>
        </w:tc>
        <w:tc>
          <w:tcPr>
            <w:tcW w:type="dxa" w:w="2268"/>
          </w:tcPr>
          <w:p>
            <w:pPr>
              <w:spacing w:after="0" w:line="252" w:lineRule="auto"/>
            </w:pPr>
            <w:r>
              <w:rPr>
                <w:rFonts w:ascii="Calibri" w:hAnsi="Calibri"/>
                <w:b w:val="0"/>
                <w:i w:val="0"/>
                <w:color w:val="333333"/>
                <w:sz w:val="17"/>
              </w:rPr>
              <w:t>Contrôles écrits à la main, non rejouables</w:t>
            </w:r>
          </w:p>
        </w:tc>
        <w:tc>
          <w:tcPr>
            <w:tcW w:type="dxa" w:w="2494"/>
          </w:tcPr>
          <w:p>
            <w:pPr>
              <w:spacing w:after="0" w:line="252" w:lineRule="auto"/>
            </w:pPr>
            <w:r>
              <w:rPr>
                <w:rFonts w:ascii="Calibri" w:hAnsi="Calibri"/>
                <w:b w:val="0"/>
                <w:i w:val="0"/>
                <w:color w:val="333333"/>
                <w:sz w:val="17"/>
              </w:rPr>
              <w:t xml:space="preserve">Contrat de qualité déclaratif et rejouable</w:t>
            </w:r>
          </w:p>
        </w:tc>
        <w:tc>
          <w:tcPr>
            <w:tcW w:type="dxa" w:w="3175"/>
          </w:tcPr>
          <w:p>
            <w:pPr>
              <w:spacing w:after="0" w:line="252" w:lineRule="auto"/>
            </w:pPr>
            <w:r>
              <w:rPr>
                <w:rFonts w:ascii="Calibri" w:hAnsi="Calibri"/>
                <w:b w:val="0"/>
                <w:i w:val="0"/>
                <w:color w:val="333333"/>
                <w:sz w:val="17"/>
              </w:rPr>
              <w:t>Les chiffres remis à la direction sont vérifiés avant d'être publiés</w:t>
            </w:r>
          </w:p>
        </w:tc>
      </w:tr>
      <w:tr>
        <w:trPr>
          <w:cantSplit/>
        </w:trPr>
        <w:tc>
          <w:tcPr>
            <w:tcW w:type="dxa" w:w="1361"/>
            <w:shd w:val="clear" w:color="auto" w:fill="F1F5F9"/>
          </w:tcPr>
          <w:p>
            <w:pPr>
              <w:spacing w:after="0" w:line="252" w:lineRule="auto"/>
            </w:pPr>
            <w:r>
              <w:rPr>
                <w:rFonts w:ascii="Calibri" w:hAnsi="Calibri"/>
                <w:b w:val="0"/>
                <w:i w:val="0"/>
                <w:color w:val="333333"/>
                <w:sz w:val="17"/>
              </w:rPr>
              <w:t>Performance</w:t>
            </w:r>
          </w:p>
        </w:tc>
        <w:tc>
          <w:tcPr>
            <w:tcW w:type="dxa" w:w="2268"/>
            <w:shd w:val="clear" w:color="auto" w:fill="F1F5F9"/>
          </w:tcPr>
          <w:p>
            <w:pPr>
              <w:spacing w:after="0" w:line="252" w:lineRule="auto"/>
            </w:pPr>
            <w:r>
              <w:rPr>
                <w:rFonts w:ascii="Calibri" w:hAnsi="Calibri"/>
                <w:b w:val="0"/>
                <w:i w:val="0"/>
                <w:color w:val="333333"/>
                <w:sz w:val="17"/>
              </w:rPr>
              <w:t xml:space="preserve">Un seul outil, choisi par défaut</w:t>
            </w:r>
          </w:p>
        </w:tc>
        <w:tc>
          <w:tcPr>
            <w:tcW w:type="dxa" w:w="2494"/>
            <w:shd w:val="clear" w:color="auto" w:fill="F1F5F9"/>
          </w:tcPr>
          <w:p>
            <w:pPr>
              <w:spacing w:after="0" w:line="252" w:lineRule="auto"/>
            </w:pPr>
            <w:r>
              <w:rPr>
                <w:rFonts w:ascii="Calibri" w:hAnsi="Calibri"/>
                <w:b w:val="0"/>
                <w:i w:val="0"/>
                <w:color w:val="333333"/>
                <w:sz w:val="17"/>
              </w:rPr>
              <w:t>Décision outillée et documentée</w:t>
            </w:r>
          </w:p>
        </w:tc>
        <w:tc>
          <w:tcPr>
            <w:tcW w:type="dxa" w:w="3175"/>
            <w:shd w:val="clear" w:color="auto" w:fill="F1F5F9"/>
          </w:tcPr>
          <w:p>
            <w:pPr>
              <w:spacing w:after="0" w:line="252" w:lineRule="auto"/>
            </w:pPr>
            <w:r>
              <w:rPr>
                <w:rFonts w:ascii="Calibri" w:hAnsi="Calibri"/>
                <w:b w:val="0"/>
                <w:i w:val="0"/>
                <w:color w:val="333333"/>
                <w:sz w:val="17"/>
              </w:rPr>
              <w:t xml:space="preserve">Pas de nouvel outil à installer aujourd'hui ; deux alternatives mesurées si le volume augmente</w:t>
            </w:r>
          </w:p>
        </w:tc>
      </w:tr>
      <w:tr>
        <w:trPr>
          <w:cantSplit/>
        </w:trPr>
        <w:tc>
          <w:tcPr>
            <w:tcW w:type="dxa" w:w="1361"/>
          </w:tcPr>
          <w:p>
            <w:pPr>
              <w:spacing w:after="0" w:line="252" w:lineRule="auto"/>
            </w:pPr>
            <w:r>
              <w:rPr>
                <w:rFonts w:ascii="Calibri" w:hAnsi="Calibri"/>
                <w:b w:val="0"/>
                <w:i w:val="0"/>
                <w:color w:val="333333"/>
                <w:sz w:val="17"/>
              </w:rPr>
              <w:t>Anomalies</w:t>
            </w:r>
          </w:p>
        </w:tc>
        <w:tc>
          <w:tcPr>
            <w:tcW w:type="dxa" w:w="2268"/>
          </w:tcPr>
          <w:p>
            <w:pPr>
              <w:spacing w:after="0" w:line="252" w:lineRule="auto"/>
            </w:pPr>
            <w:r>
              <w:rPr>
                <w:rFonts w:ascii="Calibri" w:hAnsi="Calibri"/>
                <w:b w:val="0"/>
                <w:i w:val="0"/>
                <w:color w:val="333333"/>
                <w:sz w:val="17"/>
              </w:rPr>
              <w:t>Détection sur une seule variable</w:t>
            </w:r>
          </w:p>
        </w:tc>
        <w:tc>
          <w:tcPr>
            <w:tcW w:type="dxa" w:w="2494"/>
          </w:tcPr>
          <w:p>
            <w:pPr>
              <w:spacing w:after="0" w:line="252" w:lineRule="auto"/>
            </w:pPr>
            <w:r>
              <w:rPr>
                <w:rFonts w:ascii="Calibri" w:hAnsi="Calibri"/>
                <w:b w:val="0"/>
                <w:i w:val="0"/>
                <w:color w:val="333333"/>
                <w:sz w:val="17"/>
              </w:rPr>
              <w:t>Détection complétée par une méthode multivariée</w:t>
            </w:r>
          </w:p>
        </w:tc>
        <w:tc>
          <w:tcPr>
            <w:tcW w:type="dxa" w:w="3175"/>
          </w:tcPr>
          <w:p>
            <w:pPr>
              <w:spacing w:after="0" w:line="252" w:lineRule="auto"/>
            </w:pPr>
            <w:r>
              <w:rPr>
                <w:rFonts w:ascii="Calibri" w:hAnsi="Calibri"/>
                <w:b w:val="0"/>
                <w:i w:val="0"/>
                <w:color w:val="333333"/>
                <w:sz w:val="17"/>
              </w:rPr>
              <w:t xml:space="preserve">Les prix sous le prix d'achat et les incohérences croisées sont signalés</w:t>
            </w:r>
          </w:p>
        </w:tc>
      </w:tr>
      <w:tr>
        <w:trPr>
          <w:cantSplit/>
        </w:trPr>
        <w:tc>
          <w:tcPr>
            <w:tcW w:type="dxa" w:w="1361"/>
            <w:shd w:val="clear" w:color="auto" w:fill="F1F5F9"/>
          </w:tcPr>
          <w:p>
            <w:pPr>
              <w:spacing w:after="0" w:line="252" w:lineRule="auto"/>
            </w:pPr>
            <w:r>
              <w:rPr>
                <w:rFonts w:ascii="Calibri" w:hAnsi="Calibri"/>
                <w:b w:val="0"/>
                <w:i w:val="0"/>
                <w:color w:val="333333"/>
                <w:sz w:val="17"/>
              </w:rPr>
              <w:t>Décision</w:t>
            </w:r>
          </w:p>
        </w:tc>
        <w:tc>
          <w:tcPr>
            <w:tcW w:type="dxa" w:w="2268"/>
            <w:shd w:val="clear" w:color="auto" w:fill="F1F5F9"/>
          </w:tcPr>
          <w:p>
            <w:pPr>
              <w:spacing w:after="0" w:line="252" w:lineRule="auto"/>
            </w:pPr>
            <w:r>
              <w:rPr>
                <w:rFonts w:ascii="Calibri" w:hAnsi="Calibri"/>
                <w:b w:val="0"/>
                <w:i w:val="0"/>
                <w:color w:val="333333"/>
                <w:sz w:val="17"/>
              </w:rPr>
              <w:t>Analyse descriptive</w:t>
            </w:r>
          </w:p>
        </w:tc>
        <w:tc>
          <w:tcPr>
            <w:tcW w:type="dxa" w:w="2494"/>
            <w:shd w:val="clear" w:color="auto" w:fill="F1F5F9"/>
          </w:tcPr>
          <w:p>
            <w:pPr>
              <w:spacing w:after="0" w:line="252" w:lineRule="auto"/>
            </w:pPr>
            <w:r>
              <w:rPr>
                <w:rFonts w:ascii="Calibri" w:hAnsi="Calibri"/>
                <w:b w:val="0"/>
                <w:i w:val="0"/>
                <w:color w:val="333333"/>
                <w:sz w:val="17"/>
              </w:rPr>
              <w:t>Explication des facteurs et recommandations</w:t>
            </w:r>
          </w:p>
        </w:tc>
        <w:tc>
          <w:tcPr>
            <w:tcW w:type="dxa" w:w="3175"/>
            <w:shd w:val="clear" w:color="auto" w:fill="F1F5F9"/>
          </w:tcPr>
          <w:p>
            <w:pPr>
              <w:spacing w:after="0" w:line="252" w:lineRule="auto"/>
            </w:pPr>
            <w:r>
              <w:rPr>
                <w:rFonts w:ascii="Calibri" w:hAnsi="Calibri"/>
                <w:b w:val="0"/>
                <w:i w:val="0"/>
                <w:color w:val="333333"/>
                <w:sz w:val="17"/>
              </w:rPr>
              <w:t xml:space="preserve">Le réassort se pilote sur la disponibilité en stock</w:t>
            </w:r>
          </w:p>
        </w:tc>
      </w:tr>
      <w:tr>
        <w:trPr>
          <w:cantSplit/>
        </w:trPr>
        <w:tc>
          <w:tcPr>
            <w:tcW w:type="dxa" w:w="1361"/>
          </w:tcPr>
          <w:p>
            <w:pPr>
              <w:spacing w:after="0" w:line="252" w:lineRule="auto"/>
            </w:pPr>
            <w:r>
              <w:rPr>
                <w:rFonts w:ascii="Calibri" w:hAnsi="Calibri"/>
                <w:b w:val="0"/>
                <w:i w:val="0"/>
                <w:color w:val="333333"/>
                <w:sz w:val="17"/>
              </w:rPr>
              <w:t>Usage de l'IA</w:t>
            </w:r>
          </w:p>
        </w:tc>
        <w:tc>
          <w:tcPr>
            <w:tcW w:type="dxa" w:w="2268"/>
          </w:tcPr>
          <w:p>
            <w:pPr>
              <w:spacing w:after="0" w:line="252" w:lineRule="auto"/>
            </w:pPr>
            <w:r>
              <w:rPr>
                <w:rFonts w:ascii="Calibri" w:hAnsi="Calibri"/>
                <w:b w:val="0"/>
                <w:i w:val="0"/>
                <w:color w:val="333333"/>
                <w:sz w:val="17"/>
              </w:rPr>
              <w:t>Absent</w:t>
            </w:r>
          </w:p>
        </w:tc>
        <w:tc>
          <w:tcPr>
            <w:tcW w:type="dxa" w:w="2494"/>
          </w:tcPr>
          <w:p>
            <w:pPr>
              <w:spacing w:after="0" w:line="252" w:lineRule="auto"/>
            </w:pPr>
            <w:r>
              <w:rPr>
                <w:rFonts w:ascii="Calibri" w:hAnsi="Calibri"/>
                <w:b w:val="0"/>
                <w:i w:val="0"/>
                <w:color w:val="333333"/>
                <w:sz w:val="17"/>
              </w:rPr>
              <w:t xml:space="preserve">Assistants tracés et encadrés</w:t>
            </w:r>
          </w:p>
        </w:tc>
        <w:tc>
          <w:tcPr>
            <w:tcW w:type="dxa" w:w="3175"/>
          </w:tcPr>
          <w:p>
            <w:pPr>
              <w:spacing w:after="0" w:line="252" w:lineRule="auto"/>
            </w:pPr>
            <w:r>
              <w:rPr>
                <w:rFonts w:ascii="Calibri" w:hAnsi="Calibri"/>
                <w:b w:val="0"/>
                <w:i w:val="0"/>
                <w:color w:val="333333"/>
                <w:sz w:val="17"/>
              </w:rPr>
              <w:t xml:space="preserve">Des essais tracés dans un journal, avec leurs décisions</w:t>
            </w:r>
          </w:p>
        </w:tc>
      </w:tr>
    </w:tbl>
    <w:p>
      <w:pPr>
        <w:spacing w:after="40"/>
      </w:pPr>
    </w:p>
    <w:p>
      <w:pPr>
        <w:pStyle w:val="Heading2"/>
      </w:pPr>
      <w:bookmarkStart w:id="7012" w:name="_TocP130012"/>
      <w:r>
        <w:t>5.1 Recommandations remises au commanditaire</w:t>
      </w:r>
      <w:bookmarkEnd w:id="7012"/>
    </w:p>
    <w:p>
      <w:pPr>
        <w:pStyle w:val="ListNumber"/>
        <w:spacing w:after="40"/>
        <w:ind w:left="369"/>
      </w:pPr>
      <w:r>
        <w:rPr>
          <w:rFonts w:ascii="Calibri" w:hAnsi="Calibri"/>
          <w:b/>
          <w:i w:val="0"/>
          <w:color w:val="333333"/>
          <w:sz w:val="21"/>
        </w:rPr>
        <w:t>Brancher le contrôle de qualité en amont de chaque import</w:t>
      </w:r>
      <w:r>
        <w:rPr>
          <w:rFonts w:ascii="Calibri" w:hAnsi="Calibri"/>
          <w:b w:val="0"/>
          <w:i w:val="0"/>
          <w:color w:val="333333"/>
          <w:sz w:val="21"/>
        </w:rPr>
        <w:t xml:space="preserve"> plutôt que de le lancer à la demande. Le coût est faible, et chaque import est contrôlé automatiquement.</w:t>
      </w:r>
    </w:p>
    <w:p>
      <w:pPr>
        <w:pStyle w:val="ListNumber"/>
        <w:spacing w:after="40"/>
        <w:ind w:left="369"/>
      </w:pPr>
      <w:r>
        <w:rPr>
          <w:rFonts w:ascii="Calibri" w:hAnsi="Calibri"/>
          <w:b/>
          <w:i w:val="0"/>
          <w:color w:val="333333"/>
          <w:sz w:val="21"/>
        </w:rPr>
        <w:t xml:space="preserve">Concentrer l'effort de réassort sur les 435 références qui portent 80 % du chiffre d'affaires.</w:t>
      </w:r>
      <w:r>
        <w:rPr>
          <w:rFonts w:ascii="Calibri" w:hAnsi="Calibri"/>
          <w:b w:val="0"/>
          <w:i w:val="0"/>
          <w:color w:val="333333"/>
          <w:sz w:val="21"/>
        </w:rPr>
        <w:t xml:space="preserve"> Les 254 restantes appellent une politique différente, à définir avec les achats.</w:t>
      </w:r>
    </w:p>
    <w:p>
      <w:pPr>
        <w:pStyle w:val="ListNumber"/>
        <w:spacing w:after="40"/>
        <w:ind w:left="369"/>
      </w:pPr>
      <w:r>
        <w:rPr>
          <w:rFonts w:ascii="Calibri" w:hAnsi="Calibri"/>
          <w:b w:val="0"/>
          <w:i w:val="0"/>
          <w:color w:val="333333"/>
          <w:sz w:val="21"/>
        </w:rPr>
        <w:t xml:space="preserve">Traiter d'abord les neuf lignes en infraction de l'ERP. Sept ont un prix de vente sous le prix d'achat, peut-être des erreurs de saisie à vérifier avec les achats. Une seule est rapprochée du site : la référence 4355, affichée en ligne à 12,65 euros pour 77,48 euros d'achat, sans vente en octobre. Des deux lignes à stock négatif, une seule reste dans les 714 produits, avec huit ventes pour 356 euros.</w:t>
      </w:r>
    </w:p>
    <w:p>
      <w:pPr>
        <w:pStyle w:val="ListNumber"/>
        <w:spacing w:after="40"/>
        <w:ind w:left="369"/>
      </w:pPr>
      <w:r>
        <w:rPr>
          <w:rFonts w:ascii="Calibri" w:hAnsi="Calibri"/>
          <w:b w:val="0"/>
          <w:i w:val="0"/>
          <w:color w:val="333333"/>
          <w:sz w:val="21"/>
        </w:rPr>
        <w:t xml:space="preserve">Piloter le réassort par la disponibilité en stock, premier facteur du modèle de ventes, avec la réserve de la section 7 : ce lien n'est pas causal.</w:t>
      </w:r>
    </w:p>
    <w:p>
      <w:pPr>
        <w:pStyle w:val="ListNumber"/>
        <w:spacing w:after="40"/>
        <w:ind w:left="369"/>
      </w:pPr>
      <w:r>
        <w:rPr>
          <w:rFonts w:ascii="Calibri" w:hAnsi="Calibri"/>
          <w:b/>
          <w:i w:val="0"/>
          <w:color w:val="333333"/>
          <w:sz w:val="21"/>
        </w:rPr>
        <w:t>Ne pas changer d'outillage aujourd'hui.</w:t>
      </w:r>
      <w:r>
        <w:rPr>
          <w:rFonts w:ascii="Calibri" w:hAnsi="Calibri"/>
          <w:b w:val="0"/>
          <w:i w:val="0"/>
          <w:color w:val="333333"/>
          <w:sz w:val="21"/>
        </w:rPr>
        <w:t xml:space="preserve"> Réévaluer le jour où les ventes seront historisées.</w:t>
      </w:r>
    </w:p>
    <w:p>
      <w:pPr>
        <w:pStyle w:val="Heading1"/>
      </w:pPr>
      <w:bookmarkStart w:id="7013" w:name="_TocP130013"/>
      <w:r>
        <w:t>6. Reproductibilité</w:t>
      </w:r>
      <w:bookmarkEnd w:id="7013"/>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2268"/>
            <w:shd w:val="clear" w:color="auto" w:fill="1F2937"/>
          </w:tcPr>
          <w:p>
            <w:pPr>
              <w:spacing w:after="0"/>
            </w:pPr>
            <w:r>
              <w:rPr>
                <w:rFonts w:ascii="Calibri" w:hAnsi="Calibri"/>
                <w:b/>
                <w:color w:val="FFFFFF"/>
                <w:sz w:val="18"/>
              </w:rPr>
              <w:t>Élément</w:t>
            </w:r>
          </w:p>
        </w:tc>
        <w:tc>
          <w:tcPr>
            <w:tcW w:type="dxa" w:w="7030"/>
            <w:shd w:val="clear" w:color="auto" w:fill="1F2937"/>
          </w:tcPr>
          <w:p>
            <w:pPr>
              <w:spacing w:after="0"/>
            </w:pPr>
            <w:r>
              <w:rPr>
                <w:rFonts w:ascii="Calibri" w:hAnsi="Calibri"/>
                <w:b/>
                <w:color w:val="FFFFFF"/>
                <w:sz w:val="18"/>
              </w:rPr>
              <w:t>Détail</w:t>
            </w:r>
          </w:p>
        </w:tc>
      </w:tr>
      <w:tr>
        <w:trPr>
          <w:cantSplit/>
        </w:trPr>
        <w:tc>
          <w:tcPr>
            <w:tcW w:type="dxa" w:w="2268"/>
          </w:tcPr>
          <w:p>
            <w:pPr>
              <w:spacing w:after="0" w:line="252" w:lineRule="auto"/>
            </w:pPr>
            <w:r>
              <w:rPr>
                <w:rFonts w:ascii="Calibri" w:hAnsi="Calibri"/>
                <w:b w:val="0"/>
                <w:i w:val="0"/>
                <w:color w:val="333333"/>
                <w:sz w:val="18"/>
              </w:rPr>
              <w:t>Version de l'interpréteur</w:t>
            </w:r>
          </w:p>
        </w:tc>
        <w:tc>
          <w:tcPr>
            <w:tcW w:type="dxa" w:w="7030"/>
          </w:tcPr>
          <w:p>
            <w:pPr>
              <w:spacing w:after="0" w:line="252" w:lineRule="auto"/>
            </w:pPr>
            <w:r>
              <w:rPr>
                <w:rFonts w:ascii="Calibri" w:hAnsi="Calibri"/>
                <w:b w:val="0"/>
                <w:i w:val="0"/>
                <w:color w:val="333333"/>
                <w:sz w:val="18"/>
              </w:rPr>
              <w:t xml:space="preserve">Python 3.11 ou supérieur (exécution livrée : 3.11.15 ; mon poste, les 25 et 30 septembre : 3.13.9)</w:t>
            </w:r>
          </w:p>
        </w:tc>
      </w:tr>
      <w:tr>
        <w:trPr>
          <w:cantSplit/>
        </w:trPr>
        <w:tc>
          <w:tcPr>
            <w:tcW w:type="dxa" w:w="2268"/>
            <w:shd w:val="clear" w:color="auto" w:fill="F1F5F9"/>
          </w:tcPr>
          <w:p>
            <w:pPr>
              <w:spacing w:after="0" w:line="252" w:lineRule="auto"/>
            </w:pPr>
            <w:r>
              <w:rPr>
                <w:rFonts w:ascii="Calibri" w:hAnsi="Calibri"/>
                <w:b w:val="0"/>
                <w:i w:val="0"/>
                <w:color w:val="333333"/>
                <w:sz w:val="18"/>
              </w:rPr>
              <w:t>Bibliothèques</w:t>
            </w:r>
          </w:p>
        </w:tc>
        <w:tc>
          <w:tcPr>
            <w:tcW w:type="dxa" w:w="7030"/>
            <w:shd w:val="clear" w:color="auto" w:fill="F1F5F9"/>
          </w:tcPr>
          <w:p>
            <w:pPr>
              <w:spacing w:after="0" w:line="252" w:lineRule="auto"/>
            </w:pPr>
            <w:r>
              <w:rPr>
                <w:rFonts w:ascii="Calibri" w:hAnsi="Calibri"/>
                <w:b w:val="0"/>
                <w:i w:val="0"/>
                <w:color w:val="333333"/>
                <w:sz w:val="18"/>
              </w:rPr>
              <w:t xml:space="preserve">pandas, numpy, scikit-learn, pandera, polars, duckdb, shap, matplotlib, seaborn, openpyxl, pyarrow. La dernière étape du notebook affiche les versions des huit bibliothèques principales ; le fichier requirements.txt les fixe.</w:t>
            </w:r>
          </w:p>
        </w:tc>
      </w:tr>
      <w:tr>
        <w:trPr>
          <w:cantSplit/>
        </w:trPr>
        <w:tc>
          <w:tcPr>
            <w:tcW w:type="dxa" w:w="2268"/>
          </w:tcPr>
          <w:p>
            <w:pPr>
              <w:spacing w:after="0" w:line="252" w:lineRule="auto"/>
            </w:pPr>
            <w:r>
              <w:rPr>
                <w:rFonts w:ascii="Calibri" w:hAnsi="Calibri"/>
                <w:b w:val="0"/>
                <w:i w:val="0"/>
                <w:color w:val="333333"/>
                <w:sz w:val="18"/>
              </w:rPr>
              <w:t>Graine aléatoire</w:t>
            </w:r>
          </w:p>
        </w:tc>
        <w:tc>
          <w:tcPr>
            <w:tcW w:type="dxa" w:w="7030"/>
          </w:tcPr>
          <w:p>
            <w:pPr>
              <w:spacing w:after="0" w:line="252" w:lineRule="auto"/>
            </w:pPr>
            <w:r>
              <w:rPr>
                <w:rFonts w:ascii="Calibri" w:hAnsi="Calibri"/>
                <w:b w:val="0"/>
                <w:i w:val="0"/>
                <w:color w:val="333333"/>
                <w:sz w:val="18"/>
              </w:rPr>
              <w:t>Fixée à 42 pour la séparation des données, la détection d'anomalies et l'entraînement du modèle</w:t>
            </w:r>
          </w:p>
        </w:tc>
      </w:tr>
      <w:tr>
        <w:trPr>
          <w:cantSplit/>
        </w:trPr>
        <w:tc>
          <w:tcPr>
            <w:tcW w:type="dxa" w:w="2268"/>
            <w:shd w:val="clear" w:color="auto" w:fill="F1F5F9"/>
          </w:tcPr>
          <w:p>
            <w:pPr>
              <w:spacing w:after="0" w:line="252" w:lineRule="auto"/>
            </w:pPr>
            <w:r>
              <w:rPr>
                <w:rFonts w:ascii="Calibri" w:hAnsi="Calibri"/>
                <w:b w:val="0"/>
                <w:i w:val="0"/>
                <w:color w:val="333333"/>
                <w:sz w:val="18"/>
              </w:rPr>
              <w:t>Structure des fichiers</w:t>
            </w:r>
          </w:p>
        </w:tc>
        <w:tc>
          <w:tcPr>
            <w:tcW w:type="dxa" w:w="7030"/>
            <w:shd w:val="clear" w:color="auto" w:fill="F1F5F9"/>
          </w:tcPr>
          <w:p>
            <w:pPr>
              <w:spacing w:after="0" w:line="252" w:lineRule="auto"/>
            </w:pPr>
            <w:r>
              <w:rPr>
                <w:rFonts w:ascii="Calibri" w:hAnsi="Calibri"/>
                <w:b w:val="0"/>
                <w:i w:val="0"/>
                <w:color w:val="333333"/>
                <w:sz w:val="18"/>
              </w:rPr>
              <w:t xml:space="preserve">Un notebook séquentiel en huit étapes, un dossier de données à côté du notebook et un dossier de figures exportées à part, car le notebook les affiche sans les enregistrer</w:t>
            </w:r>
          </w:p>
        </w:tc>
      </w:tr>
      <w:tr>
        <w:trPr>
          <w:cantSplit/>
        </w:trPr>
        <w:tc>
          <w:tcPr>
            <w:tcW w:type="dxa" w:w="2268"/>
          </w:tcPr>
          <w:p>
            <w:pPr>
              <w:spacing w:after="0" w:line="252" w:lineRule="auto"/>
            </w:pPr>
            <w:r>
              <w:rPr>
                <w:rFonts w:ascii="Calibri" w:hAnsi="Calibri"/>
                <w:b w:val="0"/>
                <w:i w:val="0"/>
                <w:color w:val="333333"/>
                <w:sz w:val="18"/>
              </w:rPr>
              <w:t>Résolution des chemins</w:t>
            </w:r>
          </w:p>
        </w:tc>
        <w:tc>
          <w:tcPr>
            <w:tcW w:type="dxa" w:w="7030"/>
          </w:tcPr>
          <w:p>
            <w:pPr>
              <w:spacing w:after="0" w:line="252" w:lineRule="auto"/>
            </w:pPr>
            <w:r>
              <w:rPr>
                <w:rFonts w:ascii="Calibri" w:hAnsi="Calibri"/>
                <w:b w:val="0"/>
                <w:i w:val="0"/>
                <w:color w:val="333333"/>
                <w:sz w:val="18"/>
              </w:rPr>
              <w:t>Relative, avec une liste de dossiers candidats. Aucun chemin absolu ni dépendance à un environnement particulier</w:t>
            </w:r>
          </w:p>
        </w:tc>
      </w:tr>
      <w:tr>
        <w:trPr>
          <w:cantSplit/>
        </w:trPr>
        <w:tc>
          <w:tcPr>
            <w:tcW w:type="dxa" w:w="2268"/>
            <w:shd w:val="clear" w:color="auto" w:fill="F1F5F9"/>
          </w:tcPr>
          <w:p>
            <w:pPr>
              <w:spacing w:after="0" w:line="252" w:lineRule="auto"/>
            </w:pPr>
            <w:r>
              <w:rPr>
                <w:rFonts w:ascii="Calibri" w:hAnsi="Calibri"/>
                <w:b w:val="0"/>
                <w:i w:val="0"/>
                <w:color w:val="333333"/>
                <w:sz w:val="18"/>
              </w:rPr>
              <w:t>Procédure d'exécution</w:t>
            </w:r>
          </w:p>
        </w:tc>
        <w:tc>
          <w:tcPr>
            <w:tcW w:type="dxa" w:w="7030"/>
            <w:shd w:val="clear" w:color="auto" w:fill="F1F5F9"/>
          </w:tcPr>
          <w:p>
            <w:pPr>
              <w:spacing w:after="0" w:line="252" w:lineRule="auto"/>
            </w:pPr>
            <w:r>
              <w:rPr>
                <w:rFonts w:ascii="Calibri" w:hAnsi="Calibri"/>
                <w:b w:val="0"/>
                <w:i w:val="0"/>
                <w:color w:val="333333"/>
                <w:sz w:val="18"/>
              </w:rPr>
              <w:t xml:space="preserve">Placer les trois fichiers sources dans le dossier de données, installer l'environnement avec pip install -r requirements.txt (versions figées), puis exécuter les cellules dans l'ordre</w:t>
            </w:r>
          </w:p>
        </w:tc>
      </w:tr>
      <w:tr>
        <w:trPr>
          <w:cantSplit/>
        </w:trPr>
        <w:tc>
          <w:tcPr>
            <w:tcW w:type="dxa" w:w="2268"/>
          </w:tcPr>
          <w:p>
            <w:pPr>
              <w:spacing w:after="0" w:line="252" w:lineRule="auto"/>
            </w:pPr>
            <w:r>
              <w:rPr>
                <w:rFonts w:ascii="Calibri" w:hAnsi="Calibri"/>
                <w:b w:val="0"/>
                <w:i w:val="0"/>
                <w:color w:val="333333"/>
                <w:sz w:val="18"/>
              </w:rPr>
              <w:t>Durée d'exécution</w:t>
            </w:r>
          </w:p>
        </w:tc>
        <w:tc>
          <w:tcPr>
            <w:tcW w:type="dxa" w:w="7030"/>
          </w:tcPr>
          <w:p>
            <w:pPr>
              <w:spacing w:after="0" w:line="252" w:lineRule="auto"/>
            </w:pPr>
            <w:r>
              <w:rPr>
                <w:rFonts w:ascii="Calibri" w:hAnsi="Calibri"/>
                <w:b w:val="0"/>
                <w:i w:val="0"/>
                <w:color w:val="333333"/>
                <w:sz w:val="18"/>
              </w:rPr>
              <w:t xml:space="preserve">Une dizaine de secondes pour l'exécution livrée, hors installation, dont environ 3 secondes pour le test de montée en charge</w:t>
            </w:r>
          </w:p>
        </w:tc>
      </w:tr>
      <w:tr>
        <w:trPr>
          <w:cantSplit/>
        </w:trPr>
        <w:tc>
          <w:tcPr>
            <w:tcW w:type="dxa" w:w="2268"/>
            <w:shd w:val="clear" w:color="auto" w:fill="F1F5F9"/>
          </w:tcPr>
          <w:p>
            <w:pPr>
              <w:spacing w:after="0" w:line="252" w:lineRule="auto"/>
            </w:pPr>
            <w:r>
              <w:rPr>
                <w:rFonts w:ascii="Calibri" w:hAnsi="Calibri"/>
                <w:b w:val="0"/>
                <w:i w:val="0"/>
                <w:color w:val="333333"/>
                <w:sz w:val="18"/>
              </w:rPr>
              <w:t>Point de vigilance</w:t>
            </w:r>
          </w:p>
        </w:tc>
        <w:tc>
          <w:tcPr>
            <w:tcW w:type="dxa" w:w="7030"/>
            <w:shd w:val="clear" w:color="auto" w:fill="F1F5F9"/>
          </w:tcPr>
          <w:p>
            <w:pPr>
              <w:spacing w:after="0" w:line="252" w:lineRule="auto"/>
            </w:pPr>
            <w:r>
              <w:rPr>
                <w:rFonts w:ascii="Calibri" w:hAnsi="Calibri"/>
                <w:b w:val="0"/>
                <w:i w:val="0"/>
                <w:color w:val="333333"/>
                <w:sz w:val="18"/>
              </w:rPr>
              <w:t>Le test de montée en charge dépend du matériel. Un écart sur les facteurs d'accélération est normal et ne remet pas en cause la conclusion</w:t>
            </w:r>
          </w:p>
        </w:tc>
      </w:tr>
      <w:tr>
        <w:trPr>
          <w:cantSplit/>
        </w:trPr>
        <w:tc>
          <w:tcPr>
            <w:tcW w:type="dxa" w:w="2268"/>
            <w:shd w:val="clear" w:color="auto" w:fill="F1F5F9"/>
          </w:tcPr>
          <w:p>
            <w:pPr>
              <w:spacing w:after="0" w:line="252" w:lineRule="auto"/>
            </w:pPr>
            <w:r>
              <w:rPr>
                <w:rFonts w:ascii="Calibri" w:hAnsi="Calibri"/>
                <w:b w:val="0"/>
                <w:i w:val="0"/>
                <w:color w:val="333333"/>
                <w:sz w:val="18"/>
              </w:rPr>
              <w:t xml:space="preserve">Réexécutions de contrôle</w:t>
            </w:r>
          </w:p>
        </w:tc>
        <w:tc>
          <w:tcPr>
            <w:tcW w:type="dxa" w:w="7030"/>
            <w:shd w:val="clear" w:color="auto" w:fill="F1F5F9"/>
          </w:tcPr>
          <w:p>
            <w:pPr>
              <w:spacing w:after="0" w:line="252" w:lineRule="auto"/>
            </w:pPr>
            <w:r>
              <w:rPr>
                <w:rFonts w:ascii="Calibri" w:hAnsi="Calibri"/>
                <w:b w:val="0"/>
                <w:i w:val="0"/>
                <w:color w:val="333333"/>
                <w:sz w:val="18"/>
              </w:rPr>
              <w:t xml:space="preserve">Le 25 septembre 2026, sur mon poste (Anaconda, Python 3.13.9, pandas 2.2.3, versions différentes du requirements.txt), trois notebooks réexécutés sans erreur : mêmes chiffres métier, temps différents. Le 28 septembre, réexécution par l'assistant dans un environnement neuf, créé avec le requirements.txt : mêmes sorties, temps exceptés. Le 30 septembre, sur mon poste, environnement neuf créé avec le seul requirements.txt : les deux notebooks du dossier de dépôt sans erreur, 14 chiffres clés sur 14, autres sorties identiques hors temps de calcul et version de Python. C'est la preuve du jalon J4 : le critère parle d'un poste vierge, et cet environnement neuf sur mon poste en tient lieu. Le jalon J4 a été validé en séance 3, le 2 octobre</w:t>
            </w:r>
          </w:p>
        </w:tc>
      </w:tr>
      <w:tr>
        <w:trPr>
          <w:cantSplit/>
        </w:trPr>
        <w:tc>
          <w:tcPr>
            <w:tcW w:type="dxa" w:w="2268"/>
            <w:shd w:val="clear" w:color="auto" w:fill="F1F5F9"/>
          </w:tcPr>
          <w:p>
            <w:pPr>
              <w:spacing w:after="0" w:line="252" w:lineRule="auto"/>
            </w:pPr>
            <w:r>
              <w:rPr>
                <w:rFonts w:ascii="Calibri" w:hAnsi="Calibri"/>
                <w:b w:val="0"/>
                <w:i w:val="0"/>
                <w:color w:val="333333"/>
                <w:sz w:val="18"/>
              </w:rPr>
              <w:t xml:space="preserve">Maintenance</w:t>
            </w:r>
          </w:p>
        </w:tc>
        <w:tc>
          <w:tcPr>
            <w:tcW w:type="dxa" w:w="7030"/>
            <w:shd w:val="clear" w:color="auto" w:fill="F1F5F9"/>
          </w:tcPr>
          <w:p>
            <w:pPr>
              <w:spacing w:after="0" w:line="252" w:lineRule="auto"/>
            </w:pPr>
            <w:r>
              <w:rPr>
                <w:rFonts w:ascii="Calibri" w:hAnsi="Calibri"/>
                <w:b w:val="0"/>
                <w:i w:val="0"/>
                <w:color w:val="333333"/>
                <w:sz w:val="18"/>
              </w:rPr>
              <w:t xml:space="preserve">Chaque mois : réexécuter le notebook sur la nouvelle extraction et lire le rapport du contrat. Chaque année : mettre à jour le requirements.txt, réexécuter sur l'extraction de référence et vérifier les treize résultats. Environ 4 heures par an (cahier des charges, section 8)</w:t>
            </w:r>
          </w:p>
        </w:tc>
      </w:tr>
    </w:tbl>
    <w:p>
      <w:pPr>
        <w:spacing w:after="40"/>
      </w:pPr>
    </w:p>
    <w:p>
      <w:pPr>
        <w:pStyle w:val="Heading1"/>
      </w:pPr>
      <w:bookmarkStart w:id="7014" w:name="_TocP130014"/>
      <w:r>
        <w:t>7. Limites et biais</w:t>
      </w:r>
      <w:bookmarkEnd w:id="7014"/>
    </w:p>
    <w:p>
      <w:r>
        <w:rPr>
          <w:rFonts w:ascii="Calibri" w:hAnsi="Calibri"/>
          <w:b w:val="0"/>
          <w:i w:val="0"/>
          <w:color w:val="333333"/>
          <w:sz w:val="21"/>
        </w:rPr>
        <w:t xml:space="preserve">Six réserves accompagnent toute lecture des résultats.</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928"/>
            <w:shd w:val="clear" w:color="auto" w:fill="1F2937"/>
          </w:tcPr>
          <w:p>
            <w:pPr>
              <w:spacing w:after="0"/>
            </w:pPr>
            <w:r>
              <w:rPr>
                <w:rFonts w:ascii="Calibri" w:hAnsi="Calibri"/>
                <w:b/>
                <w:color w:val="FFFFFF"/>
                <w:sz w:val="17"/>
              </w:rPr>
              <w:t>Limite</w:t>
            </w:r>
          </w:p>
        </w:tc>
        <w:tc>
          <w:tcPr>
            <w:tcW w:type="dxa" w:w="3969"/>
            <w:shd w:val="clear" w:color="auto" w:fill="1F2937"/>
          </w:tcPr>
          <w:p>
            <w:pPr>
              <w:spacing w:after="0"/>
            </w:pPr>
            <w:r>
              <w:rPr>
                <w:rFonts w:ascii="Calibri" w:hAnsi="Calibri"/>
                <w:b/>
                <w:color w:val="FFFFFF"/>
                <w:sz w:val="17"/>
              </w:rPr>
              <w:t>Portée</w:t>
            </w:r>
          </w:p>
        </w:tc>
        <w:tc>
          <w:tcPr>
            <w:tcW w:type="dxa" w:w="3402"/>
            <w:shd w:val="clear" w:color="auto" w:fill="1F2937"/>
          </w:tcPr>
          <w:p>
            <w:pPr>
              <w:spacing w:after="0"/>
            </w:pPr>
            <w:r>
              <w:rPr>
                <w:rFonts w:ascii="Calibri" w:hAnsi="Calibri"/>
                <w:b/>
                <w:color w:val="FFFFFF"/>
                <w:sz w:val="17"/>
              </w:rPr>
              <w:t>Ce qui l'atténue</w:t>
            </w:r>
          </w:p>
        </w:tc>
      </w:tr>
      <w:tr>
        <w:trPr>
          <w:cantSplit/>
        </w:trPr>
        <w:tc>
          <w:tcPr>
            <w:tcW w:type="dxa" w:w="1928"/>
          </w:tcPr>
          <w:p>
            <w:pPr>
              <w:spacing w:after="0" w:line="252" w:lineRule="auto"/>
            </w:pPr>
            <w:r>
              <w:rPr>
                <w:rFonts w:ascii="Calibri" w:hAnsi="Calibri"/>
                <w:b w:val="0"/>
                <w:i w:val="0"/>
                <w:color w:val="333333"/>
                <w:sz w:val="17"/>
              </w:rPr>
              <w:t>Échantillon réduit</w:t>
            </w:r>
          </w:p>
        </w:tc>
        <w:tc>
          <w:tcPr>
            <w:tcW w:type="dxa" w:w="3969"/>
          </w:tcPr>
          <w:p>
            <w:pPr>
              <w:spacing w:after="0" w:line="252" w:lineRule="auto"/>
            </w:pPr>
            <w:r>
              <w:rPr>
                <w:rFonts w:ascii="Calibri" w:hAnsi="Calibri"/>
                <w:b w:val="0"/>
                <w:i w:val="0"/>
                <w:color w:val="333333"/>
                <w:sz w:val="17"/>
              </w:rPr>
              <w:t xml:space="preserve">714 produits seulement. Le pouvoir explicatif de 0,72 dépend de la partition des données : de 0,53 à 0,76 en validation croisée, 0,67 en moyenne. Il reste à confirmer sur d'autres mois.</w:t>
            </w:r>
          </w:p>
        </w:tc>
        <w:tc>
          <w:tcPr>
            <w:tcW w:type="dxa" w:w="3402"/>
          </w:tcPr>
          <w:p>
            <w:pPr>
              <w:spacing w:after="0" w:line="252" w:lineRule="auto"/>
            </w:pPr>
            <w:r>
              <w:rPr>
                <w:rFonts w:ascii="Calibri" w:hAnsi="Calibri"/>
                <w:b w:val="0"/>
                <w:i w:val="0"/>
                <w:color w:val="333333"/>
                <w:sz w:val="17"/>
              </w:rPr>
              <w:t xml:space="preserve">Validation croisée à cinq plis (essai D), chiffre toujours donné avec sa fourchette</w:t>
            </w:r>
          </w:p>
        </w:tc>
      </w:tr>
      <w:tr>
        <w:trPr>
          <w:cantSplit/>
        </w:trPr>
        <w:tc>
          <w:tcPr>
            <w:tcW w:type="dxa" w:w="1928"/>
            <w:shd w:val="clear" w:color="auto" w:fill="F1F5F9"/>
          </w:tcPr>
          <w:p>
            <w:pPr>
              <w:spacing w:after="0" w:line="252" w:lineRule="auto"/>
            </w:pPr>
            <w:r>
              <w:rPr>
                <w:rFonts w:ascii="Calibri" w:hAnsi="Calibri"/>
                <w:b w:val="0"/>
                <w:i w:val="0"/>
                <w:color w:val="333333"/>
                <w:sz w:val="17"/>
              </w:rPr>
              <w:t xml:space="preserve">Chaque anomalie est un signal à vérifier</w:t>
            </w:r>
          </w:p>
        </w:tc>
        <w:tc>
          <w:tcPr>
            <w:tcW w:type="dxa" w:w="3969"/>
            <w:shd w:val="clear" w:color="auto" w:fill="F1F5F9"/>
          </w:tcPr>
          <w:p>
            <w:pPr>
              <w:spacing w:after="0" w:line="252" w:lineRule="auto"/>
            </w:pPr>
            <w:r>
              <w:rPr>
                <w:rFonts w:ascii="Calibri" w:hAnsi="Calibri"/>
                <w:b w:val="0"/>
                <w:i w:val="0"/>
                <w:color w:val="333333"/>
                <w:sz w:val="17"/>
              </w:rPr>
              <w:t>La détection multivariée peut produire des faux positifs. Une référence signalée n'est pas nécessairement fautive.</w:t>
            </w:r>
          </w:p>
        </w:tc>
        <w:tc>
          <w:tcPr>
            <w:tcW w:type="dxa" w:w="3402"/>
            <w:shd w:val="clear" w:color="auto" w:fill="F1F5F9"/>
          </w:tcPr>
          <w:p>
            <w:pPr>
              <w:spacing w:after="0" w:line="252" w:lineRule="auto"/>
            </w:pPr>
            <w:r>
              <w:rPr>
                <w:rFonts w:ascii="Calibri" w:hAnsi="Calibri"/>
                <w:b w:val="0"/>
                <w:i w:val="0"/>
                <w:color w:val="333333"/>
                <w:sz w:val="17"/>
              </w:rPr>
              <w:t>Aucune correction automatique. Toute action passe par une validation du service achats</w:t>
            </w:r>
          </w:p>
        </w:tc>
      </w:tr>
      <w:tr>
        <w:trPr>
          <w:cantSplit/>
        </w:trPr>
        <w:tc>
          <w:tcPr>
            <w:tcW w:type="dxa" w:w="1928"/>
          </w:tcPr>
          <w:p>
            <w:pPr>
              <w:spacing w:after="0" w:line="252" w:lineRule="auto"/>
            </w:pPr>
            <w:r>
              <w:rPr>
                <w:rFonts w:ascii="Calibri" w:hAnsi="Calibri"/>
                <w:b w:val="0"/>
                <w:i w:val="0"/>
                <w:color w:val="333333"/>
                <w:sz w:val="17"/>
              </w:rPr>
              <w:t>Corrélation et causalité</w:t>
            </w:r>
          </w:p>
        </w:tc>
        <w:tc>
          <w:tcPr>
            <w:tcW w:type="dxa" w:w="3969"/>
          </w:tcPr>
          <w:p>
            <w:pPr>
              <w:spacing w:after="0" w:line="252" w:lineRule="auto"/>
            </w:pPr>
            <w:r>
              <w:rPr>
                <w:rFonts w:ascii="Calibri" w:hAnsi="Calibri"/>
                <w:b w:val="0"/>
                <w:i w:val="0"/>
                <w:color w:val="333333"/>
                <w:sz w:val="17"/>
              </w:rPr>
              <w:t xml:space="preserve">L'explication porte sur le modèle, pas sur le monde réel. Le lien entre stock et ventes peut refléter une logique d'offre : on ne vend que ce que l'on a en stock, et le stock est relevé le 31 octobre, après les ventes du mois.</w:t>
            </w:r>
          </w:p>
        </w:tc>
        <w:tc>
          <w:tcPr>
            <w:tcW w:type="dxa" w:w="3402"/>
          </w:tcPr>
          <w:p>
            <w:pPr>
              <w:spacing w:after="0" w:line="252" w:lineRule="auto"/>
            </w:pPr>
            <w:r>
              <w:rPr>
                <w:rFonts w:ascii="Calibri" w:hAnsi="Calibri"/>
                <w:b w:val="0"/>
                <w:i w:val="0"/>
                <w:color w:val="333333"/>
                <w:sz w:val="17"/>
              </w:rPr>
              <w:t>Le résultat est présenté comme une aide à la priorisation, jamais comme une loi causale</w:t>
            </w:r>
          </w:p>
        </w:tc>
      </w:tr>
      <w:tr>
        <w:trPr>
          <w:cantSplit/>
        </w:trPr>
        <w:tc>
          <w:tcPr>
            <w:tcW w:type="dxa" w:w="1928"/>
            <w:shd w:val="clear" w:color="auto" w:fill="F1F5F9"/>
          </w:tcPr>
          <w:p>
            <w:pPr>
              <w:spacing w:after="0" w:line="252" w:lineRule="auto"/>
            </w:pPr>
            <w:r>
              <w:rPr>
                <w:rFonts w:ascii="Calibri" w:hAnsi="Calibri"/>
                <w:b w:val="0"/>
                <w:i w:val="0"/>
                <w:color w:val="333333"/>
                <w:sz w:val="17"/>
              </w:rPr>
              <w:t>Données figées</w:t>
            </w:r>
          </w:p>
        </w:tc>
        <w:tc>
          <w:tcPr>
            <w:tcW w:type="dxa" w:w="3969"/>
            <w:shd w:val="clear" w:color="auto" w:fill="F1F5F9"/>
          </w:tcPr>
          <w:p>
            <w:pPr>
              <w:spacing w:after="0" w:line="252" w:lineRule="auto"/>
            </w:pPr>
            <w:r>
              <w:rPr>
                <w:rFonts w:ascii="Calibri" w:hAnsi="Calibri"/>
                <w:b w:val="0"/>
                <w:i w:val="0"/>
                <w:color w:val="333333"/>
                <w:sz w:val="17"/>
              </w:rPr>
              <w:t>Extraction ponctuelle, sans historique. Ni saisonnalité ni tendance ne peuvent être captées.</w:t>
            </w:r>
          </w:p>
        </w:tc>
        <w:tc>
          <w:tcPr>
            <w:tcW w:type="dxa" w:w="3402"/>
            <w:shd w:val="clear" w:color="auto" w:fill="F1F5F9"/>
          </w:tcPr>
          <w:p>
            <w:pPr>
              <w:spacing w:after="0" w:line="252" w:lineRule="auto"/>
            </w:pPr>
            <w:r>
              <w:rPr>
                <w:rFonts w:ascii="Calibri" w:hAnsi="Calibri"/>
                <w:b w:val="0"/>
                <w:i w:val="0"/>
                <w:color w:val="333333"/>
                <w:sz w:val="17"/>
              </w:rPr>
              <w:t>Piste d'évolution identifiée : historiser les ventes pour ouvrir la prévision de demande</w:t>
            </w:r>
          </w:p>
        </w:tc>
      </w:tr>
      <w:tr>
        <w:trPr>
          <w:cantSplit/>
        </w:trPr>
        <w:tc>
          <w:tcPr>
            <w:tcW w:type="dxa" w:w="1928"/>
          </w:tcPr>
          <w:p>
            <w:pPr>
              <w:spacing w:after="0" w:line="252" w:lineRule="auto"/>
            </w:pPr>
            <w:r>
              <w:rPr>
                <w:rFonts w:ascii="Calibri" w:hAnsi="Calibri"/>
                <w:b w:val="0"/>
                <w:i w:val="0"/>
                <w:color w:val="333333"/>
                <w:sz w:val="17"/>
              </w:rPr>
              <w:t>Dépendance à l'assistant d'IA</w:t>
            </w:r>
          </w:p>
        </w:tc>
        <w:tc>
          <w:tcPr>
            <w:tcW w:type="dxa" w:w="3969"/>
          </w:tcPr>
          <w:p>
            <w:pPr>
              <w:spacing w:after="0" w:line="252" w:lineRule="auto"/>
            </w:pPr>
            <w:r>
              <w:rPr>
                <w:rFonts w:ascii="Calibri" w:hAnsi="Calibri"/>
                <w:b w:val="0"/>
                <w:i w:val="0"/>
                <w:color w:val="333333"/>
                <w:sz w:val="17"/>
              </w:rPr>
              <w:t>Risque d'accepter une suggestion erronée sans la détecter.</w:t>
            </w:r>
          </w:p>
        </w:tc>
        <w:tc>
          <w:tcPr>
            <w:tcW w:type="dxa" w:w="3402"/>
          </w:tcPr>
          <w:p>
            <w:pPr>
              <w:spacing w:after="0" w:line="252" w:lineRule="auto"/>
            </w:pPr>
            <w:r>
              <w:rPr>
                <w:rFonts w:ascii="Calibri" w:hAnsi="Calibri"/>
                <w:b w:val="0"/>
                <w:i w:val="0"/>
                <w:color w:val="333333"/>
                <w:sz w:val="17"/>
              </w:rPr>
              <w:t xml:space="preserve">Relecture et exécution systématiques, confrontation au résultat attendu, journal des essais ; essais C et D relus et relancés le 7 octobre</w:t>
            </w:r>
          </w:p>
        </w:tc>
      </w:tr>
      <w:tr>
        <w:trPr>
          <w:cantSplit/>
        </w:trPr>
        <w:tc>
          <w:tcPr>
            <w:tcW w:type="dxa" w:w="1928"/>
          </w:tcPr>
          <w:p>
            <w:pPr>
              <w:spacing w:after="0" w:line="252" w:lineRule="auto"/>
            </w:pPr>
            <w:r>
              <w:rPr>
                <w:rFonts w:ascii="Calibri" w:hAnsi="Calibri"/>
                <w:b w:val="0"/>
                <w:i w:val="0"/>
                <w:color w:val="333333"/>
                <w:sz w:val="17"/>
              </w:rPr>
              <w:t xml:space="preserve">Colonnes d'avis à zéro</w:t>
            </w:r>
          </w:p>
        </w:tc>
        <w:tc>
          <w:tcPr>
            <w:tcW w:type="dxa" w:w="3969"/>
          </w:tcPr>
          <w:p>
            <w:pPr>
              <w:spacing w:after="0" w:line="252" w:lineRule="auto"/>
            </w:pPr>
            <w:r>
              <w:rPr>
                <w:rFonts w:ascii="Calibri" w:hAnsi="Calibri"/>
                <w:b w:val="0"/>
                <w:i w:val="0"/>
                <w:color w:val="333333"/>
                <w:sz w:val="17"/>
              </w:rPr>
              <w:t xml:space="preserve">Les avis sont désactivés sur le site : la note moyenne et le nombre d'avis valent zéro pour les 714 produits. Le modèle ne peut rien dire des avis.</w:t>
            </w:r>
          </w:p>
        </w:tc>
        <w:tc>
          <w:tcPr>
            <w:tcW w:type="dxa" w:w="3402"/>
          </w:tcPr>
          <w:p>
            <w:pPr>
              <w:spacing w:after="0" w:line="252" w:lineRule="auto"/>
            </w:pPr>
            <w:r>
              <w:rPr>
                <w:rFonts w:ascii="Calibri" w:hAnsi="Calibri"/>
                <w:b w:val="0"/>
                <w:i w:val="0"/>
                <w:color w:val="333333"/>
                <w:sz w:val="17"/>
              </w:rPr>
              <w:t xml:space="preserve">Constat écrit tel quel, commentaire de l'étape 5 du notebook corrigé, ouverture des avis recommandée (section 10)</w:t>
            </w:r>
          </w:p>
        </w:tc>
      </w:tr>
    </w:tbl>
    <w:p>
      <w:pPr>
        <w:spacing w:after="40"/>
      </w:pPr>
    </w:p>
    <w:p>
      <w:pPr>
        <w:pStyle w:val="Heading1"/>
      </w:pPr>
      <w:bookmarkStart w:id="7015" w:name="_TocP130015"/>
      <w:r>
        <w:t>8. Procédure de documentation</w:t>
      </w:r>
      <w:bookmarkEnd w:id="7015"/>
    </w:p>
    <w:p>
      <w:r>
        <w:rPr>
          <w:rFonts w:ascii="Calibri" w:hAnsi="Calibri"/>
          <w:b w:val="0"/>
          <w:i w:val="0"/>
          <w:color w:val="333333"/>
          <w:sz w:val="21"/>
        </w:rPr>
        <w:t xml:space="preserve">L'un des objectifs du projet est de formaliser les procédures de documentation pour assurer une gestion fiable. Les règles des sections 8.1, 8.3, 8.4 et 8.5 ont été appliquées à ce projet. Je retiens celles de la section 8.2 pour un prochain projet. Ici, les versions ont été tenues par des fichiers datés, un historique en tête de chaque document et une sauvegarde avant chaque remplacement (gestion de projet, section 5).</w:t>
      </w:r>
    </w:p>
    <w:p>
      <w:pPr>
        <w:pStyle w:val="Heading2"/>
      </w:pPr>
      <w:bookmarkStart w:id="7016" w:name="_TocP130016"/>
      <w:r>
        <w:t>8.1 Règles de nommage</w:t>
      </w:r>
      <w:bookmarkEnd w:id="7016"/>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928"/>
            <w:shd w:val="clear" w:color="auto" w:fill="1F2937"/>
          </w:tcPr>
          <w:p>
            <w:pPr>
              <w:spacing w:after="0"/>
            </w:pPr>
            <w:r>
              <w:rPr>
                <w:rFonts w:ascii="Calibri" w:hAnsi="Calibri"/>
                <w:b/>
                <w:color w:val="FFFFFF"/>
                <w:sz w:val="18"/>
              </w:rPr>
              <w:t>Objet</w:t>
            </w:r>
          </w:p>
        </w:tc>
        <w:tc>
          <w:tcPr>
            <w:tcW w:type="dxa" w:w="4309"/>
            <w:shd w:val="clear" w:color="auto" w:fill="1F2937"/>
          </w:tcPr>
          <w:p>
            <w:pPr>
              <w:spacing w:after="0"/>
            </w:pPr>
            <w:r>
              <w:rPr>
                <w:rFonts w:ascii="Calibri" w:hAnsi="Calibri"/>
                <w:b/>
                <w:color w:val="FFFFFF"/>
                <w:sz w:val="18"/>
              </w:rPr>
              <w:t>Règle</w:t>
            </w:r>
          </w:p>
        </w:tc>
        <w:tc>
          <w:tcPr>
            <w:tcW w:type="dxa" w:w="3061"/>
            <w:shd w:val="clear" w:color="auto" w:fill="1F2937"/>
          </w:tcPr>
          <w:p>
            <w:pPr>
              <w:spacing w:after="0"/>
            </w:pPr>
            <w:r>
              <w:rPr>
                <w:rFonts w:ascii="Calibri" w:hAnsi="Calibri"/>
                <w:b/>
                <w:color w:val="FFFFFF"/>
                <w:sz w:val="18"/>
              </w:rPr>
              <w:t>Exemple</w:t>
            </w:r>
          </w:p>
        </w:tc>
      </w:tr>
      <w:tr>
        <w:trPr>
          <w:cantSplit/>
        </w:trPr>
        <w:tc>
          <w:tcPr>
            <w:tcW w:type="dxa" w:w="1928"/>
          </w:tcPr>
          <w:p>
            <w:pPr>
              <w:spacing w:after="0" w:line="252" w:lineRule="auto"/>
            </w:pPr>
            <w:r>
              <w:rPr>
                <w:rFonts w:ascii="Calibri" w:hAnsi="Calibri"/>
                <w:b w:val="0"/>
                <w:i w:val="0"/>
                <w:color w:val="333333"/>
                <w:sz w:val="18"/>
              </w:rPr>
              <w:t>Livrable déposé</w:t>
            </w:r>
          </w:p>
        </w:tc>
        <w:tc>
          <w:tcPr>
            <w:tcW w:type="dxa" w:w="4309"/>
          </w:tcPr>
          <w:p>
            <w:pPr>
              <w:spacing w:after="0" w:line="252" w:lineRule="auto"/>
            </w:pPr>
            <w:r>
              <w:rPr>
                <w:rFonts w:ascii="Calibri" w:hAnsi="Calibri"/>
                <w:b w:val="0"/>
                <w:i w:val="0"/>
                <w:color w:val="333333"/>
                <w:sz w:val="18"/>
              </w:rPr>
              <w:t>Nom, prénom, numéro du livrable, nature, mois et année de démarrage du projet</w:t>
            </w:r>
          </w:p>
        </w:tc>
        <w:tc>
          <w:tcPr>
            <w:tcW w:type="dxa" w:w="3061"/>
          </w:tcPr>
          <w:p>
            <w:pPr>
              <w:spacing w:after="0" w:line="252" w:lineRule="auto"/>
            </w:pPr>
            <w:r>
              <w:rPr>
                <w:rFonts w:ascii="Calibri" w:hAnsi="Calibri"/>
                <w:b w:val="0"/>
                <w:i w:val="0"/>
                <w:color w:val="333333"/>
                <w:sz w:val="18"/>
              </w:rPr>
              <w:t>Lippens_Charles_2_documentation_092026</w:t>
            </w:r>
          </w:p>
        </w:tc>
      </w:tr>
      <w:tr>
        <w:trPr>
          <w:cantSplit/>
        </w:trPr>
        <w:tc>
          <w:tcPr>
            <w:tcW w:type="dxa" w:w="1928"/>
            <w:shd w:val="clear" w:color="auto" w:fill="F1F5F9"/>
          </w:tcPr>
          <w:p>
            <w:pPr>
              <w:spacing w:after="0" w:line="252" w:lineRule="auto"/>
            </w:pPr>
            <w:r>
              <w:rPr>
                <w:rFonts w:ascii="Calibri" w:hAnsi="Calibri"/>
                <w:b w:val="0"/>
                <w:i w:val="0"/>
                <w:color w:val="333333"/>
                <w:sz w:val="18"/>
              </w:rPr>
              <w:t>Dossier de dépôt</w:t>
            </w:r>
          </w:p>
        </w:tc>
        <w:tc>
          <w:tcPr>
            <w:tcW w:type="dxa" w:w="4309"/>
            <w:shd w:val="clear" w:color="auto" w:fill="F1F5F9"/>
          </w:tcPr>
          <w:p>
            <w:pPr>
              <w:spacing w:after="0" w:line="252" w:lineRule="auto"/>
            </w:pPr>
            <w:r>
              <w:rPr>
                <w:rFonts w:ascii="Calibri" w:hAnsi="Calibri"/>
                <w:b w:val="0"/>
                <w:i w:val="0"/>
                <w:color w:val="333333"/>
                <w:sz w:val="18"/>
              </w:rPr>
              <w:t>Titre du projet, nom, prénom</w:t>
            </w:r>
          </w:p>
        </w:tc>
        <w:tc>
          <w:tcPr>
            <w:tcW w:type="dxa" w:w="3061"/>
            <w:shd w:val="clear" w:color="auto" w:fill="F1F5F9"/>
          </w:tcPr>
          <w:p>
            <w:pPr>
              <w:spacing w:after="0" w:line="252" w:lineRule="auto"/>
            </w:pPr>
            <w:r>
              <w:rPr>
                <w:rFonts w:ascii="Calibri" w:hAnsi="Calibri"/>
                <w:b w:val="0"/>
                <w:i w:val="0"/>
                <w:color w:val="333333"/>
                <w:sz w:val="18"/>
              </w:rPr>
              <w:t>Pilotez_un_projet_data_augmente_avec_l_IA_et_creez_votre_portfolio_de_professionnel_Lippens_Charles</w:t>
            </w:r>
          </w:p>
        </w:tc>
      </w:tr>
      <w:tr>
        <w:trPr>
          <w:cantSplit/>
        </w:trPr>
        <w:tc>
          <w:tcPr>
            <w:tcW w:type="dxa" w:w="1928"/>
          </w:tcPr>
          <w:p>
            <w:pPr>
              <w:spacing w:after="0" w:line="252" w:lineRule="auto"/>
            </w:pPr>
            <w:r>
              <w:rPr>
                <w:rFonts w:ascii="Calibri" w:hAnsi="Calibri"/>
                <w:b w:val="0"/>
                <w:i w:val="0"/>
                <w:color w:val="333333"/>
                <w:sz w:val="18"/>
              </w:rPr>
              <w:t>Figure exportée</w:t>
            </w:r>
          </w:p>
        </w:tc>
        <w:tc>
          <w:tcPr>
            <w:tcW w:type="dxa" w:w="4309"/>
          </w:tcPr>
          <w:p>
            <w:pPr>
              <w:spacing w:after="0" w:line="252" w:lineRule="auto"/>
            </w:pPr>
            <w:r>
              <w:rPr>
                <w:rFonts w:ascii="Calibri" w:hAnsi="Calibri"/>
                <w:b w:val="0"/>
                <w:i w:val="0"/>
                <w:color w:val="333333"/>
                <w:sz w:val="18"/>
              </w:rPr>
              <w:t>Préfixe fig, puis le sujet en minuscules sans accent</w:t>
            </w:r>
          </w:p>
        </w:tc>
        <w:tc>
          <w:tcPr>
            <w:tcW w:type="dxa" w:w="3061"/>
          </w:tcPr>
          <w:p>
            <w:pPr>
              <w:spacing w:after="0" w:line="252" w:lineRule="auto"/>
            </w:pPr>
            <w:r>
              <w:rPr>
                <w:rFonts w:ascii="Calibri" w:hAnsi="Calibri"/>
                <w:b w:val="0"/>
                <w:i w:val="0"/>
                <w:color w:val="333333"/>
                <w:sz w:val="18"/>
              </w:rPr>
              <w:t>fig_performance.png</w:t>
            </w:r>
          </w:p>
        </w:tc>
      </w:tr>
      <w:tr>
        <w:trPr>
          <w:cantSplit/>
        </w:trPr>
        <w:tc>
          <w:tcPr>
            <w:tcW w:type="dxa" w:w="1928"/>
            <w:shd w:val="clear" w:color="auto" w:fill="F1F5F9"/>
          </w:tcPr>
          <w:p>
            <w:pPr>
              <w:spacing w:after="0" w:line="252" w:lineRule="auto"/>
            </w:pPr>
            <w:r>
              <w:rPr>
                <w:rFonts w:ascii="Calibri" w:hAnsi="Calibri"/>
                <w:b w:val="0"/>
                <w:i w:val="0"/>
                <w:color w:val="333333"/>
                <w:sz w:val="18"/>
              </w:rPr>
              <w:t>Version de document</w:t>
            </w:r>
          </w:p>
        </w:tc>
        <w:tc>
          <w:tcPr>
            <w:tcW w:type="dxa" w:w="4309"/>
            <w:shd w:val="clear" w:color="auto" w:fill="F1F5F9"/>
          </w:tcPr>
          <w:p>
            <w:pPr>
              <w:spacing w:after="0" w:line="252" w:lineRule="auto"/>
            </w:pPr>
            <w:r>
              <w:rPr>
                <w:rFonts w:ascii="Calibri" w:hAnsi="Calibri"/>
                <w:b w:val="0"/>
                <w:i w:val="0"/>
                <w:color w:val="333333"/>
                <w:sz w:val="18"/>
              </w:rPr>
              <w:t>Numéro majeur pour un changement de contenu, mineur pour une correction</w:t>
            </w:r>
          </w:p>
        </w:tc>
        <w:tc>
          <w:tcPr>
            <w:tcW w:type="dxa" w:w="3061"/>
            <w:shd w:val="clear" w:color="auto" w:fill="F1F5F9"/>
          </w:tcPr>
          <w:p>
            <w:pPr>
              <w:spacing w:after="0" w:line="252" w:lineRule="auto"/>
            </w:pPr>
            <w:r>
              <w:rPr>
                <w:rFonts w:ascii="Calibri" w:hAnsi="Calibri"/>
                <w:b w:val="0"/>
                <w:i w:val="0"/>
                <w:color w:val="333333"/>
                <w:sz w:val="18"/>
              </w:rPr>
              <w:t>Version 2.0 après audit, version 2.1 après correction typographique</w:t>
            </w:r>
          </w:p>
        </w:tc>
      </w:tr>
    </w:tbl>
    <w:p>
      <w:pPr>
        <w:spacing w:after="40"/>
      </w:pPr>
    </w:p>
    <w:p>
      <w:pPr>
        <w:pStyle w:val="Heading2"/>
      </w:pPr>
      <w:bookmarkStart w:id="7017" w:name="_TocP130017"/>
      <w:r>
        <w:t>8.2 Règles de versionnage</w:t>
      </w:r>
      <w:bookmarkEnd w:id="7017"/>
    </w:p>
    <w:p>
      <w:pPr>
        <w:pStyle w:val="ListBullet"/>
        <w:spacing w:after="40"/>
        <w:ind w:left="369"/>
      </w:pPr>
      <w:r>
        <w:rPr>
          <w:rFonts w:ascii="Calibri" w:hAnsi="Calibri"/>
          <w:b w:val="0"/>
          <w:i w:val="0"/>
          <w:color w:val="333333"/>
          <w:sz w:val="21"/>
        </w:rPr>
        <w:t>Un enregistrement de version par tâche terminée, jamais par journée de travail.</w:t>
      </w:r>
    </w:p>
    <w:p>
      <w:pPr>
        <w:pStyle w:val="ListBullet"/>
        <w:spacing w:after="40"/>
        <w:ind w:left="369"/>
      </w:pPr>
      <w:r>
        <w:rPr>
          <w:rFonts w:ascii="Calibri" w:hAnsi="Calibri"/>
          <w:b w:val="0"/>
          <w:i w:val="0"/>
          <w:color w:val="333333"/>
          <w:sz w:val="21"/>
        </w:rPr>
        <w:t>Un message de version qui décrit le résultat obtenu, pas l'action effectuée.</w:t>
      </w:r>
    </w:p>
    <w:p>
      <w:pPr>
        <w:pStyle w:val="ListBullet"/>
        <w:spacing w:after="40"/>
        <w:ind w:left="369"/>
      </w:pPr>
      <w:r>
        <w:rPr>
          <w:rFonts w:ascii="Calibri" w:hAnsi="Calibri"/>
          <w:b w:val="0"/>
          <w:i w:val="0"/>
          <w:color w:val="333333"/>
          <w:sz w:val="21"/>
        </w:rPr>
        <w:t>Une branche par axe d'amélioration, fusionnée après validation du jalon correspondant.</w:t>
      </w:r>
    </w:p>
    <w:p>
      <w:pPr>
        <w:pStyle w:val="ListBullet"/>
        <w:spacing w:after="40"/>
        <w:ind w:left="369"/>
      </w:pPr>
      <w:r>
        <w:rPr>
          <w:rFonts w:ascii="Calibri" w:hAnsi="Calibri"/>
          <w:b w:val="0"/>
          <w:i w:val="0"/>
          <w:color w:val="333333"/>
          <w:sz w:val="21"/>
        </w:rPr>
        <w:t>Une étiquette de version à chaque jalon, ce qui permet de revenir à un état validé.</w:t>
      </w:r>
    </w:p>
    <w:p>
      <w:pPr>
        <w:pStyle w:val="ListBullet"/>
        <w:spacing w:after="40"/>
        <w:ind w:left="369"/>
      </w:pPr>
      <w:r>
        <w:rPr>
          <w:rFonts w:ascii="Calibri" w:hAnsi="Calibri"/>
          <w:b w:val="0"/>
          <w:i w:val="0"/>
          <w:color w:val="333333"/>
          <w:sz w:val="21"/>
        </w:rPr>
        <w:t>Les données sources ne sont jamais versionnées avec le code, seul leur emplacement l'est.</w:t>
      </w:r>
    </w:p>
    <w:p>
      <w:pPr>
        <w:pStyle w:val="Heading2"/>
      </w:pPr>
      <w:bookmarkStart w:id="7018" w:name="_TocP130018"/>
      <w:r>
        <w:t>8.3 Règles de journalisation des essais</w:t>
      </w:r>
      <w:bookmarkEnd w:id="7018"/>
    </w:p>
    <w:p>
      <w:r>
        <w:rPr>
          <w:rFonts w:ascii="Calibri" w:hAnsi="Calibri"/>
          <w:b w:val="0"/>
          <w:i w:val="0"/>
          <w:color w:val="333333"/>
          <w:sz w:val="21"/>
        </w:rPr>
        <w:t xml:space="preserve">Tout essai, retenu ou écarté, est consigné avec cinq informations.</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3061"/>
            <w:shd w:val="clear" w:color="auto" w:fill="1F2937"/>
          </w:tcPr>
          <w:p>
            <w:pPr>
              <w:spacing w:after="0"/>
            </w:pPr>
            <w:r>
              <w:rPr>
                <w:rFonts w:ascii="Calibri" w:hAnsi="Calibri"/>
                <w:b/>
                <w:color w:val="FFFFFF"/>
                <w:sz w:val="18"/>
              </w:rPr>
              <w:t>Information</w:t>
            </w:r>
          </w:p>
        </w:tc>
        <w:tc>
          <w:tcPr>
            <w:tcW w:type="dxa" w:w="6236"/>
            <w:shd w:val="clear" w:color="auto" w:fill="1F2937"/>
          </w:tcPr>
          <w:p>
            <w:pPr>
              <w:spacing w:after="0"/>
            </w:pPr>
            <w:r>
              <w:rPr>
                <w:rFonts w:ascii="Calibri" w:hAnsi="Calibri"/>
                <w:b/>
                <w:color w:val="FFFFFF"/>
                <w:sz w:val="18"/>
              </w:rPr>
              <w:t>Pourquoi elle est indispensable</w:t>
            </w:r>
          </w:p>
        </w:tc>
      </w:tr>
      <w:tr>
        <w:trPr>
          <w:cantSplit/>
        </w:trPr>
        <w:tc>
          <w:tcPr>
            <w:tcW w:type="dxa" w:w="3061"/>
          </w:tcPr>
          <w:p>
            <w:pPr>
              <w:spacing w:after="0" w:line="252" w:lineRule="auto"/>
            </w:pPr>
            <w:r>
              <w:rPr>
                <w:rFonts w:ascii="Calibri" w:hAnsi="Calibri"/>
                <w:b w:val="0"/>
                <w:i w:val="0"/>
                <w:color w:val="333333"/>
                <w:sz w:val="18"/>
              </w:rPr>
              <w:t>La demande adressée à l'assistant, résumée</w:t>
            </w:r>
          </w:p>
        </w:tc>
        <w:tc>
          <w:tcPr>
            <w:tcW w:type="dxa" w:w="6236"/>
          </w:tcPr>
          <w:p>
            <w:pPr>
              <w:spacing w:after="0" w:line="252" w:lineRule="auto"/>
            </w:pPr>
            <w:r>
              <w:rPr>
                <w:rFonts w:ascii="Calibri" w:hAnsi="Calibri"/>
                <w:b w:val="0"/>
                <w:i w:val="0"/>
                <w:color w:val="333333"/>
                <w:sz w:val="18"/>
              </w:rPr>
              <w:t>Sans elle, impossible de savoir si le résultat répond à la bonne question</w:t>
            </w:r>
          </w:p>
        </w:tc>
      </w:tr>
      <w:tr>
        <w:trPr>
          <w:cantSplit/>
        </w:trPr>
        <w:tc>
          <w:tcPr>
            <w:tcW w:type="dxa" w:w="3061"/>
            <w:shd w:val="clear" w:color="auto" w:fill="F1F5F9"/>
          </w:tcPr>
          <w:p>
            <w:pPr>
              <w:spacing w:after="0" w:line="252" w:lineRule="auto"/>
            </w:pPr>
            <w:r>
              <w:rPr>
                <w:rFonts w:ascii="Calibri" w:hAnsi="Calibri"/>
                <w:b w:val="0"/>
                <w:i w:val="0"/>
                <w:color w:val="333333"/>
                <w:sz w:val="18"/>
              </w:rPr>
              <w:t>Les variantes comparées</w:t>
            </w:r>
          </w:p>
        </w:tc>
        <w:tc>
          <w:tcPr>
            <w:tcW w:type="dxa" w:w="6236"/>
            <w:shd w:val="clear" w:color="auto" w:fill="F1F5F9"/>
          </w:tcPr>
          <w:p>
            <w:pPr>
              <w:spacing w:after="0" w:line="252" w:lineRule="auto"/>
            </w:pPr>
            <w:r>
              <w:rPr>
                <w:rFonts w:ascii="Calibri" w:hAnsi="Calibri"/>
                <w:b w:val="0"/>
                <w:i w:val="0"/>
                <w:color w:val="333333"/>
                <w:sz w:val="18"/>
              </w:rPr>
              <w:t>C'est la preuve qu'un choix a eu lieu, et non une adoption par défaut</w:t>
            </w:r>
          </w:p>
        </w:tc>
      </w:tr>
      <w:tr>
        <w:trPr>
          <w:cantSplit/>
        </w:trPr>
        <w:tc>
          <w:tcPr>
            <w:tcW w:type="dxa" w:w="3061"/>
          </w:tcPr>
          <w:p>
            <w:pPr>
              <w:spacing w:after="0" w:line="252" w:lineRule="auto"/>
            </w:pPr>
            <w:r>
              <w:rPr>
                <w:rFonts w:ascii="Calibri" w:hAnsi="Calibri"/>
                <w:b w:val="0"/>
                <w:i w:val="0"/>
                <w:color w:val="333333"/>
                <w:sz w:val="18"/>
              </w:rPr>
              <w:t>Le résultat mesuré, chiffré</w:t>
            </w:r>
          </w:p>
        </w:tc>
        <w:tc>
          <w:tcPr>
            <w:tcW w:type="dxa" w:w="6236"/>
          </w:tcPr>
          <w:p>
            <w:pPr>
              <w:spacing w:after="0" w:line="252" w:lineRule="auto"/>
            </w:pPr>
            <w:r>
              <w:rPr>
                <w:rFonts w:ascii="Calibri" w:hAnsi="Calibri"/>
                <w:b w:val="0"/>
                <w:i w:val="0"/>
                <w:color w:val="333333"/>
                <w:sz w:val="18"/>
              </w:rPr>
              <w:t>Distingue une décision fondée d'une préférence</w:t>
            </w:r>
          </w:p>
        </w:tc>
      </w:tr>
      <w:tr>
        <w:trPr>
          <w:cantSplit/>
        </w:trPr>
        <w:tc>
          <w:tcPr>
            <w:tcW w:type="dxa" w:w="3061"/>
            <w:shd w:val="clear" w:color="auto" w:fill="F1F5F9"/>
          </w:tcPr>
          <w:p>
            <w:pPr>
              <w:spacing w:after="0" w:line="252" w:lineRule="auto"/>
            </w:pPr>
            <w:r>
              <w:rPr>
                <w:rFonts w:ascii="Calibri" w:hAnsi="Calibri"/>
                <w:b w:val="0"/>
                <w:i w:val="0"/>
                <w:color w:val="333333"/>
                <w:sz w:val="18"/>
              </w:rPr>
              <w:t>La décision et son motif</w:t>
            </w:r>
          </w:p>
        </w:tc>
        <w:tc>
          <w:tcPr>
            <w:tcW w:type="dxa" w:w="6236"/>
            <w:shd w:val="clear" w:color="auto" w:fill="F1F5F9"/>
          </w:tcPr>
          <w:p>
            <w:pPr>
              <w:spacing w:after="0" w:line="252" w:lineRule="auto"/>
            </w:pPr>
            <w:r>
              <w:rPr>
                <w:rFonts w:ascii="Calibri" w:hAnsi="Calibri"/>
                <w:b w:val="0"/>
                <w:i w:val="0"/>
                <w:color w:val="333333"/>
                <w:sz w:val="18"/>
              </w:rPr>
              <w:t>Permet à un tiers de contester le raisonnement, pas seulement le résultat</w:t>
            </w:r>
          </w:p>
        </w:tc>
      </w:tr>
      <w:tr>
        <w:trPr>
          <w:cantSplit/>
        </w:trPr>
        <w:tc>
          <w:tcPr>
            <w:tcW w:type="dxa" w:w="3061"/>
          </w:tcPr>
          <w:p>
            <w:pPr>
              <w:spacing w:after="0" w:line="252" w:lineRule="auto"/>
            </w:pPr>
            <w:r>
              <w:rPr>
                <w:rFonts w:ascii="Calibri" w:hAnsi="Calibri"/>
                <w:b w:val="0"/>
                <w:i w:val="0"/>
                <w:color w:val="333333"/>
                <w:sz w:val="18"/>
              </w:rPr>
              <w:t>La vérification humaine effectuée</w:t>
            </w:r>
          </w:p>
        </w:tc>
        <w:tc>
          <w:tcPr>
            <w:tcW w:type="dxa" w:w="6236"/>
          </w:tcPr>
          <w:p>
            <w:pPr>
              <w:spacing w:after="0" w:line="252" w:lineRule="auto"/>
            </w:pPr>
            <w:r>
              <w:rPr>
                <w:rFonts w:ascii="Calibri" w:hAnsi="Calibri"/>
                <w:b w:val="0"/>
                <w:i w:val="0"/>
                <w:color w:val="333333"/>
                <w:sz w:val="18"/>
              </w:rPr>
              <w:t>Prouve qu'aucune sortie n'a été acceptée sans contrôle</w:t>
            </w:r>
          </w:p>
        </w:tc>
      </w:tr>
    </w:tbl>
    <w:p>
      <w:r>
        <w:rPr>
          <w:rFonts w:ascii="Calibri" w:hAnsi="Calibri"/>
          <w:b w:val="0"/>
          <w:i w:val="0"/>
          <w:color w:val="333333"/>
          <w:sz w:val="21"/>
        </w:rPr>
        <w:t xml:space="preserve">Depuis le 17 septembre 2026, une information s'ajoute aux cinq précédentes, pour répondre à la lettre de l'étape 4 de l'énoncé : le message tel qu'envoyé à l'assistant, copié depuis l'application, avec la date. Les essais menés avant cette date sont documentés en annexe A avec le degré de fidélité de chaque élément.</w:t>
      </w:r>
    </w:p>
    <w:p>
      <w:pPr>
        <w:spacing w:after="40"/>
      </w:pPr>
    </w:p>
    <w:p>
      <w:pPr>
        <w:pStyle w:val="Heading2"/>
      </w:pPr>
      <w:bookmarkStart w:id="7019" w:name="_TocP130019"/>
      <w:r>
        <w:t>8.4 Règles de rédaction des livrables</w:t>
      </w:r>
      <w:bookmarkEnd w:id="7019"/>
    </w:p>
    <w:p>
      <w:pPr>
        <w:pStyle w:val="ListBullet"/>
        <w:spacing w:after="40"/>
        <w:ind w:left="369"/>
      </w:pPr>
      <w:r>
        <w:rPr>
          <w:rFonts w:ascii="Calibri" w:hAnsi="Calibri"/>
          <w:b w:val="0"/>
          <w:i w:val="0"/>
          <w:color w:val="333333"/>
          <w:sz w:val="21"/>
        </w:rPr>
        <w:t>Chaque document commence par sa page d'identification : auteur, objet, périmètre, date, version.</w:t>
      </w:r>
    </w:p>
    <w:p>
      <w:pPr>
        <w:pStyle w:val="ListBullet"/>
        <w:spacing w:after="40"/>
        <w:ind w:left="369"/>
      </w:pPr>
      <w:r>
        <w:rPr>
          <w:rFonts w:ascii="Calibri" w:hAnsi="Calibri"/>
          <w:b w:val="0"/>
          <w:i w:val="0"/>
          <w:color w:val="333333"/>
          <w:sz w:val="21"/>
        </w:rPr>
        <w:t>Chaque document comporte un sommaire actualisable et une pagination.</w:t>
      </w:r>
    </w:p>
    <w:p>
      <w:pPr>
        <w:pStyle w:val="ListBullet"/>
        <w:spacing w:after="40"/>
        <w:ind w:left="369"/>
      </w:pPr>
      <w:r>
        <w:rPr>
          <w:rFonts w:ascii="Calibri" w:hAnsi="Calibri"/>
          <w:b w:val="0"/>
          <w:i w:val="0"/>
          <w:color w:val="333333"/>
          <w:sz w:val="21"/>
        </w:rPr>
        <w:t>Un même objet porte toujours le même nom dans tout le dossier. Un glossaire tranche les synonymes.</w:t>
      </w:r>
    </w:p>
    <w:p>
      <w:pPr>
        <w:pStyle w:val="ListBullet"/>
        <w:spacing w:after="40"/>
        <w:ind w:left="369"/>
      </w:pPr>
      <w:r>
        <w:rPr>
          <w:rFonts w:ascii="Calibri" w:hAnsi="Calibri"/>
          <w:b w:val="0"/>
          <w:i w:val="0"/>
          <w:color w:val="333333"/>
          <w:sz w:val="21"/>
        </w:rPr>
        <w:t>Tout chiffre publié est rattaché à sa source de calcul, ce qui permet de le recalculer.</w:t>
      </w:r>
    </w:p>
    <w:p>
      <w:pPr>
        <w:pStyle w:val="ListBullet"/>
        <w:spacing w:after="40"/>
        <w:ind w:left="369"/>
      </w:pPr>
      <w:r>
        <w:rPr>
          <w:rFonts w:ascii="Calibri" w:hAnsi="Calibri"/>
          <w:b w:val="0"/>
          <w:i w:val="0"/>
          <w:color w:val="333333"/>
          <w:sz w:val="21"/>
        </w:rPr>
        <w:t>Tout terme technique est défini à sa première occurrence, ou renvoyé au glossaire.</w:t>
      </w:r>
    </w:p>
    <w:p>
      <w:pPr>
        <w:pStyle w:val="ListBullet"/>
        <w:spacing w:after="40"/>
        <w:ind w:left="369"/>
      </w:pPr>
      <w:r>
        <w:rPr>
          <w:rFonts w:ascii="Calibri" w:hAnsi="Calibri"/>
          <w:b w:val="0"/>
          <w:i w:val="0"/>
          <w:color w:val="333333"/>
          <w:sz w:val="21"/>
        </w:rPr>
        <w:t>Les limites sont énoncées dans le corps du document, jamais reléguées en annexe.</w:t>
      </w:r>
    </w:p>
    <w:p>
      <w:pPr>
        <w:pStyle w:val="Heading2"/>
      </w:pPr>
      <w:bookmarkStart w:id="7020" w:name="_TocP130020"/>
      <w:r>
        <w:t>8.5 Contrôle avant dépôt</w:t>
      </w:r>
      <w:bookmarkEnd w:id="7020"/>
    </w:p>
    <w:p>
      <w:r>
        <w:rPr>
          <w:rFonts w:ascii="Calibri" w:hAnsi="Calibri"/>
          <w:b w:val="0"/>
          <w:i w:val="0"/>
          <w:color w:val="333333"/>
          <w:sz w:val="21"/>
        </w:rPr>
        <w:t>Liste de vérification appliquée avant toute remise, dérivée de l'audit de conformité.</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4535"/>
            <w:shd w:val="clear" w:color="auto" w:fill="1F2937"/>
          </w:tcPr>
          <w:p>
            <w:pPr>
              <w:spacing w:after="0"/>
            </w:pPr>
            <w:r>
              <w:rPr>
                <w:rFonts w:ascii="Calibri" w:hAnsi="Calibri"/>
                <w:b/>
                <w:color w:val="FFFFFF"/>
                <w:sz w:val="18"/>
              </w:rPr>
              <w:t>Point à vérifier</w:t>
            </w:r>
          </w:p>
        </w:tc>
        <w:tc>
          <w:tcPr>
            <w:tcW w:type="dxa" w:w="4762"/>
            <w:shd w:val="clear" w:color="auto" w:fill="1F2937"/>
          </w:tcPr>
          <w:p>
            <w:pPr>
              <w:spacing w:after="0"/>
            </w:pPr>
            <w:r>
              <w:rPr>
                <w:rFonts w:ascii="Calibri" w:hAnsi="Calibri"/>
                <w:b/>
                <w:color w:val="FFFFFF"/>
                <w:sz w:val="18"/>
              </w:rPr>
              <w:t>Comment le vérifier</w:t>
            </w:r>
          </w:p>
        </w:tc>
      </w:tr>
      <w:tr>
        <w:trPr>
          <w:cantSplit/>
        </w:trPr>
        <w:tc>
          <w:tcPr>
            <w:tcW w:type="dxa" w:w="4535"/>
          </w:tcPr>
          <w:p>
            <w:pPr>
              <w:spacing w:after="0" w:line="252" w:lineRule="auto"/>
            </w:pPr>
            <w:r>
              <w:rPr>
                <w:rFonts w:ascii="Calibri" w:hAnsi="Calibri"/>
                <w:b w:val="0"/>
                <w:i w:val="0"/>
                <w:color w:val="333333"/>
                <w:sz w:val="18"/>
              </w:rPr>
              <w:t xml:space="preserve">Le notebook s'exécute en entier sur un poste vierge</w:t>
            </w:r>
          </w:p>
        </w:tc>
        <w:tc>
          <w:tcPr>
            <w:tcW w:type="dxa" w:w="4762"/>
          </w:tcPr>
          <w:p>
            <w:pPr>
              <w:spacing w:after="0" w:line="252" w:lineRule="auto"/>
            </w:pPr>
            <w:r>
              <w:rPr>
                <w:rFonts w:ascii="Calibri" w:hAnsi="Calibri"/>
                <w:b w:val="0"/>
                <w:i w:val="0"/>
                <w:color w:val="333333"/>
                <w:sz w:val="18"/>
              </w:rPr>
              <w:t>Réexécution complète à partir des seuls fichiers sources</w:t>
            </w:r>
          </w:p>
        </w:tc>
      </w:tr>
      <w:tr>
        <w:trPr>
          <w:cantSplit/>
        </w:trPr>
        <w:tc>
          <w:tcPr>
            <w:tcW w:type="dxa" w:w="4535"/>
            <w:shd w:val="clear" w:color="auto" w:fill="F1F5F9"/>
          </w:tcPr>
          <w:p>
            <w:pPr>
              <w:spacing w:after="0" w:line="252" w:lineRule="auto"/>
            </w:pPr>
            <w:r>
              <w:rPr>
                <w:rFonts w:ascii="Calibri" w:hAnsi="Calibri"/>
                <w:b w:val="0"/>
                <w:i w:val="0"/>
                <w:color w:val="333333"/>
                <w:sz w:val="18"/>
              </w:rPr>
              <w:t>Les chiffres publiés correspondent aux sorties du code</w:t>
            </w:r>
          </w:p>
        </w:tc>
        <w:tc>
          <w:tcPr>
            <w:tcW w:type="dxa" w:w="4762"/>
            <w:shd w:val="clear" w:color="auto" w:fill="F1F5F9"/>
          </w:tcPr>
          <w:p>
            <w:pPr>
              <w:spacing w:after="0" w:line="252" w:lineRule="auto"/>
            </w:pPr>
            <w:r>
              <w:rPr>
                <w:rFonts w:ascii="Calibri" w:hAnsi="Calibri"/>
                <w:b w:val="0"/>
                <w:i w:val="0"/>
                <w:color w:val="333333"/>
                <w:sz w:val="18"/>
              </w:rPr>
              <w:t>Extraction automatique des nombres cités et confrontation aux sorties</w:t>
            </w:r>
          </w:p>
        </w:tc>
      </w:tr>
      <w:tr>
        <w:trPr>
          <w:cantSplit/>
        </w:trPr>
        <w:tc>
          <w:tcPr>
            <w:tcW w:type="dxa" w:w="4535"/>
          </w:tcPr>
          <w:p>
            <w:pPr>
              <w:spacing w:after="0" w:line="252" w:lineRule="auto"/>
            </w:pPr>
            <w:r>
              <w:rPr>
                <w:rFonts w:ascii="Calibri" w:hAnsi="Calibri"/>
                <w:b w:val="0"/>
                <w:i w:val="0"/>
                <w:color w:val="333333"/>
                <w:sz w:val="18"/>
              </w:rPr>
              <w:t>Aucun chemin absolu ni référence à un environnement temporaire ne subsiste</w:t>
            </w:r>
          </w:p>
        </w:tc>
        <w:tc>
          <w:tcPr>
            <w:tcW w:type="dxa" w:w="4762"/>
          </w:tcPr>
          <w:p>
            <w:pPr>
              <w:spacing w:after="0" w:line="252" w:lineRule="auto"/>
            </w:pPr>
            <w:r>
              <w:rPr>
                <w:rFonts w:ascii="Calibri" w:hAnsi="Calibri"/>
                <w:b w:val="0"/>
                <w:i w:val="0"/>
                <w:color w:val="333333"/>
                <w:sz w:val="18"/>
              </w:rPr>
              <w:t>Recherche des motifs de chemin dans les cellules de code</w:t>
            </w:r>
          </w:p>
        </w:tc>
      </w:tr>
      <w:tr>
        <w:trPr>
          <w:cantSplit/>
        </w:trPr>
        <w:tc>
          <w:tcPr>
            <w:tcW w:type="dxa" w:w="4535"/>
            <w:shd w:val="clear" w:color="auto" w:fill="F1F5F9"/>
          </w:tcPr>
          <w:p>
            <w:pPr>
              <w:spacing w:after="0" w:line="252" w:lineRule="auto"/>
            </w:pPr>
            <w:r>
              <w:rPr>
                <w:rFonts w:ascii="Calibri" w:hAnsi="Calibri"/>
                <w:b w:val="0"/>
                <w:i w:val="0"/>
                <w:color w:val="333333"/>
                <w:sz w:val="18"/>
              </w:rPr>
              <w:t>Les sommaires sont actualisables et la pagination est présente</w:t>
            </w:r>
          </w:p>
        </w:tc>
        <w:tc>
          <w:tcPr>
            <w:tcW w:type="dxa" w:w="4762"/>
            <w:shd w:val="clear" w:color="auto" w:fill="F1F5F9"/>
          </w:tcPr>
          <w:p>
            <w:pPr>
              <w:spacing w:after="0" w:line="252" w:lineRule="auto"/>
            </w:pPr>
            <w:r>
              <w:rPr>
                <w:rFonts w:ascii="Calibri" w:hAnsi="Calibri"/>
                <w:b w:val="0"/>
                <w:i w:val="0"/>
                <w:color w:val="333333"/>
                <w:sz w:val="18"/>
              </w:rPr>
              <w:t>Ouverture de chaque document et actualisation des champs</w:t>
            </w:r>
          </w:p>
        </w:tc>
      </w:tr>
      <w:tr>
        <w:trPr>
          <w:cantSplit/>
        </w:trPr>
        <w:tc>
          <w:tcPr>
            <w:tcW w:type="dxa" w:w="4535"/>
          </w:tcPr>
          <w:p>
            <w:pPr>
              <w:spacing w:after="0" w:line="252" w:lineRule="auto"/>
            </w:pPr>
            <w:r>
              <w:rPr>
                <w:rFonts w:ascii="Calibri" w:hAnsi="Calibri"/>
                <w:b w:val="0"/>
                <w:i w:val="0"/>
                <w:color w:val="333333"/>
                <w:sz w:val="18"/>
              </w:rPr>
              <w:t>La terminologie est stable d'un document à l'autre</w:t>
            </w:r>
          </w:p>
        </w:tc>
        <w:tc>
          <w:tcPr>
            <w:tcW w:type="dxa" w:w="4762"/>
          </w:tcPr>
          <w:p>
            <w:pPr>
              <w:spacing w:after="0" w:line="252" w:lineRule="auto"/>
            </w:pPr>
            <w:r>
              <w:rPr>
                <w:rFonts w:ascii="Calibri" w:hAnsi="Calibri"/>
                <w:b w:val="0"/>
                <w:i w:val="0"/>
                <w:color w:val="333333"/>
                <w:sz w:val="18"/>
              </w:rPr>
              <w:t>Contrôle croisé des termes clés sur l'ensemble du dossier</w:t>
            </w:r>
          </w:p>
        </w:tc>
      </w:tr>
      <w:tr>
        <w:trPr>
          <w:cantSplit/>
        </w:trPr>
        <w:tc>
          <w:tcPr>
            <w:tcW w:type="dxa" w:w="4535"/>
            <w:shd w:val="clear" w:color="auto" w:fill="F1F5F9"/>
          </w:tcPr>
          <w:p>
            <w:pPr>
              <w:spacing w:after="0" w:line="252" w:lineRule="auto"/>
            </w:pPr>
            <w:r>
              <w:rPr>
                <w:rFonts w:ascii="Calibri" w:hAnsi="Calibri"/>
                <w:b w:val="0"/>
                <w:i w:val="0"/>
                <w:color w:val="333333"/>
                <w:sz w:val="18"/>
              </w:rPr>
              <w:t>Les livrables respectent la convention de nommage</w:t>
            </w:r>
          </w:p>
        </w:tc>
        <w:tc>
          <w:tcPr>
            <w:tcW w:type="dxa" w:w="4762"/>
            <w:shd w:val="clear" w:color="auto" w:fill="F1F5F9"/>
          </w:tcPr>
          <w:p>
            <w:pPr>
              <w:spacing w:after="0" w:line="252" w:lineRule="auto"/>
            </w:pPr>
            <w:r>
              <w:rPr>
                <w:rFonts w:ascii="Calibri" w:hAnsi="Calibri"/>
                <w:b w:val="0"/>
                <w:i w:val="0"/>
                <w:color w:val="333333"/>
                <w:sz w:val="18"/>
              </w:rPr>
              <w:t>Comparaison des noms de fichiers à la règle de la section 8.1</w:t>
            </w:r>
          </w:p>
        </w:tc>
      </w:tr>
    </w:tbl>
    <w:p>
      <w:pPr>
        <w:spacing w:after="40"/>
      </w:pPr>
    </w:p>
    <w:p>
      <w:pPr>
        <w:pStyle w:val="Heading1"/>
      </w:pPr>
      <w:bookmarkStart w:id="7021" w:name="_TocP130021"/>
      <w:r>
        <w:t>9. Posture de conseil adoptée</w:t>
      </w:r>
      <w:bookmarkEnd w:id="7021"/>
    </w:p>
    <w:p>
      <w:r>
        <w:rPr>
          <w:rFonts w:ascii="Calibri" w:hAnsi="Calibri"/>
          <w:b w:val="0"/>
          <w:i w:val="0"/>
          <w:color w:val="333333"/>
          <w:sz w:val="21"/>
        </w:rPr>
        <w:t xml:space="preserve">L'énoncé demande une posture de consultant. Elle se voit dans des choix concrets, parfois contraires à ce qu'attend le commanditaire.</w:t>
      </w:r>
    </w:p>
    <w:p>
      <w:pPr>
        <w:pStyle w:val="Heading2"/>
      </w:pPr>
      <w:bookmarkStart w:id="7022" w:name="_TocP130022"/>
      <w:r>
        <w:t>9.1 Ce que le positionnement change concrètement</w:t>
      </w:r>
      <w:bookmarkEnd w:id="7022"/>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268"/>
            <w:shd w:val="clear" w:color="auto" w:fill="1F2937"/>
          </w:tcPr>
          <w:p>
            <w:pPr>
              <w:spacing w:after="0"/>
            </w:pPr>
            <w:r>
              <w:rPr>
                <w:rFonts w:ascii="Calibri" w:hAnsi="Calibri"/>
                <w:b/>
                <w:color w:val="FFFFFF"/>
                <w:sz w:val="17"/>
              </w:rPr>
              <w:t>Situation</w:t>
            </w:r>
          </w:p>
        </w:tc>
        <w:tc>
          <w:tcPr>
            <w:tcW w:type="dxa" w:w="3061"/>
            <w:shd w:val="clear" w:color="auto" w:fill="1F2937"/>
          </w:tcPr>
          <w:p>
            <w:pPr>
              <w:spacing w:after="0"/>
            </w:pPr>
            <w:r>
              <w:rPr>
                <w:rFonts w:ascii="Calibri" w:hAnsi="Calibri"/>
                <w:b/>
                <w:color w:val="FFFFFF"/>
                <w:sz w:val="17"/>
              </w:rPr>
              <w:t>Réflexe d'exécutant</w:t>
            </w:r>
          </w:p>
        </w:tc>
        <w:tc>
          <w:tcPr>
            <w:tcW w:type="dxa" w:w="3969"/>
            <w:shd w:val="clear" w:color="auto" w:fill="1F2937"/>
          </w:tcPr>
          <w:p>
            <w:pPr>
              <w:spacing w:after="0"/>
            </w:pPr>
            <w:r>
              <w:rPr>
                <w:rFonts w:ascii="Calibri" w:hAnsi="Calibri"/>
                <w:b/>
                <w:color w:val="FFFFFF"/>
                <w:sz w:val="17"/>
              </w:rPr>
              <w:t>Posture de conseil retenue</w:t>
            </w:r>
          </w:p>
        </w:tc>
      </w:tr>
      <w:tr>
        <w:trPr>
          <w:cantSplit/>
        </w:trPr>
        <w:tc>
          <w:tcPr>
            <w:tcW w:type="dxa" w:w="2268"/>
          </w:tcPr>
          <w:p>
            <w:pPr>
              <w:spacing w:after="0" w:line="252" w:lineRule="auto"/>
            </w:pPr>
            <w:r>
              <w:rPr>
                <w:rFonts w:ascii="Calibri" w:hAnsi="Calibri"/>
                <w:b w:val="0"/>
                <w:i w:val="0"/>
                <w:color w:val="333333"/>
                <w:sz w:val="17"/>
              </w:rPr>
              <w:t>Le commanditaire attend une amélioration sur chaque axe</w:t>
            </w:r>
          </w:p>
        </w:tc>
        <w:tc>
          <w:tcPr>
            <w:tcW w:type="dxa" w:w="3061"/>
          </w:tcPr>
          <w:p>
            <w:pPr>
              <w:spacing w:after="0" w:line="252" w:lineRule="auto"/>
            </w:pPr>
            <w:r>
              <w:rPr>
                <w:rFonts w:ascii="Calibri" w:hAnsi="Calibri"/>
                <w:b w:val="0"/>
                <w:i w:val="0"/>
                <w:color w:val="333333"/>
                <w:sz w:val="17"/>
              </w:rPr>
              <w:t>Trouver quelque chose à améliorer partout, pour montrer du travail</w:t>
            </w:r>
          </w:p>
        </w:tc>
        <w:tc>
          <w:tcPr>
            <w:tcW w:type="dxa" w:w="3969"/>
          </w:tcPr>
          <w:p>
            <w:pPr>
              <w:spacing w:after="0" w:line="252" w:lineRule="auto"/>
            </w:pPr>
            <w:r>
              <w:rPr>
                <w:rFonts w:ascii="Calibri" w:hAnsi="Calibri"/>
                <w:b w:val="0"/>
                <w:i w:val="0"/>
                <w:color w:val="333333"/>
                <w:sz w:val="17"/>
              </w:rPr>
              <w:t>Recommander de ne rien changer sur l'axe performance, en documentant à quelle condition il faudra basculer</w:t>
            </w:r>
          </w:p>
        </w:tc>
      </w:tr>
      <w:tr>
        <w:trPr>
          <w:cantSplit/>
        </w:trPr>
        <w:tc>
          <w:tcPr>
            <w:tcW w:type="dxa" w:w="2268"/>
            <w:shd w:val="clear" w:color="auto" w:fill="F1F5F9"/>
          </w:tcPr>
          <w:p>
            <w:pPr>
              <w:spacing w:after="0" w:line="252" w:lineRule="auto"/>
            </w:pPr>
            <w:r>
              <w:rPr>
                <w:rFonts w:ascii="Calibri" w:hAnsi="Calibri"/>
                <w:b w:val="0"/>
                <w:i w:val="0"/>
                <w:color w:val="333333"/>
                <w:sz w:val="17"/>
              </w:rPr>
              <w:t>Un outil récent est disponible et bien noté</w:t>
            </w:r>
          </w:p>
        </w:tc>
        <w:tc>
          <w:tcPr>
            <w:tcW w:type="dxa" w:w="3061"/>
            <w:shd w:val="clear" w:color="auto" w:fill="F1F5F9"/>
          </w:tcPr>
          <w:p>
            <w:pPr>
              <w:spacing w:after="0" w:line="252" w:lineRule="auto"/>
            </w:pPr>
            <w:r>
              <w:rPr>
                <w:rFonts w:ascii="Calibri" w:hAnsi="Calibri"/>
                <w:b w:val="0"/>
                <w:i w:val="0"/>
                <w:color w:val="333333"/>
                <w:sz w:val="17"/>
              </w:rPr>
              <w:t>L'adopter parce qu'il est moderne</w:t>
            </w:r>
          </w:p>
        </w:tc>
        <w:tc>
          <w:tcPr>
            <w:tcW w:type="dxa" w:w="3969"/>
            <w:shd w:val="clear" w:color="auto" w:fill="F1F5F9"/>
          </w:tcPr>
          <w:p>
            <w:pPr>
              <w:spacing w:after="0" w:line="252" w:lineRule="auto"/>
            </w:pPr>
            <w:r>
              <w:rPr>
                <w:rFonts w:ascii="Calibri" w:hAnsi="Calibri"/>
                <w:b w:val="0"/>
                <w:i w:val="0"/>
                <w:color w:val="333333"/>
                <w:sz w:val="17"/>
              </w:rPr>
              <w:t>Le comparer sur sept critères et l'écarter s'il ne bat pas l'existant sur le besoin réel</w:t>
            </w:r>
          </w:p>
        </w:tc>
      </w:tr>
      <w:tr>
        <w:trPr>
          <w:cantSplit/>
        </w:trPr>
        <w:tc>
          <w:tcPr>
            <w:tcW w:type="dxa" w:w="2268"/>
          </w:tcPr>
          <w:p>
            <w:pPr>
              <w:spacing w:after="0" w:line="252" w:lineRule="auto"/>
            </w:pPr>
            <w:r>
              <w:rPr>
                <w:rFonts w:ascii="Calibri" w:hAnsi="Calibri"/>
                <w:b w:val="0"/>
                <w:i w:val="0"/>
                <w:color w:val="333333"/>
                <w:sz w:val="17"/>
              </w:rPr>
              <w:t>Le modèle donne un résultat flatteur</w:t>
            </w:r>
          </w:p>
        </w:tc>
        <w:tc>
          <w:tcPr>
            <w:tcW w:type="dxa" w:w="3061"/>
          </w:tcPr>
          <w:p>
            <w:pPr>
              <w:spacing w:after="0" w:line="252" w:lineRule="auto"/>
            </w:pPr>
            <w:r>
              <w:rPr>
                <w:rFonts w:ascii="Calibri" w:hAnsi="Calibri"/>
                <w:b w:val="0"/>
                <w:i w:val="0"/>
                <w:color w:val="333333"/>
                <w:sz w:val="17"/>
              </w:rPr>
              <w:t>Le présenter comme un acquis</w:t>
            </w:r>
          </w:p>
        </w:tc>
        <w:tc>
          <w:tcPr>
            <w:tcW w:type="dxa" w:w="3969"/>
          </w:tcPr>
          <w:p>
            <w:pPr>
              <w:spacing w:after="0" w:line="252" w:lineRule="auto"/>
            </w:pPr>
            <w:r>
              <w:rPr>
                <w:rFonts w:ascii="Calibri" w:hAnsi="Calibri"/>
                <w:b w:val="0"/>
                <w:i w:val="0"/>
                <w:color w:val="333333"/>
                <w:sz w:val="17"/>
              </w:rPr>
              <w:t>Le présenter avec sa réserve d'interprétation et la taille de l'échantillon</w:t>
            </w:r>
          </w:p>
        </w:tc>
      </w:tr>
      <w:tr>
        <w:trPr>
          <w:cantSplit/>
        </w:trPr>
        <w:tc>
          <w:tcPr>
            <w:tcW w:type="dxa" w:w="2268"/>
            <w:shd w:val="clear" w:color="auto" w:fill="F1F5F9"/>
          </w:tcPr>
          <w:p>
            <w:pPr>
              <w:spacing w:after="0" w:line="252" w:lineRule="auto"/>
            </w:pPr>
            <w:r>
              <w:rPr>
                <w:rFonts w:ascii="Calibri" w:hAnsi="Calibri"/>
                <w:b w:val="0"/>
                <w:i w:val="0"/>
                <w:color w:val="333333"/>
                <w:sz w:val="17"/>
              </w:rPr>
              <w:t>Une anomalie est détectée</w:t>
            </w:r>
          </w:p>
        </w:tc>
        <w:tc>
          <w:tcPr>
            <w:tcW w:type="dxa" w:w="3061"/>
            <w:shd w:val="clear" w:color="auto" w:fill="F1F5F9"/>
          </w:tcPr>
          <w:p>
            <w:pPr>
              <w:spacing w:after="0" w:line="252" w:lineRule="auto"/>
            </w:pPr>
            <w:r>
              <w:rPr>
                <w:rFonts w:ascii="Calibri" w:hAnsi="Calibri"/>
                <w:b w:val="0"/>
                <w:i w:val="0"/>
                <w:color w:val="333333"/>
                <w:sz w:val="17"/>
              </w:rPr>
              <w:t>Corriger la donnée</w:t>
            </w:r>
          </w:p>
        </w:tc>
        <w:tc>
          <w:tcPr>
            <w:tcW w:type="dxa" w:w="3969"/>
            <w:shd w:val="clear" w:color="auto" w:fill="F1F5F9"/>
          </w:tcPr>
          <w:p>
            <w:pPr>
              <w:spacing w:after="0" w:line="252" w:lineRule="auto"/>
            </w:pPr>
            <w:r>
              <w:rPr>
                <w:rFonts w:ascii="Calibri" w:hAnsi="Calibri"/>
                <w:b w:val="0"/>
                <w:i w:val="0"/>
                <w:color w:val="333333"/>
                <w:sz w:val="17"/>
              </w:rPr>
              <w:t xml:space="preserve">Signaler, expliquer et laisser la décision de correction au métier, qui en porte la responsabilité</w:t>
            </w:r>
          </w:p>
        </w:tc>
      </w:tr>
      <w:tr>
        <w:trPr>
          <w:cantSplit/>
        </w:trPr>
        <w:tc>
          <w:tcPr>
            <w:tcW w:type="dxa" w:w="2268"/>
          </w:tcPr>
          <w:p>
            <w:pPr>
              <w:spacing w:after="0" w:line="252" w:lineRule="auto"/>
            </w:pPr>
            <w:r>
              <w:rPr>
                <w:rFonts w:ascii="Calibri" w:hAnsi="Calibri"/>
                <w:b w:val="0"/>
                <w:i w:val="0"/>
                <w:color w:val="333333"/>
                <w:sz w:val="17"/>
              </w:rPr>
              <w:t>Les utilisateurs ne comprennent pas la restitution</w:t>
            </w:r>
          </w:p>
        </w:tc>
        <w:tc>
          <w:tcPr>
            <w:tcW w:type="dxa" w:w="3061"/>
          </w:tcPr>
          <w:p>
            <w:pPr>
              <w:spacing w:after="0" w:line="252" w:lineRule="auto"/>
            </w:pPr>
            <w:r>
              <w:rPr>
                <w:rFonts w:ascii="Calibri" w:hAnsi="Calibri"/>
                <w:b w:val="0"/>
                <w:i w:val="0"/>
                <w:color w:val="333333"/>
                <w:sz w:val="17"/>
              </w:rPr>
              <w:t>Renvoyer à la documentation technique</w:t>
            </w:r>
          </w:p>
        </w:tc>
        <w:tc>
          <w:tcPr>
            <w:tcW w:type="dxa" w:w="3969"/>
          </w:tcPr>
          <w:p>
            <w:pPr>
              <w:spacing w:after="0" w:line="252" w:lineRule="auto"/>
            </w:pPr>
            <w:r>
              <w:rPr>
                <w:rFonts w:ascii="Calibri" w:hAnsi="Calibri"/>
                <w:b w:val="0"/>
                <w:i w:val="0"/>
                <w:color w:val="333333"/>
                <w:sz w:val="17"/>
              </w:rPr>
              <w:t>Construire un guide en langage métier et une mise en situation de vérification</w:t>
            </w:r>
          </w:p>
        </w:tc>
      </w:tr>
    </w:tbl>
    <w:p>
      <w:pPr>
        <w:spacing w:after="40"/>
      </w:pPr>
    </w:p>
    <w:p>
      <w:pPr>
        <w:pStyle w:val="Heading2"/>
      </w:pPr>
      <w:bookmarkStart w:id="7023" w:name="_TocP130023"/>
      <w:r>
        <w:t>9.2 Limites du mandat, énoncées au commanditaire</w:t>
      </w:r>
      <w:bookmarkEnd w:id="7023"/>
    </w:p>
    <w:p>
      <w:pPr>
        <w:pStyle w:val="ListBullet"/>
        <w:spacing w:after="40"/>
        <w:ind w:left="369"/>
      </w:pPr>
      <w:r>
        <w:rPr>
          <w:rFonts w:ascii="Calibri" w:hAnsi="Calibri"/>
          <w:b w:val="0"/>
          <w:i w:val="0"/>
          <w:color w:val="333333"/>
          <w:sz w:val="21"/>
        </w:rPr>
        <w:t xml:space="preserve">Le projet livre une preuve de concept. Passer à l'exploitation courante demande un travail d'industrialisation qui n'est pas dans le périmètre.</w:t>
      </w:r>
    </w:p>
    <w:p>
      <w:pPr>
        <w:pStyle w:val="ListBullet"/>
        <w:spacing w:after="40"/>
        <w:ind w:left="369"/>
      </w:pPr>
      <w:r>
        <w:rPr>
          <w:rFonts w:ascii="Calibri" w:hAnsi="Calibri"/>
          <w:b w:val="0"/>
          <w:i w:val="0"/>
          <w:color w:val="333333"/>
          <w:sz w:val="21"/>
        </w:rPr>
        <w:t xml:space="preserve">Les seuils de détection sont des propositions : ils doivent être arbitrés avec le service achats après une première campagne d'usage.</w:t>
      </w:r>
    </w:p>
    <w:p>
      <w:pPr>
        <w:pStyle w:val="ListBullet"/>
        <w:spacing w:after="40"/>
        <w:ind w:left="369"/>
      </w:pPr>
      <w:r>
        <w:rPr>
          <w:rFonts w:ascii="Calibri" w:hAnsi="Calibri"/>
          <w:b w:val="0"/>
          <w:i w:val="0"/>
          <w:color w:val="333333"/>
          <w:sz w:val="21"/>
        </w:rPr>
        <w:t>L'analyse porte sur une extraction datée. Toute décision structurelle devrait s'appuyer sur plusieurs périodes, ce qui suppose d'historiser les ventes au préalable.</w:t>
      </w:r>
    </w:p>
    <w:p>
      <w:pPr>
        <w:pStyle w:val="Heading2"/>
      </w:pPr>
      <w:bookmarkStart w:id="7024" w:name="_TocP130024"/>
      <w:r>
        <w:t>9.3 Accompagnement des équipes</w:t>
      </w:r>
      <w:bookmarkEnd w:id="7024"/>
    </w:p>
    <w:p>
      <w:r>
        <w:rPr>
          <w:rFonts w:ascii="Calibri" w:hAnsi="Calibri"/>
          <w:b w:val="0"/>
          <w:i w:val="0"/>
          <w:color w:val="333333"/>
          <w:sz w:val="21"/>
        </w:rPr>
        <w:t xml:space="preserve">Après la remise, je prends trois engagements.</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3402"/>
            <w:shd w:val="clear" w:color="auto" w:fill="1F2937"/>
          </w:tcPr>
          <w:p>
            <w:pPr>
              <w:spacing w:after="0"/>
            </w:pPr>
            <w:r>
              <w:rPr>
                <w:rFonts w:ascii="Calibri" w:hAnsi="Calibri"/>
                <w:b/>
                <w:color w:val="FFFFFF"/>
                <w:sz w:val="18"/>
              </w:rPr>
              <w:t>Engagement</w:t>
            </w:r>
          </w:p>
        </w:tc>
        <w:tc>
          <w:tcPr>
            <w:tcW w:type="dxa" w:w="5896"/>
            <w:shd w:val="clear" w:color="auto" w:fill="1F2937"/>
          </w:tcPr>
          <w:p>
            <w:pPr>
              <w:spacing w:after="0"/>
            </w:pPr>
            <w:r>
              <w:rPr>
                <w:rFonts w:ascii="Calibri" w:hAnsi="Calibri"/>
                <w:b/>
                <w:color w:val="FFFFFF"/>
                <w:sz w:val="18"/>
              </w:rPr>
              <w:t>Modalité</w:t>
            </w:r>
          </w:p>
        </w:tc>
      </w:tr>
      <w:tr>
        <w:trPr>
          <w:cantSplit/>
        </w:trPr>
        <w:tc>
          <w:tcPr>
            <w:tcW w:type="dxa" w:w="3402"/>
          </w:tcPr>
          <w:p>
            <w:pPr>
              <w:spacing w:after="0" w:line="252" w:lineRule="auto"/>
            </w:pPr>
            <w:r>
              <w:rPr>
                <w:rFonts w:ascii="Calibri" w:hAnsi="Calibri"/>
                <w:b w:val="0"/>
                <w:i w:val="0"/>
                <w:color w:val="333333"/>
                <w:sz w:val="18"/>
              </w:rPr>
              <w:t>Rendre les utilisateurs autonomes sur la lecture des résultats</w:t>
            </w:r>
          </w:p>
        </w:tc>
        <w:tc>
          <w:tcPr>
            <w:tcW w:type="dxa" w:w="5896"/>
          </w:tcPr>
          <w:p>
            <w:pPr>
              <w:spacing w:after="0" w:line="252" w:lineRule="auto"/>
            </w:pPr>
            <w:r>
              <w:rPr>
                <w:rFonts w:ascii="Calibri" w:hAnsi="Calibri"/>
                <w:b w:val="0"/>
                <w:i w:val="0"/>
                <w:color w:val="333333"/>
                <w:sz w:val="18"/>
              </w:rPr>
              <w:t xml:space="preserve">Quatre séquences de formation courtes, un guide de prise en main en langage métier, un glossaire de douze termes ; mise en situation du 7 octobre : cinq critères sur cinq</w:t>
            </w:r>
          </w:p>
        </w:tc>
      </w:tr>
      <w:tr>
        <w:trPr>
          <w:cantSplit/>
        </w:trPr>
        <w:tc>
          <w:tcPr>
            <w:tcW w:type="dxa" w:w="3402"/>
            <w:shd w:val="clear" w:color="auto" w:fill="F1F5F9"/>
          </w:tcPr>
          <w:p>
            <w:pPr>
              <w:spacing w:after="0" w:line="252" w:lineRule="auto"/>
            </w:pPr>
            <w:r>
              <w:rPr>
                <w:rFonts w:ascii="Calibri" w:hAnsi="Calibri"/>
                <w:b w:val="0"/>
                <w:i w:val="0"/>
                <w:color w:val="333333"/>
                <w:sz w:val="18"/>
              </w:rPr>
              <w:t xml:space="preserve">Permettre à un autre analyste de reprendre le travail</w:t>
            </w:r>
          </w:p>
        </w:tc>
        <w:tc>
          <w:tcPr>
            <w:tcW w:type="dxa" w:w="5896"/>
            <w:shd w:val="clear" w:color="auto" w:fill="F1F5F9"/>
          </w:tcPr>
          <w:p>
            <w:pPr>
              <w:spacing w:after="0" w:line="252" w:lineRule="auto"/>
            </w:pPr>
            <w:r>
              <w:rPr>
                <w:rFonts w:ascii="Calibri" w:hAnsi="Calibri"/>
                <w:b w:val="0"/>
                <w:i w:val="0"/>
                <w:color w:val="333333"/>
                <w:sz w:val="18"/>
              </w:rPr>
              <w:t xml:space="preserve">Procédure de documentation écrite, journal des essais, environnement figé</w:t>
            </w:r>
          </w:p>
        </w:tc>
      </w:tr>
      <w:tr>
        <w:trPr>
          <w:cantSplit/>
        </w:trPr>
        <w:tc>
          <w:tcPr>
            <w:tcW w:type="dxa" w:w="3402"/>
          </w:tcPr>
          <w:p>
            <w:pPr>
              <w:spacing w:after="0" w:line="252" w:lineRule="auto"/>
            </w:pPr>
            <w:r>
              <w:rPr>
                <w:rFonts w:ascii="Calibri" w:hAnsi="Calibri"/>
                <w:b w:val="0"/>
                <w:i w:val="0"/>
                <w:color w:val="333333"/>
                <w:sz w:val="18"/>
              </w:rPr>
              <w:t>Rester disponible sur la période de prise en main</w:t>
            </w:r>
          </w:p>
        </w:tc>
        <w:tc>
          <w:tcPr>
            <w:tcW w:type="dxa" w:w="5896"/>
          </w:tcPr>
          <w:p>
            <w:pPr>
              <w:spacing w:after="0" w:line="252" w:lineRule="auto"/>
            </w:pPr>
            <w:r>
              <w:rPr>
                <w:rFonts w:ascii="Calibri" w:hAnsi="Calibri"/>
                <w:b w:val="0"/>
                <w:i w:val="0"/>
                <w:color w:val="333333"/>
                <w:sz w:val="18"/>
              </w:rPr>
              <w:t>Un référent identifié pour les questions, et une réévaluation des seuils après la première campagne d'usage</w:t>
            </w:r>
          </w:p>
        </w:tc>
      </w:tr>
    </w:tbl>
    <w:p>
      <w:pPr>
        <w:spacing w:after="40"/>
      </w:pPr>
    </w:p>
    <w:p>
      <w:pPr>
        <w:pStyle w:val="Heading1"/>
      </w:pPr>
      <w:bookmarkStart w:id="7025" w:name="_TocP130025"/>
      <w:r>
        <w:t>10. Synthèse et prochaines étapes</w:t>
      </w:r>
      <w:bookmarkEnd w:id="7025"/>
    </w:p>
    <w:p>
      <w:pPr>
        <w:spacing w:before="60" w:after="160"/>
      </w:pPr>
      <w:r>
        <w:rPr>
          <w:rFonts w:ascii="Calibri" w:hAnsi="Calibri"/>
          <w:b/>
          <w:i w:val="0"/>
          <w:color w:val="333333"/>
          <w:sz w:val="20"/>
        </w:rPr>
        <w:t xml:space="preserve">En une phrase.</w:t>
      </w:r>
      <w:r>
        <w:rPr>
          <w:rFonts w:ascii="Calibri" w:hAnsi="Calibri"/>
          <w:b w:val="0"/>
          <w:i w:val="0"/>
          <w:color w:val="333333"/>
          <w:sz w:val="20"/>
        </w:rPr>
        <w:t xml:space="preserve"> Le notebook du projet 6 contrôle désormais les règles de l'ERP à chaque extraction, fonde le choix de ses outils sur des mesures, croise deux détections d'anomalies, explique les ventes et se rejoue à l'identique.</w:t>
      </w:r>
    </w:p>
    <w:p>
      <w:pPr>
        <w:spacing w:after="40"/>
      </w:pPr>
    </w:p>
    <w:p>
      <w:r>
        <w:rPr>
          <w:rFonts w:ascii="Calibri" w:hAnsi="Calibri"/>
          <w:b w:val="0"/>
          <w:i w:val="0"/>
          <w:color w:val="333333"/>
          <w:sz w:val="21"/>
        </w:rPr>
        <w:t xml:space="preserve">Sept pistes prolongent ce travail, chacune rattachée à un besoin identifié.</w:t>
      </w:r>
    </w:p>
    <w:p>
      <w:pPr>
        <w:pStyle w:val="ListNumber"/>
        <w:numPr>
          <w:ilvl w:val="0"/>
          <w:numId w:val="50"/>
        </w:numPr>
        <w:spacing w:after="40"/>
        <w:ind w:left="369"/>
      </w:pPr>
      <w:r>
        <w:rPr>
          <w:rFonts w:ascii="Calibri" w:hAnsi="Calibri"/>
          <w:b w:val="0"/>
          <w:i w:val="0"/>
          <w:color w:val="333333"/>
          <w:sz w:val="21"/>
        </w:rPr>
        <w:t>Brancher le contrôle de qualité dans un traitement planifié, avec un rapport adressé automatiquement au service achats après chaque import.</w:t>
      </w:r>
    </w:p>
    <w:p>
      <w:pPr>
        <w:pStyle w:val="ListNumber"/>
        <w:numPr>
          <w:ilvl w:val="0"/>
          <w:numId w:val="50"/>
        </w:numPr>
        <w:spacing w:after="40"/>
        <w:ind w:left="369"/>
      </w:pPr>
      <w:r>
        <w:rPr>
          <w:rFonts w:ascii="Calibri" w:hAnsi="Calibri"/>
          <w:b w:val="0"/>
          <w:i w:val="0"/>
          <w:color w:val="333333"/>
          <w:sz w:val="21"/>
        </w:rPr>
        <w:t xml:space="preserve">Historiser les ventes, ce qui rendra utile le changement d'outil de calcul et ouvrira la prévision de la demande.</w:t>
      </w:r>
    </w:p>
    <w:p>
      <w:pPr>
        <w:pStyle w:val="ListNumber"/>
        <w:numPr>
          <w:ilvl w:val="0"/>
          <w:numId w:val="50"/>
        </w:numPr>
        <w:spacing w:after="40"/>
        <w:ind w:left="369"/>
      </w:pPr>
      <w:r>
        <w:rPr>
          <w:rFonts w:ascii="Calibri" w:hAnsi="Calibri"/>
          <w:b w:val="0"/>
          <w:i w:val="0"/>
          <w:color w:val="333333"/>
          <w:sz w:val="21"/>
        </w:rPr>
        <w:t>Étendre l'explication par valeurs de Shapley à un modèle de recommandation de réassort, une fois l'historique disponible.</w:t>
      </w:r>
    </w:p>
    <w:p>
      <w:pPr>
        <w:pStyle w:val="ListNumber"/>
        <w:numPr>
          <w:ilvl w:val="0"/>
          <w:numId w:val="50"/>
        </w:numPr>
        <w:spacing w:after="40"/>
        <w:ind w:left="369"/>
      </w:pPr>
      <w:r>
        <w:rPr>
          <w:rFonts w:ascii="Calibri" w:hAnsi="Calibri"/>
          <w:b w:val="0"/>
          <w:i w:val="0"/>
          <w:color w:val="333333"/>
          <w:sz w:val="21"/>
        </w:rPr>
        <w:t>Automatiser la production d'un rapport mensuel destiné à la direction, à partir des indicateurs déjà calculés.</w:t>
      </w:r>
    </w:p>
    <w:p>
      <w:pPr>
        <w:pStyle w:val="ListNumber"/>
        <w:numPr>
          <w:ilvl w:val="0"/>
          <w:numId w:val="50"/>
        </w:numPr>
        <w:spacing w:after="40"/>
        <w:ind w:left="369"/>
      </w:pPr>
      <w:r>
        <w:rPr>
          <w:rFonts w:ascii="Calibri" w:hAnsi="Calibri"/>
          <w:b w:val="0"/>
          <w:i w:val="0"/>
          <w:color w:val="333333"/>
          <w:sz w:val="21"/>
        </w:rPr>
        <w:t xml:space="preserve">Brancher sur l'extraction mensuelle la couverture de stock et le stock immobilisé, que demandait le projet 6. Le calcul existe depuis le 25 septembre (essai C, fonctionnalité F8 du cahier des charges) ; il faudra tenir compte de la saisonnalité dès qu'un historique sera disponible.</w:t>
      </w:r>
    </w:p>
    <w:p>
      <w:pPr>
        <w:pStyle w:val="ListNumber"/>
        <w:numPr>
          <w:ilvl w:val="0"/>
          <w:numId w:val="50"/>
        </w:numPr>
        <w:spacing w:after="40"/>
        <w:ind w:left="369"/>
      </w:pPr>
      <w:r>
        <w:rPr>
          <w:rFonts w:ascii="Calibri" w:hAnsi="Calibri"/>
          <w:b w:val="0"/>
          <w:i w:val="0"/>
          <w:color w:val="333333"/>
          <w:sz w:val="21"/>
        </w:rPr>
        <w:t>Enrichir le catalogue avec la liste officielle des appellations publiée par l'INAO sous Licence Ouverte, rapprochée des noms des produits, pour lire les ventes, les marges et le stock par appellation et par région.</w:t>
      </w:r>
    </w:p>
    <w:p>
      <w:pPr>
        <w:pStyle w:val="ListNumber"/>
        <w:numPr>
          <w:ilvl w:val="0"/>
          <w:numId w:val="50"/>
        </w:numPr>
        <w:spacing w:after="40"/>
        <w:ind w:left="369"/>
      </w:pPr>
      <w:r>
        <w:rPr>
          <w:rFonts w:ascii="Calibri" w:hAnsi="Calibri"/>
          <w:b w:val="0"/>
          <w:i w:val="0"/>
          <w:color w:val="333333"/>
          <w:sz w:val="21"/>
        </w:rPr>
        <w:t>Ouvrir les avis sur le site, aujourd'hui désactivés, dans le respect des règles sur les avis en ligne, puis suivre la note moyenne dans l'analyse mensuelle.</w:t>
      </w:r>
    </w:p>
    <w:p>
      <w:r>
        <w:br w:type="page"/>
      </w:r>
    </w:p>
    <w:p>
      <w:pPr>
        <w:pStyle w:val="Heading1"/>
      </w:pPr>
      <w:bookmarkStart w:id="7026" w:name="_TocP130026"/>
      <w:r>
        <w:t xml:space="preserve">Annexe A. Journal brut des essais d'IA</w:t>
      </w:r>
      <w:bookmarkEnd w:id="7026"/>
    </w:p>
    <w:p>
      <w:r>
        <w:rPr>
          <w:rFonts w:ascii="Calibri" w:hAnsi="Calibri"/>
          <w:b w:val="0"/>
          <w:i w:val="0"/>
          <w:color w:val="333333"/>
          <w:sz w:val="21"/>
        </w:rPr>
        <w:t xml:space="preserve">Cette annexe complète la section 2. Pour chaque essai, elle donne les cinq informations qui répondent à l'étape 4 de l'énoncé : l'outil, la date, la demande adressée à l'assistant, un extrait de la réponse retenue ou écartée, et ce qui a été modifié ou vérifié à la main. Le dossier journal_essais_IA, livré à côté du notebook, en donne la version longue (un fichier par axe, avec les extraits de code complets).</w:t>
      </w:r>
    </w:p>
    <w:p>
      <w:pPr>
        <w:spacing w:before="60" w:after="160"/>
      </w:pPr>
      <w:r>
        <w:rPr>
          <w:rFonts w:ascii="Calibri" w:hAnsi="Calibri"/>
          <w:b/>
          <w:i w:val="0"/>
          <w:color w:val="333333"/>
          <w:sz w:val="20"/>
        </w:rPr>
        <w:t xml:space="preserve">Outil, dates et degré de fidélité.</w:t>
      </w:r>
      <w:r>
        <w:rPr>
          <w:rFonts w:ascii="Calibri" w:hAnsi="Calibri"/>
          <w:b w:val="0"/>
          <w:i w:val="0"/>
          <w:color w:val="333333"/>
          <w:sz w:val="20"/>
        </w:rPr>
        <w:t xml:space="preserve"> Les essais ont été menés avec Claude (Anthropic). Trois exécutions sont conservées : la première ébauche (Python 3.10.12), la première version complète et l'exécution livrée (Python 3.11.15, versions dans la dernière cellule). Trois réexécutions de contrôle ont suivi : le 25 septembre sur mon poste, le 28 septembre dans un environnement neuf de l'assistant, le 30 septembre sur mon poste dans un environnement neuf (jalon J4, section 6). Les extraits de code, les sorties chiffrées et les commentaires cités sont littéraux, copiés des notebooks conservés. Les échanges n'ont pas été archivés mot pour mot. Les demandes sont reconstituées à partir des résumés du notebook (cellules « Prompt (résumé) », devenues « Demande à l'assistant (résumé) » le 25 septembre) et de la section 2. Les deux essais complémentaires du 17 septembre 2026 (Local Outlier Factor, importances globales) sont entièrement littéraux : demande, code, sorties et date, dans le notebook Lippens_Charles_1_essais_complementaires_092026.ipynb, livré à côté du notebook amélioré. Le notebook amélioré garde le code exécuté et les sorties de l'exécution livrée. Son texte a changé le 24 septembre (étape 5 : avis clients, lien entre stock et ventes), puis les 25 et 28 septembre, pour la clarté. Le 28 septembre, des commentaires ont été ajoutés au code, sans réexécution. Le projet a deux phases. D'abord la préparation : faisabilité, premiers essais, première version complète. Puis le mentorat, du 14 septembre à la soutenance du vendredi 16 octobre : les trois versions arbitrées en séance et les essais complémentaires.</w:t>
      </w:r>
    </w:p>
    <w:p>
      <w:pPr>
        <w:spacing w:after="120"/>
      </w:pPr>
    </w:p>
    <w:p>
      <w:pPr>
        <w:pStyle w:val="Heading2"/>
      </w:pPr>
      <w:bookmarkStart w:id="7027" w:name="_TocP130027"/>
      <w:r>
        <w:t xml:space="preserve">A.1 Axe 1, qualité des données</w:t>
      </w:r>
      <w:bookmarkEnd w:id="7027"/>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100"/>
        <w:gridCol w:w="2250"/>
        <w:gridCol w:w="2250"/>
        <w:gridCol w:w="2050"/>
        <w:gridCol w:w="1648"/>
      </w:tblGrid>
      <w:tr>
        <w:trPr>
          <w:cantSplit/>
          <w:tblHeader w:val="true"/>
        </w:trPr>
        <w:tc>
          <w:tcPr>
            <w:tcW w:type="dxa" w:w="1100"/>
            <w:shd w:val="clear" w:color="auto" w:fill="1F2937"/>
          </w:tcPr>
          <w:p>
            <w:pPr>
              <w:spacing w:after="0"/>
            </w:pPr>
            <w:r>
              <w:rPr>
                <w:rFonts w:ascii="Calibri" w:hAnsi="Calibri"/>
                <w:b/>
                <w:color w:val="FFFFFF"/>
                <w:sz w:val="18"/>
              </w:rPr>
              <w:t xml:space="preserve">Essai</w:t>
            </w:r>
          </w:p>
        </w:tc>
        <w:tc>
          <w:tcPr>
            <w:tcW w:type="dxa" w:w="2250"/>
            <w:shd w:val="clear" w:color="auto" w:fill="1F2937"/>
          </w:tcPr>
          <w:p>
            <w:pPr>
              <w:spacing w:after="0"/>
            </w:pPr>
            <w:r>
              <w:rPr>
                <w:rFonts w:ascii="Calibri" w:hAnsi="Calibri"/>
                <w:b/>
                <w:color w:val="FFFFFF"/>
                <w:sz w:val="18"/>
              </w:rPr>
              <w:t xml:space="preserve">Demande adressée à l'assistant</w:t>
            </w:r>
          </w:p>
        </w:tc>
        <w:tc>
          <w:tcPr>
            <w:tcW w:type="dxa" w:w="2250"/>
            <w:shd w:val="clear" w:color="auto" w:fill="1F2937"/>
          </w:tcPr>
          <w:p>
            <w:pPr>
              <w:spacing w:after="0"/>
            </w:pPr>
            <w:r>
              <w:rPr>
                <w:rFonts w:ascii="Calibri" w:hAnsi="Calibri"/>
                <w:b/>
                <w:color w:val="FFFFFF"/>
                <w:sz w:val="18"/>
              </w:rPr>
              <w:t xml:space="preserve">Réponse retenue ou écartée (extrait)</w:t>
            </w:r>
          </w:p>
        </w:tc>
        <w:tc>
          <w:tcPr>
            <w:tcW w:type="dxa" w:w="2050"/>
            <w:shd w:val="clear" w:color="auto" w:fill="1F2937"/>
          </w:tcPr>
          <w:p>
            <w:pPr>
              <w:spacing w:after="0"/>
            </w:pPr>
            <w:r>
              <w:rPr>
                <w:rFonts w:ascii="Calibri" w:hAnsi="Calibri"/>
                <w:b/>
                <w:color w:val="FFFFFF"/>
                <w:sz w:val="18"/>
              </w:rPr>
              <w:t xml:space="preserve">Résultat mesuré</w:t>
            </w:r>
          </w:p>
        </w:tc>
        <w:tc>
          <w:tcPr>
            <w:tcW w:type="dxa" w:w="1648"/>
            <w:shd w:val="clear" w:color="auto" w:fill="1F2937"/>
          </w:tcPr>
          <w:p>
            <w:pPr>
              <w:spacing w:after="0"/>
            </w:pPr>
            <w:r>
              <w:rPr>
                <w:rFonts w:ascii="Calibri" w:hAnsi="Calibri"/>
                <w:b/>
                <w:color w:val="FFFFFF"/>
                <w:sz w:val="18"/>
              </w:rPr>
              <w:t xml:space="preserve">Modifié ou vérifié à la main</w:t>
            </w:r>
          </w:p>
        </w:tc>
      </w:tr>
      <w:tr>
        <w:trPr>
          <w:cantSplit/>
        </w:trPr>
        <w:tc>
          <w:tcPr>
            <w:tcW w:type="dxa" w:w="1100"/>
          </w:tcPr>
          <w:p>
            <w:pPr>
              <w:spacing w:after="0"/>
            </w:pPr>
            <w:r>
              <w:rPr>
                <w:rFonts w:ascii="Calibri" w:hAnsi="Calibri"/>
                <w:color w:val="333333"/>
                <w:sz w:val="18"/>
              </w:rPr>
              <w:t xml:space="preserve">1.1 Reproduire l'existant</w:t>
            </w:r>
          </w:p>
        </w:tc>
        <w:tc>
          <w:tcPr>
            <w:tcW w:type="dxa" w:w="2250"/>
          </w:tcPr>
          <w:p>
            <w:pPr>
              <w:spacing w:after="0"/>
            </w:pPr>
            <w:r>
              <w:rPr>
                <w:rFonts w:ascii="Calibri" w:hAnsi="Calibri"/>
                <w:color w:val="333333"/>
                <w:sz w:val="18"/>
              </w:rPr>
              <w:t xml:space="preserve">Reproduire les neuf contrôles écrits à la main dans le projet 6 sous la forme d'un tableau de comptage, pour objectiver le besoin (reconstituée)</w:t>
            </w:r>
          </w:p>
        </w:tc>
        <w:tc>
          <w:tcPr>
            <w:tcW w:type="dxa" w:w="2250"/>
          </w:tcPr>
          <w:p>
            <w:pPr>
              <w:spacing w:after="0"/>
            </w:pPr>
            <w:r>
              <w:rPr>
                <w:rFonts w:ascii="Calibri" w:hAnsi="Calibri"/>
                <w:color w:val="333333"/>
                <w:sz w:val="18"/>
              </w:rPr>
              <w:t xml:space="preserve">Dictionnaire de neuf comptages pandas : prix négatifs, stocks négatifs, prix d'achat supérieur au prix de vente, lignes attachment, SKU manquants ou en doublon, ventes négatives, id_web manquants, formats non standard</w:t>
            </w:r>
          </w:p>
        </w:tc>
        <w:tc>
          <w:tcPr>
            <w:tcW w:type="dxa" w:w="2050"/>
          </w:tcPr>
          <w:p>
            <w:pPr>
              <w:spacing w:after="0"/>
            </w:pPr>
            <w:r>
              <w:rPr>
                <w:rFonts w:ascii="Calibri" w:hAnsi="Calibri"/>
                <w:color w:val="333333"/>
                <w:sz w:val="18"/>
              </w:rPr>
              <w:t xml:space="preserve">3, 2, 7, 714, 2, 1, 2, 91 et 3 occurrences ; diagnostic « jetable », non rejouable, sans rapport</w:t>
            </w:r>
          </w:p>
        </w:tc>
        <w:tc>
          <w:tcPr>
            <w:tcW w:type="dxa" w:w="1648"/>
          </w:tcPr>
          <w:p>
            <w:pPr>
              <w:spacing w:after="0"/>
            </w:pPr>
            <w:r>
              <w:rPr>
                <w:rFonts w:ascii="Calibri" w:hAnsi="Calibri"/>
                <w:color w:val="333333"/>
                <w:sz w:val="18"/>
              </w:rPr>
              <w:t xml:space="preserve">Le comptage des formats non standard est saisi en dur (3), repris de l'audit manuel du projet 6</w:t>
            </w:r>
          </w:p>
        </w:tc>
      </w:tr>
      <w:tr>
        <w:trPr>
          <w:cantSplit/>
        </w:trPr>
        <w:tc>
          <w:tcPr>
            <w:tcW w:type="dxa" w:w="1100"/>
          </w:tcPr>
          <w:p>
            <w:pPr>
              <w:spacing w:after="0"/>
            </w:pPr>
            <w:r>
              <w:rPr>
                <w:rFonts w:ascii="Calibri" w:hAnsi="Calibri"/>
                <w:color w:val="333333"/>
                <w:sz w:val="18"/>
              </w:rPr>
              <w:t xml:space="preserve">1.2 Contrat Pandera, corrigé dans la première version complète</w:t>
            </w:r>
          </w:p>
        </w:tc>
        <w:tc>
          <w:tcPr>
            <w:tcW w:type="dxa" w:w="2250"/>
          </w:tcPr>
          <w:p>
            <w:pPr>
              <w:spacing w:after="0"/>
            </w:pPr>
            <w:r>
              <w:rPr>
                <w:rFonts w:ascii="Calibri" w:hAnsi="Calibri"/>
                <w:color w:val="333333"/>
                <w:sz w:val="18"/>
              </w:rPr>
              <w:t xml:space="preserve">Transformer ces neuf contrôles en un schéma typé et réutilisable qui produise un rapport des lignes en infraction sans corriger ; comparer Pandera et Great Expectations (reconstituée, résumé conservé dans le notebook)</w:t>
            </w:r>
          </w:p>
        </w:tc>
        <w:tc>
          <w:tcPr>
            <w:tcW w:type="dxa" w:w="2250"/>
          </w:tcPr>
          <w:p>
            <w:pPr>
              <w:spacing w:after="0"/>
            </w:pPr>
            <w:r>
              <w:rPr>
                <w:rFonts w:ascii="Calibri" w:hAnsi="Calibri"/>
                <w:color w:val="333333"/>
                <w:sz w:val="18"/>
              </w:rPr>
              <w:t xml:space="preserve">DataFrameSchema de six colonnes typées avec contrôles de bornes, unicité et appartenance, plus un contrôle de marge sur l'ensemble du tableau, nommé contrat_qualite_erp, validation en mode lazy</w:t>
            </w:r>
          </w:p>
        </w:tc>
        <w:tc>
          <w:tcPr>
            <w:tcW w:type="dxa" w:w="2050"/>
          </w:tcPr>
          <w:p>
            <w:pPr>
              <w:spacing w:after="0"/>
            </w:pPr>
            <w:r>
              <w:rPr>
                <w:rFonts w:ascii="Calibri" w:hAnsi="Calibri"/>
                <w:color w:val="333333"/>
                <w:sz w:val="18"/>
              </w:rPr>
              <w:t xml:space="preserve">Ébauche : rapport brut de 42 cas pour la marge négative ; version livrée : « 9 lignes en infraction sur 825 lignes ERP (1,1 %) », dont 7 marges négatives, 3 prix et 2 stocks</w:t>
            </w:r>
          </w:p>
        </w:tc>
        <w:tc>
          <w:tcPr>
            <w:tcW w:type="dxa" w:w="1648"/>
          </w:tcPr>
          <w:p>
            <w:pPr>
              <w:spacing w:after="0"/>
            </w:pPr>
            <w:r>
              <w:rPr>
                <w:rFonts w:ascii="Calibri" w:hAnsi="Calibri"/>
                <w:color w:val="333333"/>
                <w:sz w:val="18"/>
              </w:rPr>
              <w:t xml:space="preserve">Confrontation ligne à ligne avec l'audit manuel ; rapport réécrit dans la première version complète pour compter les lignes uniques (sept lignes sur six colonnes donnaient 42 cas)</w:t>
            </w:r>
          </w:p>
        </w:tc>
      </w:tr>
      <w:tr>
        <w:trPr>
          <w:cantSplit/>
        </w:trPr>
        <w:tc>
          <w:tcPr>
            <w:tcW w:type="dxa" w:w="1100"/>
          </w:tcPr>
          <w:p>
            <w:pPr>
              <w:spacing w:after="0"/>
            </w:pPr>
            <w:r>
              <w:rPr>
                <w:rFonts w:ascii="Calibri" w:hAnsi="Calibri"/>
                <w:color w:val="333333"/>
                <w:sz w:val="18"/>
              </w:rPr>
              <w:t xml:space="preserve">1.3 Great Expectations, écarté</w:t>
            </w:r>
          </w:p>
        </w:tc>
        <w:tc>
          <w:tcPr>
            <w:tcW w:type="dxa" w:w="2250"/>
          </w:tcPr>
          <w:p>
            <w:pPr>
              <w:spacing w:after="0"/>
            </w:pPr>
            <w:r>
              <w:rPr>
                <w:rFonts w:ascii="Calibri" w:hAnsi="Calibri"/>
                <w:color w:val="333333"/>
                <w:sz w:val="18"/>
              </w:rPr>
              <w:t xml:space="preserve">Même demande, volet comparaison</w:t>
            </w:r>
          </w:p>
        </w:tc>
        <w:tc>
          <w:tcPr>
            <w:tcW w:type="dxa" w:w="2250"/>
          </w:tcPr>
          <w:p>
            <w:pPr>
              <w:spacing w:after="0"/>
            </w:pPr>
            <w:r>
              <w:rPr>
                <w:rFonts w:ascii="Calibri" w:hAnsi="Calibri"/>
                <w:color w:val="333333"/>
                <w:sz w:val="18"/>
              </w:rPr>
              <w:t xml:space="preserve">Commentaire de la version livrée, réécrit le 25 septembre : « très complet (data docs, store) mais lourd ; Pandera est léger, typé, tient en 14 lignes »</w:t>
            </w:r>
          </w:p>
        </w:tc>
        <w:tc>
          <w:tcPr>
            <w:tcW w:type="dxa" w:w="2050"/>
          </w:tcPr>
          <w:p>
            <w:pPr>
              <w:spacing w:after="0"/>
            </w:pPr>
            <w:r>
              <w:rPr>
                <w:rFonts w:ascii="Calibri" w:hAnsi="Calibri"/>
                <w:color w:val="333333"/>
                <w:sz w:val="18"/>
              </w:rPr>
              <w:t xml:space="preserve">Aucune cellule conservée : comparaison sur la documentation officielle et le poids de mise en œuvre</w:t>
            </w:r>
          </w:p>
        </w:tc>
        <w:tc>
          <w:tcPr>
            <w:tcW w:type="dxa" w:w="1648"/>
          </w:tcPr>
          <w:p>
            <w:pPr>
              <w:spacing w:after="0"/>
            </w:pPr>
            <w:r>
              <w:rPr>
                <w:rFonts w:ascii="Calibri" w:hAnsi="Calibri"/>
                <w:color w:val="333333"/>
                <w:sz w:val="18"/>
              </w:rPr>
              <w:t xml:space="preserve">Motif d'écart reporté dans la veille (3.1) : gardé en réserve pour un pipeline avec gouvernance</w:t>
            </w:r>
          </w:p>
        </w:tc>
      </w:tr>
    </w:tbl>
    <w:p>
      <w:pPr>
        <w:spacing w:after="120"/>
      </w:pPr>
    </w:p>
    <w:p>
      <w:pPr>
        <w:pStyle w:val="Heading2"/>
      </w:pPr>
      <w:bookmarkStart w:id="7028" w:name="_TocP130028"/>
      <w:r>
        <w:t xml:space="preserve">A.2 Axe 2, performance et reproductibilité</w:t>
      </w:r>
      <w:bookmarkEnd w:id="7028"/>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100"/>
        <w:gridCol w:w="2250"/>
        <w:gridCol w:w="2250"/>
        <w:gridCol w:w="2050"/>
        <w:gridCol w:w="1648"/>
      </w:tblGrid>
      <w:tr>
        <w:trPr>
          <w:cantSplit/>
          <w:tblHeader w:val="true"/>
        </w:trPr>
        <w:tc>
          <w:tcPr>
            <w:tcW w:type="dxa" w:w="1100"/>
            <w:shd w:val="clear" w:color="auto" w:fill="1F2937"/>
          </w:tcPr>
          <w:p>
            <w:pPr>
              <w:spacing w:after="0"/>
            </w:pPr>
            <w:r>
              <w:rPr>
                <w:rFonts w:ascii="Calibri" w:hAnsi="Calibri"/>
                <w:b/>
                <w:color w:val="FFFFFF"/>
                <w:sz w:val="18"/>
              </w:rPr>
              <w:t xml:space="preserve">Essai</w:t>
            </w:r>
          </w:p>
        </w:tc>
        <w:tc>
          <w:tcPr>
            <w:tcW w:type="dxa" w:w="2250"/>
            <w:shd w:val="clear" w:color="auto" w:fill="1F2937"/>
          </w:tcPr>
          <w:p>
            <w:pPr>
              <w:spacing w:after="0"/>
            </w:pPr>
            <w:r>
              <w:rPr>
                <w:rFonts w:ascii="Calibri" w:hAnsi="Calibri"/>
                <w:b/>
                <w:color w:val="FFFFFF"/>
                <w:sz w:val="18"/>
              </w:rPr>
              <w:t xml:space="preserve">Demande adressée à l'assistant</w:t>
            </w:r>
          </w:p>
        </w:tc>
        <w:tc>
          <w:tcPr>
            <w:tcW w:type="dxa" w:w="2250"/>
            <w:shd w:val="clear" w:color="auto" w:fill="1F2937"/>
          </w:tcPr>
          <w:p>
            <w:pPr>
              <w:spacing w:after="0"/>
            </w:pPr>
            <w:r>
              <w:rPr>
                <w:rFonts w:ascii="Calibri" w:hAnsi="Calibri"/>
                <w:b/>
                <w:color w:val="FFFFFF"/>
                <w:sz w:val="18"/>
              </w:rPr>
              <w:t xml:space="preserve">Réponse retenue ou écartée (extrait)</w:t>
            </w:r>
          </w:p>
        </w:tc>
        <w:tc>
          <w:tcPr>
            <w:tcW w:type="dxa" w:w="2050"/>
            <w:shd w:val="clear" w:color="auto" w:fill="1F2937"/>
          </w:tcPr>
          <w:p>
            <w:pPr>
              <w:spacing w:after="0"/>
            </w:pPr>
            <w:r>
              <w:rPr>
                <w:rFonts w:ascii="Calibri" w:hAnsi="Calibri"/>
                <w:b/>
                <w:color w:val="FFFFFF"/>
                <w:sz w:val="18"/>
              </w:rPr>
              <w:t xml:space="preserve">Résultat mesuré</w:t>
            </w:r>
          </w:p>
        </w:tc>
        <w:tc>
          <w:tcPr>
            <w:tcW w:type="dxa" w:w="1648"/>
            <w:shd w:val="clear" w:color="auto" w:fill="1F2937"/>
          </w:tcPr>
          <w:p>
            <w:pPr>
              <w:spacing w:after="0"/>
            </w:pPr>
            <w:r>
              <w:rPr>
                <w:rFonts w:ascii="Calibri" w:hAnsi="Calibri"/>
                <w:b/>
                <w:color w:val="FFFFFF"/>
                <w:sz w:val="18"/>
              </w:rPr>
              <w:t xml:space="preserve">Modifié ou vérifié à la main</w:t>
            </w:r>
          </w:p>
        </w:tc>
      </w:tr>
      <w:tr>
        <w:trPr>
          <w:cantSplit/>
        </w:trPr>
        <w:tc>
          <w:tcPr>
            <w:tcW w:type="dxa" w:w="1100"/>
          </w:tcPr>
          <w:p>
            <w:pPr>
              <w:spacing w:after="0"/>
            </w:pPr>
            <w:r>
              <w:rPr>
                <w:rFonts w:ascii="Calibri" w:hAnsi="Calibri"/>
                <w:color w:val="333333"/>
                <w:sz w:val="18"/>
              </w:rPr>
              <w:t xml:space="preserve">2.1 Trois outils à la volumétrie réelle</w:t>
            </w:r>
          </w:p>
        </w:tc>
        <w:tc>
          <w:tcPr>
            <w:tcW w:type="dxa" w:w="2250"/>
          </w:tcPr>
          <w:p>
            <w:pPr>
              <w:spacing w:after="0"/>
            </w:pPr>
            <w:r>
              <w:rPr>
                <w:rFonts w:ascii="Calibri" w:hAnsi="Calibri"/>
                <w:color w:val="333333"/>
                <w:sz w:val="18"/>
              </w:rPr>
              <w:t xml:space="preserve">Réécrire la jointure et l'agrégation dans Polars et DuckDB en gardant pandas, vérifier l'égalité des résultats, comparer en temps médian sur plusieurs exécutions (reconstituée)</w:t>
            </w:r>
          </w:p>
        </w:tc>
        <w:tc>
          <w:tcPr>
            <w:tcW w:type="dxa" w:w="2250"/>
          </w:tcPr>
          <w:p>
            <w:pPr>
              <w:spacing w:after="0"/>
            </w:pPr>
            <w:r>
              <w:rPr>
                <w:rFonts w:ascii="Calibri" w:hAnsi="Calibri"/>
                <w:color w:val="333333"/>
                <w:sz w:val="18"/>
              </w:rPr>
              <w:t xml:space="preserve">Trois fonctions pipe_pandas, pipe_polars, pipe_duckdb et une mesure bench sur sept exécutions, temps médian en millisecondes</w:t>
            </w:r>
          </w:p>
        </w:tc>
        <w:tc>
          <w:tcPr>
            <w:tcW w:type="dxa" w:w="2050"/>
          </w:tcPr>
          <w:p>
            <w:pPr>
              <w:spacing w:after="0"/>
            </w:pPr>
            <w:r>
              <w:rPr>
                <w:rFonts w:ascii="Calibri" w:hAnsi="Calibri"/>
                <w:b w:val="0"/>
                <w:color w:val="333333"/>
                <w:sz w:val="18"/>
              </w:rPr>
              <w:t xml:space="preserve">825 lignes : ébauche 5,27 / 1,59 / 22,11 ms ; première version 9,65 / 4,10 / 39,07 ms ; version livrée 9,94 / 2,53 / 32,33 ms ; 25 septembre, mon poste, 4,70 / 2,07 / 26,66 ms (pandas, Polars, DuckDB). Autres mesures dans le journal</w:t>
            </w:r>
          </w:p>
        </w:tc>
        <w:tc>
          <w:tcPr>
            <w:tcW w:type="dxa" w:w="1648"/>
          </w:tcPr>
          <w:p>
            <w:pPr>
              <w:spacing w:after="0"/>
            </w:pPr>
            <w:r>
              <w:rPr>
                <w:rFonts w:ascii="Calibri" w:hAnsi="Calibri"/>
                <w:color w:val="333333"/>
                <w:sz w:val="18"/>
              </w:rPr>
              <w:t xml:space="preserve">Résultats de chaque outil comparés au résultat pandas avant toute mesure ; lenteur de DuckDB notée comme effet d'initialisation</w:t>
            </w:r>
          </w:p>
        </w:tc>
      </w:tr>
      <w:tr>
        <w:trPr>
          <w:cantSplit/>
        </w:trPr>
        <w:tc>
          <w:tcPr>
            <w:tcW w:type="dxa" w:w="1100"/>
          </w:tcPr>
          <w:p>
            <w:pPr>
              <w:spacing w:after="0"/>
            </w:pPr>
            <w:r>
              <w:rPr>
                <w:rFonts w:ascii="Calibri" w:hAnsi="Calibri"/>
                <w:color w:val="333333"/>
                <w:sz w:val="18"/>
              </w:rPr>
              <w:t xml:space="preserve">2.2 Montée en charge, rejouée à chaque version</w:t>
            </w:r>
          </w:p>
        </w:tc>
        <w:tc>
          <w:tcPr>
            <w:tcW w:type="dxa" w:w="2250"/>
          </w:tcPr>
          <w:p>
            <w:pPr>
              <w:spacing w:after="0"/>
            </w:pPr>
            <w:r>
              <w:rPr>
                <w:rFonts w:ascii="Calibri" w:hAnsi="Calibri"/>
                <w:color w:val="333333"/>
                <w:sz w:val="18"/>
              </w:rPr>
              <w:t xml:space="preserve">Rejouer la comparaison sur deux millions de ventes et cinquante mille produits générés avec une graine fixe, en facteur par rapport à pandas (reconstituée)</w:t>
            </w:r>
          </w:p>
        </w:tc>
        <w:tc>
          <w:tcPr>
            <w:tcW w:type="dxa" w:w="2250"/>
          </w:tcPr>
          <w:p>
            <w:pPr>
              <w:spacing w:after="0"/>
            </w:pPr>
            <w:r>
              <w:rPr>
                <w:rFonts w:ascii="Calibri" w:hAnsi="Calibri"/>
                <w:color w:val="333333"/>
                <w:sz w:val="18"/>
              </w:rPr>
              <w:t xml:space="preserve">Jeu synthétique numpy default_rng(SEED), NPROD 50 000, NSALES 2 000 000, mêmes trois implémentations, médiane de cinq exécutions</w:t>
            </w:r>
          </w:p>
        </w:tc>
        <w:tc>
          <w:tcPr>
            <w:tcW w:type="dxa" w:w="2050"/>
          </w:tcPr>
          <w:p>
            <w:pPr>
              <w:spacing w:after="0"/>
            </w:pPr>
            <w:r>
              <w:rPr>
                <w:rFonts w:ascii="Calibri" w:hAnsi="Calibri"/>
                <w:b w:val="0"/>
                <w:color w:val="333333"/>
                <w:sz w:val="18"/>
              </w:rPr>
              <w:t xml:space="preserve">Facteurs Polars et DuckDB : 5,9 et 3,7 (ébauche), 3,5 et 2,9 (première version), 4,1 et 2,9 (exécution livrée), 8,1 et 5,7 (25 septembre, mon poste). Mesures du 28 septembre dans le journal (fichier 02)</w:t>
            </w:r>
          </w:p>
        </w:tc>
        <w:tc>
          <w:tcPr>
            <w:tcW w:type="dxa" w:w="1648"/>
          </w:tcPr>
          <w:p>
            <w:pPr>
              <w:spacing w:after="0"/>
            </w:pPr>
            <w:r>
              <w:rPr>
                <w:rFonts w:ascii="Calibri" w:hAnsi="Calibri"/>
                <w:b w:val="0"/>
                <w:color w:val="333333"/>
                <w:sz w:val="18"/>
              </w:rPr>
              <w:t xml:space="preserve">Conclusion réécrite dans la première version complète pour ne publier qu'un ordre de grandeur ; depuis le 28 septembre, le dossier cite deux mesures (exécution livrée et 25 septembre)</w:t>
            </w:r>
          </w:p>
        </w:tc>
      </w:tr>
      <w:tr>
        <w:trPr>
          <w:cantSplit/>
        </w:trPr>
        <w:tc>
          <w:tcPr>
            <w:tcW w:type="dxa" w:w="1100"/>
          </w:tcPr>
          <w:p>
            <w:pPr>
              <w:spacing w:after="0"/>
            </w:pPr>
            <w:r>
              <w:rPr>
                <w:rFonts w:ascii="Calibri" w:hAnsi="Calibri"/>
                <w:color w:val="333333"/>
                <w:sz w:val="18"/>
              </w:rPr>
              <w:t xml:space="preserve">2.3 Reproductibilité, première version et version livrée</w:t>
            </w:r>
          </w:p>
        </w:tc>
        <w:tc>
          <w:tcPr>
            <w:tcW w:type="dxa" w:w="2250"/>
          </w:tcPr>
          <w:p>
            <w:pPr>
              <w:spacing w:after="0"/>
            </w:pPr>
            <w:r>
              <w:rPr>
                <w:rFonts w:ascii="Calibri" w:hAnsi="Calibri"/>
                <w:color w:val="333333"/>
                <w:sz w:val="18"/>
              </w:rPr>
              <w:t xml:space="preserve">Faire tourner le notebook de bout en bout sur un poste vierge : graine, chemins relatifs avec message clair, versions affichées (reconstituée)</w:t>
            </w:r>
          </w:p>
        </w:tc>
        <w:tc>
          <w:tcPr>
            <w:tcW w:type="dxa" w:w="2250"/>
          </w:tcPr>
          <w:p>
            <w:pPr>
              <w:spacing w:after="0"/>
            </w:pPr>
            <w:r>
              <w:rPr>
                <w:rFonts w:ascii="Calibri" w:hAnsi="Calibri"/>
                <w:color w:val="333333"/>
                <w:sz w:val="18"/>
              </w:rPr>
              <w:t xml:space="preserve">SEED = 42 partout, recherche du dossier de données parmi quatre emplacements avec assertion explicite, cellule finale listant les versions</w:t>
            </w:r>
          </w:p>
        </w:tc>
        <w:tc>
          <w:tcPr>
            <w:tcW w:type="dxa" w:w="2050"/>
          </w:tcPr>
          <w:p>
            <w:pPr>
              <w:spacing w:after="0"/>
            </w:pPr>
            <w:r>
              <w:rPr>
                <w:rFonts w:ascii="Calibri" w:hAnsi="Calibri"/>
                <w:b w:val="0"/>
                <w:color w:val="333333"/>
                <w:sz w:val="18"/>
              </w:rPr>
              <w:t xml:space="preserve">Résultats métier identiques aux trois exécutions, puis le 25 septembre sur mon poste (autres versions), le 28 septembre chez l'assistant et le 30 septembre sur mon poste, chaque fois dans un environnement neuf (versions du requirements.txt). Versions de l'exécution livrée : pandas 3.0.2, scikit-learn 1.8.0, pandera 0.32.1, polars 1.43.2, duckdb 1.5.5, shap 0.51.0</w:t>
            </w:r>
          </w:p>
        </w:tc>
        <w:tc>
          <w:tcPr>
            <w:tcW w:type="dxa" w:w="1648"/>
          </w:tcPr>
          <w:p>
            <w:pPr>
              <w:spacing w:after="0"/>
            </w:pPr>
            <w:r>
              <w:rPr>
                <w:rFonts w:ascii="Calibri" w:hAnsi="Calibri"/>
                <w:b w:val="0"/>
                <w:color w:val="333333"/>
                <w:sz w:val="18"/>
              </w:rPr>
              <w:t xml:space="preserve">requirements.txt et README ajoutés le 17 septembre dans le dossier de dépôt ; installation vérifiée dans un environnement neuf le 28 septembre par l'assistant, puis le 30 septembre sur mon poste</w:t>
            </w:r>
          </w:p>
        </w:tc>
      </w:tr>
    </w:tbl>
    <w:p>
      <w:pPr>
        <w:spacing w:after="120"/>
      </w:pPr>
    </w:p>
    <w:p>
      <w:pPr>
        <w:pStyle w:val="Heading2"/>
      </w:pPr>
      <w:bookmarkStart w:id="7029" w:name="_TocP130029"/>
      <w:r>
        <w:t xml:space="preserve">A.3 Axe 3, détection d'anomalies</w:t>
      </w:r>
      <w:bookmarkEnd w:id="7029"/>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100"/>
        <w:gridCol w:w="2250"/>
        <w:gridCol w:w="2250"/>
        <w:gridCol w:w="2050"/>
        <w:gridCol w:w="1648"/>
      </w:tblGrid>
      <w:tr>
        <w:trPr>
          <w:cantSplit/>
          <w:tblHeader w:val="true"/>
        </w:trPr>
        <w:tc>
          <w:tcPr>
            <w:tcW w:type="dxa" w:w="1100"/>
            <w:shd w:val="clear" w:color="auto" w:fill="1F2937"/>
          </w:tcPr>
          <w:p>
            <w:pPr>
              <w:spacing w:after="0"/>
            </w:pPr>
            <w:r>
              <w:rPr>
                <w:rFonts w:ascii="Calibri" w:hAnsi="Calibri"/>
                <w:b/>
                <w:color w:val="FFFFFF"/>
                <w:sz w:val="18"/>
              </w:rPr>
              <w:t xml:space="preserve">Essai</w:t>
            </w:r>
          </w:p>
        </w:tc>
        <w:tc>
          <w:tcPr>
            <w:tcW w:type="dxa" w:w="2250"/>
            <w:shd w:val="clear" w:color="auto" w:fill="1F2937"/>
          </w:tcPr>
          <w:p>
            <w:pPr>
              <w:spacing w:after="0"/>
            </w:pPr>
            <w:r>
              <w:rPr>
                <w:rFonts w:ascii="Calibri" w:hAnsi="Calibri"/>
                <w:b/>
                <w:color w:val="FFFFFF"/>
                <w:sz w:val="18"/>
              </w:rPr>
              <w:t xml:space="preserve">Demande adressée à l'assistant</w:t>
            </w:r>
          </w:p>
        </w:tc>
        <w:tc>
          <w:tcPr>
            <w:tcW w:type="dxa" w:w="2250"/>
            <w:shd w:val="clear" w:color="auto" w:fill="1F2937"/>
          </w:tcPr>
          <w:p>
            <w:pPr>
              <w:spacing w:after="0"/>
            </w:pPr>
            <w:r>
              <w:rPr>
                <w:rFonts w:ascii="Calibri" w:hAnsi="Calibri"/>
                <w:b/>
                <w:color w:val="FFFFFF"/>
                <w:sz w:val="18"/>
              </w:rPr>
              <w:t xml:space="preserve">Réponse retenue ou écartée (extrait)</w:t>
            </w:r>
          </w:p>
        </w:tc>
        <w:tc>
          <w:tcPr>
            <w:tcW w:type="dxa" w:w="2050"/>
            <w:shd w:val="clear" w:color="auto" w:fill="1F2937"/>
          </w:tcPr>
          <w:p>
            <w:pPr>
              <w:spacing w:after="0"/>
            </w:pPr>
            <w:r>
              <w:rPr>
                <w:rFonts w:ascii="Calibri" w:hAnsi="Calibri"/>
                <w:b/>
                <w:color w:val="FFFFFF"/>
                <w:sz w:val="18"/>
              </w:rPr>
              <w:t xml:space="preserve">Résultat mesuré</w:t>
            </w:r>
          </w:p>
        </w:tc>
        <w:tc>
          <w:tcPr>
            <w:tcW w:type="dxa" w:w="1648"/>
            <w:shd w:val="clear" w:color="auto" w:fill="1F2937"/>
          </w:tcPr>
          <w:p>
            <w:pPr>
              <w:spacing w:after="0"/>
            </w:pPr>
            <w:r>
              <w:rPr>
                <w:rFonts w:ascii="Calibri" w:hAnsi="Calibri"/>
                <w:b/>
                <w:color w:val="FFFFFF"/>
                <w:sz w:val="18"/>
              </w:rPr>
              <w:t xml:space="preserve">Modifié ou vérifié à la main</w:t>
            </w:r>
          </w:p>
        </w:tc>
      </w:tr>
      <w:tr>
        <w:trPr>
          <w:cantSplit/>
        </w:trPr>
        <w:tc>
          <w:tcPr>
            <w:tcW w:type="dxa" w:w="1100"/>
          </w:tcPr>
          <w:p>
            <w:pPr>
              <w:spacing w:after="0"/>
            </w:pPr>
            <w:r>
              <w:rPr>
                <w:rFonts w:ascii="Calibri" w:hAnsi="Calibri"/>
                <w:color w:val="333333"/>
                <w:sz w:val="18"/>
              </w:rPr>
              <w:t xml:space="preserve">3.1 Méthode existante</w:t>
            </w:r>
          </w:p>
        </w:tc>
        <w:tc>
          <w:tcPr>
            <w:tcW w:type="dxa" w:w="2250"/>
          </w:tcPr>
          <w:p>
            <w:pPr>
              <w:spacing w:after="0"/>
            </w:pPr>
            <w:r>
              <w:rPr>
                <w:rFonts w:ascii="Calibri" w:hAnsi="Calibri"/>
                <w:color w:val="333333"/>
                <w:sz w:val="18"/>
              </w:rPr>
              <w:t xml:space="preserve">Reprendre la détection par écart type sur le prix du projet 6 et compter ses anomalies sur le périmètre rapproché (reconstituée)</w:t>
            </w:r>
          </w:p>
        </w:tc>
        <w:tc>
          <w:tcPr>
            <w:tcW w:type="dxa" w:w="2250"/>
          </w:tcPr>
          <w:p>
            <w:pPr>
              <w:spacing w:after="0"/>
            </w:pPr>
            <w:r>
              <w:rPr>
                <w:rFonts w:ascii="Calibri" w:hAnsi="Calibri"/>
                <w:color w:val="333333"/>
                <w:sz w:val="18"/>
              </w:rPr>
              <w:t xml:space="preserve">Score z sur le prix, seuil de 3 en valeur absolue</w:t>
            </w:r>
          </w:p>
        </w:tc>
        <w:tc>
          <w:tcPr>
            <w:tcW w:type="dxa" w:w="2050"/>
          </w:tcPr>
          <w:p>
            <w:pPr>
              <w:spacing w:after="0"/>
            </w:pPr>
            <w:r>
              <w:rPr>
                <w:rFonts w:ascii="Calibri" w:hAnsi="Calibri"/>
                <w:color w:val="333333"/>
                <w:sz w:val="18"/>
              </w:rPr>
              <w:t xml:space="preserve">13 anomalies (prix moyen 32,33 euros, écart type 27,60)</w:t>
            </w:r>
          </w:p>
        </w:tc>
        <w:tc>
          <w:tcPr>
            <w:tcW w:type="dxa" w:w="1648"/>
          </w:tcPr>
          <w:p>
            <w:pPr>
              <w:spacing w:after="0"/>
            </w:pPr>
            <w:r>
              <w:rPr>
                <w:rFonts w:ascii="Calibri" w:hAnsi="Calibri"/>
                <w:color w:val="333333"/>
                <w:sz w:val="18"/>
              </w:rPr>
              <w:t xml:space="preserve">Limite écrite à la main : méthode univariée, aveugle aux combinaisons suspectes</w:t>
            </w:r>
          </w:p>
        </w:tc>
      </w:tr>
      <w:tr>
        <w:trPr>
          <w:cantSplit/>
        </w:trPr>
        <w:tc>
          <w:tcPr>
            <w:tcW w:type="dxa" w:w="1100"/>
          </w:tcPr>
          <w:p>
            <w:pPr>
              <w:spacing w:after="0"/>
            </w:pPr>
            <w:r>
              <w:rPr>
                <w:rFonts w:ascii="Calibri" w:hAnsi="Calibri"/>
                <w:color w:val="333333"/>
                <w:sz w:val="18"/>
              </w:rPr>
              <w:t xml:space="preserve">3.2 Isolation Forest</w:t>
            </w:r>
          </w:p>
        </w:tc>
        <w:tc>
          <w:tcPr>
            <w:tcW w:type="dxa" w:w="2250"/>
          </w:tcPr>
          <w:p>
            <w:pPr>
              <w:spacing w:after="0"/>
            </w:pPr>
            <w:r>
              <w:rPr>
                <w:rFonts w:ascii="Calibri" w:hAnsi="Calibri"/>
                <w:color w:val="333333"/>
                <w:sz w:val="18"/>
              </w:rPr>
              <w:t xml:space="preserve">Proposer une détection sur cinq variables à la fois, peu de réglages, graine fixée, comparer à l'existant et montrer les cas qu'elle seule détecte, sans correction automatique (reconstituée, résumé conservé)</w:t>
            </w:r>
          </w:p>
        </w:tc>
        <w:tc>
          <w:tcPr>
            <w:tcW w:type="dxa" w:w="2250"/>
          </w:tcPr>
          <w:p>
            <w:pPr>
              <w:spacing w:after="0"/>
            </w:pPr>
            <w:r>
              <w:rPr>
                <w:rFonts w:ascii="Calibri" w:hAnsi="Calibri"/>
                <w:color w:val="333333"/>
                <w:sz w:val="18"/>
              </w:rPr>
              <w:t xml:space="preserve">IsolationForest(contamination=0.05, n_estimators=200, random_state=SEED) sur prix, prix d'achat, stock, ventes, taux de marge</w:t>
            </w:r>
          </w:p>
        </w:tc>
        <w:tc>
          <w:tcPr>
            <w:tcW w:type="dxa" w:w="2050"/>
          </w:tcPr>
          <w:p>
            <w:pPr>
              <w:spacing w:after="0"/>
            </w:pPr>
            <w:r>
              <w:rPr>
                <w:rFonts w:ascii="Calibri" w:hAnsi="Calibri"/>
                <w:color w:val="333333"/>
                <w:sz w:val="18"/>
              </w:rPr>
              <w:t xml:space="preserve">36 anomalies contre 13, 10 communes, 26 supplémentaires ; cas le plus parlant : une référence affichée à 12,65 euros pour 77,48 euros d'achat, sans vente en octobre</w:t>
            </w:r>
          </w:p>
        </w:tc>
        <w:tc>
          <w:tcPr>
            <w:tcW w:type="dxa" w:w="1648"/>
          </w:tcPr>
          <w:p>
            <w:pPr>
              <w:spacing w:after="0"/>
            </w:pPr>
            <w:r>
              <w:rPr>
                <w:rFonts w:ascii="Calibri" w:hAnsi="Calibri"/>
                <w:color w:val="333333"/>
                <w:sz w:val="18"/>
              </w:rPr>
              <w:t xml:space="preserve">26 références inspectées une à une ; taux d'anomalies noté comme réglage à valider avec le métier ; figure relue</w:t>
            </w:r>
          </w:p>
        </w:tc>
      </w:tr>
      <w:tr>
        <w:trPr>
          <w:cantSplit/>
        </w:trPr>
        <w:tc>
          <w:tcPr>
            <w:tcW w:type="dxa" w:w="1100"/>
          </w:tcPr>
          <w:p>
            <w:pPr>
              <w:spacing w:after="0"/>
            </w:pPr>
            <w:r>
              <w:rPr>
                <w:rFonts w:ascii="Calibri" w:hAnsi="Calibri"/>
                <w:color w:val="333333"/>
                <w:sz w:val="18"/>
              </w:rPr>
              <w:t xml:space="preserve">3.3 Local Outlier Factor, ébauche puis 17 septembre 2026</w:t>
            </w:r>
          </w:p>
        </w:tc>
        <w:tc>
          <w:tcPr>
            <w:tcW w:type="dxa" w:w="2250"/>
          </w:tcPr>
          <w:p>
            <w:pPr>
              <w:spacing w:after="0"/>
            </w:pPr>
            <w:r>
              <w:rPr>
                <w:rFonts w:ascii="Calibri" w:hAnsi="Calibri"/>
                <w:color w:val="333333"/>
                <w:sz w:val="18"/>
              </w:rPr>
              <w:t xml:space="preserve">Ébauche : évaluer une méthode de voisinage local (reconstituée). 17 septembre : recommandation A8 de l'audit, littérale : « une note d'essai pour Local Outlier Factor »</w:t>
            </w:r>
          </w:p>
        </w:tc>
        <w:tc>
          <w:tcPr>
            <w:tcW w:type="dxa" w:w="2250"/>
          </w:tcPr>
          <w:p>
            <w:pPr>
              <w:spacing w:after="0"/>
            </w:pPr>
            <w:r>
              <w:rPr>
                <w:rFonts w:ascii="Calibri" w:hAnsi="Calibri"/>
                <w:color w:val="333333"/>
                <w:sz w:val="18"/>
              </w:rPr>
              <w:t xml:space="preserve">Commentaire de la version livrée, réécrit le 25 septembre : « sensible au paramètre de voisinage et moins stable ici ». 17 septembre : LocalOutlierFactor sur les mêmes variables standardisées, 5 à 50 voisins, indice de Jaccard entre réglages</w:t>
            </w:r>
          </w:p>
        </w:tc>
        <w:tc>
          <w:tcPr>
            <w:tcW w:type="dxa" w:w="2050"/>
          </w:tcPr>
          <w:p>
            <w:pPr>
              <w:spacing w:after="0"/>
            </w:pPr>
            <w:r>
              <w:rPr>
                <w:rFonts w:ascii="Calibri" w:hAnsi="Calibri"/>
                <w:color w:val="333333"/>
                <w:sz w:val="18"/>
              </w:rPr>
              <w:t xml:space="preserve">17 septembre : 36 anomalies à chaque réglage, mais 11 à 22 communes avec Isolation Forest et un Jaccard de 0,41 entre 20 et 35 voisins. Isolation Forest garde un indice de Jaccard de 0,80 à 0,85 (32 à 33 références communes sur 36) quand seule la graine change</w:t>
            </w:r>
          </w:p>
        </w:tc>
        <w:tc>
          <w:tcPr>
            <w:tcW w:type="dxa" w:w="1648"/>
          </w:tcPr>
          <w:p>
            <w:pPr>
              <w:spacing w:after="0"/>
            </w:pPr>
            <w:r>
              <w:rPr>
                <w:rFonts w:ascii="Calibri" w:hAnsi="Calibri"/>
                <w:color w:val="333333"/>
                <w:sz w:val="18"/>
              </w:rPr>
              <w:t xml:space="preserve">Critère de stabilité choisi à la main ; écart de l'ébauche confirmé et rendu rejouable dans le notebook complémentaire</w:t>
            </w:r>
          </w:p>
        </w:tc>
      </w:tr>
    </w:tbl>
    <w:p>
      <w:pPr>
        <w:spacing w:after="120"/>
      </w:pPr>
    </w:p>
    <w:p>
      <w:pPr>
        <w:pStyle w:val="Heading2"/>
      </w:pPr>
      <w:bookmarkStart w:id="7030" w:name="_TocP130030"/>
      <w:r>
        <w:t xml:space="preserve">A.4 Axe 4, interprétabilité et documentation</w:t>
      </w:r>
      <w:bookmarkEnd w:id="7030"/>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100"/>
        <w:gridCol w:w="2250"/>
        <w:gridCol w:w="2250"/>
        <w:gridCol w:w="2050"/>
        <w:gridCol w:w="1648"/>
      </w:tblGrid>
      <w:tr>
        <w:trPr>
          <w:cantSplit/>
          <w:tblHeader w:val="true"/>
        </w:trPr>
        <w:tc>
          <w:tcPr>
            <w:tcW w:type="dxa" w:w="1100"/>
            <w:shd w:val="clear" w:color="auto" w:fill="1F2937"/>
          </w:tcPr>
          <w:p>
            <w:pPr>
              <w:spacing w:after="0"/>
            </w:pPr>
            <w:r>
              <w:rPr>
                <w:rFonts w:ascii="Calibri" w:hAnsi="Calibri"/>
                <w:b/>
                <w:color w:val="FFFFFF"/>
                <w:sz w:val="18"/>
              </w:rPr>
              <w:t xml:space="preserve">Essai</w:t>
            </w:r>
          </w:p>
        </w:tc>
        <w:tc>
          <w:tcPr>
            <w:tcW w:type="dxa" w:w="2250"/>
            <w:shd w:val="clear" w:color="auto" w:fill="1F2937"/>
          </w:tcPr>
          <w:p>
            <w:pPr>
              <w:spacing w:after="0"/>
            </w:pPr>
            <w:r>
              <w:rPr>
                <w:rFonts w:ascii="Calibri" w:hAnsi="Calibri"/>
                <w:b/>
                <w:color w:val="FFFFFF"/>
                <w:sz w:val="18"/>
              </w:rPr>
              <w:t xml:space="preserve">Demande adressée à l'assistant</w:t>
            </w:r>
          </w:p>
        </w:tc>
        <w:tc>
          <w:tcPr>
            <w:tcW w:type="dxa" w:w="2250"/>
            <w:shd w:val="clear" w:color="auto" w:fill="1F2937"/>
          </w:tcPr>
          <w:p>
            <w:pPr>
              <w:spacing w:after="0"/>
            </w:pPr>
            <w:r>
              <w:rPr>
                <w:rFonts w:ascii="Calibri" w:hAnsi="Calibri"/>
                <w:b/>
                <w:color w:val="FFFFFF"/>
                <w:sz w:val="18"/>
              </w:rPr>
              <w:t xml:space="preserve">Réponse retenue ou écartée (extrait)</w:t>
            </w:r>
          </w:p>
        </w:tc>
        <w:tc>
          <w:tcPr>
            <w:tcW w:type="dxa" w:w="2050"/>
            <w:shd w:val="clear" w:color="auto" w:fill="1F2937"/>
          </w:tcPr>
          <w:p>
            <w:pPr>
              <w:spacing w:after="0"/>
            </w:pPr>
            <w:r>
              <w:rPr>
                <w:rFonts w:ascii="Calibri" w:hAnsi="Calibri"/>
                <w:b/>
                <w:color w:val="FFFFFF"/>
                <w:sz w:val="18"/>
              </w:rPr>
              <w:t xml:space="preserve">Résultat mesuré</w:t>
            </w:r>
          </w:p>
        </w:tc>
        <w:tc>
          <w:tcPr>
            <w:tcW w:type="dxa" w:w="1648"/>
            <w:shd w:val="clear" w:color="auto" w:fill="1F2937"/>
          </w:tcPr>
          <w:p>
            <w:pPr>
              <w:spacing w:after="0"/>
            </w:pPr>
            <w:r>
              <w:rPr>
                <w:rFonts w:ascii="Calibri" w:hAnsi="Calibri"/>
                <w:b/>
                <w:color w:val="FFFFFF"/>
                <w:sz w:val="18"/>
              </w:rPr>
              <w:t xml:space="preserve">Modifié ou vérifié à la main</w:t>
            </w:r>
          </w:p>
        </w:tc>
      </w:tr>
      <w:tr>
        <w:trPr>
          <w:cantSplit/>
        </w:trPr>
        <w:tc>
          <w:tcPr>
            <w:tcW w:type="dxa" w:w="1100"/>
          </w:tcPr>
          <w:p>
            <w:pPr>
              <w:spacing w:after="0"/>
            </w:pPr>
            <w:r>
              <w:rPr>
                <w:rFonts w:ascii="Calibri" w:hAnsi="Calibri"/>
                <w:color w:val="333333"/>
                <w:sz w:val="18"/>
              </w:rPr>
              <w:t xml:space="preserve">4.1 Modéliser le volume de ventes</w:t>
            </w:r>
          </w:p>
        </w:tc>
        <w:tc>
          <w:tcPr>
            <w:tcW w:type="dxa" w:w="2250"/>
          </w:tcPr>
          <w:p>
            <w:pPr>
              <w:spacing w:after="0"/>
            </w:pPr>
            <w:r>
              <w:rPr>
                <w:rFonts w:ascii="Calibri" w:hAnsi="Calibri"/>
                <w:color w:val="333333"/>
                <w:sz w:val="18"/>
              </w:rPr>
              <w:t xml:space="preserve">Modéliser le volume de ventes avec un modèle léger, 75 % pour l'apprentissage, 25 % pour le test, graine fixée, pouvoir explicatif et erreur en unités (reconstituée)</w:t>
            </w:r>
          </w:p>
        </w:tc>
        <w:tc>
          <w:tcPr>
            <w:tcW w:type="dxa" w:w="2250"/>
          </w:tcPr>
          <w:p>
            <w:pPr>
              <w:spacing w:after="0"/>
            </w:pPr>
            <w:r>
              <w:rPr>
                <w:rFonts w:ascii="Calibri" w:hAnsi="Calibri"/>
                <w:color w:val="333333"/>
                <w:sz w:val="18"/>
              </w:rPr>
              <w:t xml:space="preserve">GradientBoostingRegressor(n_estimators=300, max_depth=3, learning_rate=0.05, random_state=SEED) sur sept variables</w:t>
            </w:r>
          </w:p>
        </w:tc>
        <w:tc>
          <w:tcPr>
            <w:tcW w:type="dxa" w:w="2050"/>
          </w:tcPr>
          <w:p>
            <w:pPr>
              <w:spacing w:after="0"/>
            </w:pPr>
            <w:r>
              <w:rPr>
                <w:rFonts w:ascii="Calibri" w:hAnsi="Calibri"/>
                <w:b w:val="0"/>
                <w:color w:val="333333"/>
                <w:sz w:val="18"/>
              </w:rPr>
              <w:t xml:space="preserve">R² de 0,724 et erreur absolue moyenne de 1,54 unité sur le jeu de test, identiques à chaque exécution, dont celles des 25, 28 et 30 septembre</w:t>
            </w:r>
          </w:p>
        </w:tc>
        <w:tc>
          <w:tcPr>
            <w:tcW w:type="dxa" w:w="1648"/>
          </w:tcPr>
          <w:p>
            <w:pPr>
              <w:spacing w:after="0"/>
            </w:pPr>
            <w:r>
              <w:rPr>
                <w:rFonts w:ascii="Calibri" w:hAnsi="Calibri"/>
                <w:color w:val="333333"/>
                <w:sz w:val="18"/>
              </w:rPr>
              <w:t xml:space="preserve">Modèle gardé peu profond ; résultat rapporté aux critères du cahier des charges (0,60 et 3 unités)</w:t>
            </w:r>
          </w:p>
        </w:tc>
      </w:tr>
      <w:tr>
        <w:trPr>
          <w:cantSplit/>
        </w:trPr>
        <w:tc>
          <w:tcPr>
            <w:tcW w:type="dxa" w:w="1100"/>
          </w:tcPr>
          <w:p>
            <w:pPr>
              <w:spacing w:after="0"/>
            </w:pPr>
            <w:r>
              <w:rPr>
                <w:rFonts w:ascii="Calibri" w:hAnsi="Calibri"/>
                <w:color w:val="333333"/>
                <w:sz w:val="18"/>
              </w:rPr>
              <w:t xml:space="preserve">4.2 Valeurs de Shapley</w:t>
            </w:r>
          </w:p>
        </w:tc>
        <w:tc>
          <w:tcPr>
            <w:tcW w:type="dxa" w:w="2250"/>
          </w:tcPr>
          <w:p>
            <w:pPr>
              <w:spacing w:after="0"/>
            </w:pPr>
            <w:r>
              <w:rPr>
                <w:rFonts w:ascii="Calibri" w:hAnsi="Calibri"/>
                <w:color w:val="333333"/>
                <w:sz w:val="18"/>
              </w:rPr>
              <w:t xml:space="preserve">Expliquer les facteurs globalement et référence par référence avec l'explicateur dédié aux arbres, figure lisible par un non-technicien (reconstituée)</w:t>
            </w:r>
          </w:p>
        </w:tc>
        <w:tc>
          <w:tcPr>
            <w:tcW w:type="dxa" w:w="2250"/>
          </w:tcPr>
          <w:p>
            <w:pPr>
              <w:spacing w:after="0"/>
            </w:pPr>
            <w:r>
              <w:rPr>
                <w:rFonts w:ascii="Calibri" w:hAnsi="Calibri"/>
                <w:color w:val="333333"/>
                <w:sz w:val="18"/>
              </w:rPr>
              <w:t xml:space="preserve">shap.TreeExplainer(gb), shap_values sur le jeu de test, summary_plot</w:t>
            </w:r>
          </w:p>
        </w:tc>
        <w:tc>
          <w:tcPr>
            <w:tcW w:type="dxa" w:w="2050"/>
          </w:tcPr>
          <w:p>
            <w:pPr>
              <w:spacing w:after="0"/>
            </w:pPr>
            <w:r>
              <w:rPr>
                <w:rFonts w:ascii="Calibri" w:hAnsi="Calibri"/>
                <w:color w:val="333333"/>
                <w:sz w:val="18"/>
              </w:rPr>
              <w:t xml:space="preserve">Stock disponible premier facteur, devant le prix d'achat et le taux de marge ; notes et avis à zéro, faute d'avis sur le site (lecture corrigée le 24 septembre 2026)</w:t>
            </w:r>
          </w:p>
        </w:tc>
        <w:tc>
          <w:tcPr>
            <w:tcW w:type="dxa" w:w="1648"/>
          </w:tcPr>
          <w:p>
            <w:pPr>
              <w:spacing w:after="0"/>
            </w:pPr>
            <w:r>
              <w:rPr>
                <w:rFonts w:ascii="Calibri" w:hAnsi="Calibri"/>
                <w:color w:val="333333"/>
                <w:sz w:val="18"/>
              </w:rPr>
              <w:t xml:space="preserve">Risque de lecture causale relevé et traité en section 7 ; recommandation de réassort écrite à la main</w:t>
            </w:r>
          </w:p>
        </w:tc>
      </w:tr>
      <w:tr>
        <w:trPr>
          <w:cantSplit/>
        </w:trPr>
        <w:tc>
          <w:tcPr>
            <w:tcW w:type="dxa" w:w="1100"/>
          </w:tcPr>
          <w:p>
            <w:pPr>
              <w:spacing w:after="0"/>
            </w:pPr>
            <w:r>
              <w:rPr>
                <w:rFonts w:ascii="Calibri" w:hAnsi="Calibri"/>
                <w:color w:val="333333"/>
                <w:sz w:val="18"/>
              </w:rPr>
              <w:t xml:space="preserve">4.3 Importances globales, ébauche puis 17 septembre 2026</w:t>
            </w:r>
          </w:p>
        </w:tc>
        <w:tc>
          <w:tcPr>
            <w:tcW w:type="dxa" w:w="2250"/>
          </w:tcPr>
          <w:p>
            <w:pPr>
              <w:spacing w:after="0"/>
            </w:pPr>
            <w:r>
              <w:rPr>
                <w:rFonts w:ascii="Calibri" w:hAnsi="Calibri"/>
                <w:color w:val="333333"/>
                <w:sz w:val="18"/>
              </w:rPr>
              <w:t xml:space="preserve">Ébauche : comparer les importances globales aux valeurs de Shapley (reconstituée). 17 septembre : demande littérale, issue de l'audit des attendus : « une cellule d'importances globales face aux valeurs de Shapley »</w:t>
            </w:r>
          </w:p>
        </w:tc>
        <w:tc>
          <w:tcPr>
            <w:tcW w:type="dxa" w:w="2250"/>
          </w:tcPr>
          <w:p>
            <w:pPr>
              <w:spacing w:after="0"/>
            </w:pPr>
            <w:r>
              <w:rPr>
                <w:rFonts w:ascii="Calibri" w:hAnsi="Calibri"/>
                <w:color w:val="333333"/>
                <w:sz w:val="18"/>
              </w:rPr>
              <w:t xml:space="preserve">17 septembre : feature_importances_, permutation_importance sur le test (20 répétitions) et moyenne des valeurs de Shapley absolues, côte à côte, puis un cas individuel</w:t>
            </w:r>
          </w:p>
        </w:tc>
        <w:tc>
          <w:tcPr>
            <w:tcW w:type="dxa" w:w="2050"/>
          </w:tcPr>
          <w:p>
            <w:pPr>
              <w:spacing w:after="0"/>
            </w:pPr>
            <w:r>
              <w:rPr>
                <w:rFonts w:ascii="Calibri" w:hAnsi="Calibri"/>
                <w:color w:val="333333"/>
                <w:sz w:val="18"/>
              </w:rPr>
              <w:t xml:space="preserve">Même classement pour les trois lectures (stock 0,68 / 0,63 / 0,56 ; prix d'achat ; taux de marge ; prix ; avis et nombre d'avis à zéro). Pour le produit 4220 (ligne 135 de la table, dans le jeu de test), Shapley attribue +5,75 unités au stock et +2,32 au prix d'achat</w:t>
            </w:r>
          </w:p>
        </w:tc>
        <w:tc>
          <w:tcPr>
            <w:tcW w:type="dxa" w:w="1648"/>
          </w:tcPr>
          <w:p>
            <w:pPr>
              <w:spacing w:after="0"/>
            </w:pPr>
            <w:r>
              <w:rPr>
                <w:rFonts w:ascii="Calibri" w:hAnsi="Calibri"/>
                <w:color w:val="333333"/>
                <w:sz w:val="18"/>
              </w:rPr>
              <w:t xml:space="preserve">Importance par permutation ajoutée à la main ; écart de l'ébauche confirmé : les importances hiérarchisent, elles n'expliquent pas une référence</w:t>
            </w:r>
          </w:p>
        </w:tc>
      </w:tr>
      <w:tr>
        <w:trPr>
          <w:cantSplit/>
        </w:trPr>
        <w:tc>
          <w:tcPr>
            <w:tcW w:type="dxa" w:w="1100"/>
          </w:tcPr>
          <w:p>
            <w:pPr>
              <w:spacing w:after="0"/>
            </w:pPr>
            <w:r>
              <w:rPr>
                <w:rFonts w:ascii="Calibri" w:hAnsi="Calibri"/>
                <w:b w:val="0"/>
                <w:color w:val="333333"/>
                <w:sz w:val="18"/>
              </w:rPr>
              <w:t xml:space="preserve">4.4 Stabilité et référence naïve, 25 septembre 2026</w:t>
            </w:r>
          </w:p>
        </w:tc>
        <w:tc>
          <w:tcPr>
            <w:tcW w:type="dxa" w:w="2250"/>
          </w:tcPr>
          <w:p>
            <w:pPr>
              <w:spacing w:after="0"/>
            </w:pPr>
            <w:r>
              <w:rPr>
                <w:rFonts w:ascii="Calibri" w:hAnsi="Calibri"/>
                <w:b w:val="0"/>
                <w:color w:val="333333"/>
                <w:sz w:val="18"/>
              </w:rPr>
              <w:t xml:space="preserve">Extrait littéral, Claude, 25 septembre 2026 : « ce serait bien de fix les partiel et manquants pour avoir en complet » ; points visés : stabilité selon la partition, comparaison à une prédiction naïve</w:t>
            </w:r>
          </w:p>
        </w:tc>
        <w:tc>
          <w:tcPr>
            <w:tcW w:type="dxa" w:w="2250"/>
          </w:tcPr>
          <w:p>
            <w:pPr>
              <w:spacing w:after="0"/>
            </w:pPr>
            <w:r>
              <w:rPr>
                <w:rFonts w:ascii="Calibri" w:hAnsi="Calibri"/>
                <w:b w:val="0"/>
                <w:color w:val="333333"/>
                <w:sz w:val="18"/>
              </w:rPr>
              <w:t xml:space="preserve">KFold(n_splits=5, shuffle=True, random_state=SEED) et cross_validate sur le même modèle ; moyenne du jeu d'apprentissage comme référence naïve</w:t>
            </w:r>
          </w:p>
        </w:tc>
        <w:tc>
          <w:tcPr>
            <w:tcW w:type="dxa" w:w="2050"/>
          </w:tcPr>
          <w:p>
            <w:pPr>
              <w:spacing w:after="0"/>
            </w:pPr>
            <w:r>
              <w:rPr>
                <w:rFonts w:ascii="Calibri" w:hAnsi="Calibri"/>
                <w:b w:val="0"/>
                <w:color w:val="333333"/>
                <w:sz w:val="18"/>
              </w:rPr>
              <w:t xml:space="preserve">R² par pli : 0,76 ; 0,68 ; 0,53 ; 0,73 ; 0,64 (moyenne 0,67) ; erreur de 1,54 unité contre 3,46 sur le jeu de test (1,51 contre 3,26 sur les cinq plis) ; stock premier sur les cinq plis</w:t>
            </w:r>
          </w:p>
        </w:tc>
        <w:tc>
          <w:tcPr>
            <w:tcW w:type="dxa" w:w="1648"/>
          </w:tcPr>
          <w:p>
            <w:pPr>
              <w:spacing w:after="0"/>
            </w:pPr>
            <w:r>
              <w:rPr>
                <w:rFonts w:ascii="Calibri" w:hAnsi="Calibri"/>
                <w:b w:val="0"/>
                <w:color w:val="333333"/>
                <w:sz w:val="18"/>
              </w:rPr>
              <w:t xml:space="preserve">Chiffres recalculés par l'assistant dans un script séparé ; relus et relancés par moi le 7 octobre : mêmes chiffres</w:t>
            </w:r>
          </w:p>
        </w:tc>
      </w:tr>
    </w:tbl>
    <w:p>
      <w:pPr>
        <w:pStyle w:val="Heading2"/>
      </w:pPr>
      <w:bookmarkStart w:id="7031" w:name="_TocP130031"/>
      <w:r>
        <w:t xml:space="preserve">A.5 Besoin 2, les chiffres du réassort</w:t>
      </w:r>
      <w:bookmarkEnd w:id="7031"/>
    </w:p>
    <w:p>
      <w:r>
        <w:rPr>
          <w:rFonts w:ascii="Calibri" w:hAnsi="Calibri"/>
          <w:b w:val="0"/>
          <w:i w:val="0"/>
          <w:color w:val="333333"/>
          <w:sz w:val="21"/>
        </w:rPr>
        <w:t xml:space="preserve">L'essai C ne compare pas deux outils : il calcule les chiffres que la synthèse du notebook cite sans cellule de calcul, et ceux qui manquaient pour décider du réassort. Version longue : 05_Reassort_essai_C.md.</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100"/>
        <w:gridCol w:w="2250"/>
        <w:gridCol w:w="2250"/>
        <w:gridCol w:w="2050"/>
        <w:gridCol w:w="1648"/>
      </w:tblGrid>
      <w:tr>
        <w:trPr>
          <w:cantSplit/>
          <w:tblHeader w:val="true"/>
        </w:trPr>
        <w:tc>
          <w:tcPr>
            <w:tcW w:type="dxa" w:w="1100"/>
            <w:shd w:val="clear" w:color="auto" w:fill="1F2937"/>
          </w:tcPr>
          <w:p>
            <w:pPr>
              <w:spacing w:after="0"/>
            </w:pPr>
            <w:r>
              <w:rPr>
                <w:rFonts w:ascii="Calibri" w:hAnsi="Calibri"/>
                <w:b/>
                <w:color w:val="FFFFFF"/>
                <w:sz w:val="18"/>
              </w:rPr>
              <w:t xml:space="preserve">Essai</w:t>
            </w:r>
          </w:p>
        </w:tc>
        <w:tc>
          <w:tcPr>
            <w:tcW w:type="dxa" w:w="2250"/>
            <w:shd w:val="clear" w:color="auto" w:fill="1F2937"/>
          </w:tcPr>
          <w:p>
            <w:pPr>
              <w:spacing w:after="0"/>
            </w:pPr>
            <w:r>
              <w:rPr>
                <w:rFonts w:ascii="Calibri" w:hAnsi="Calibri"/>
                <w:b/>
                <w:color w:val="FFFFFF"/>
                <w:sz w:val="18"/>
              </w:rPr>
              <w:t xml:space="preserve">Demande adressée à l'assistant</w:t>
            </w:r>
          </w:p>
        </w:tc>
        <w:tc>
          <w:tcPr>
            <w:tcW w:type="dxa" w:w="2250"/>
            <w:shd w:val="clear" w:color="auto" w:fill="1F2937"/>
          </w:tcPr>
          <w:p>
            <w:pPr>
              <w:spacing w:after="0"/>
            </w:pPr>
            <w:r>
              <w:rPr>
                <w:rFonts w:ascii="Calibri" w:hAnsi="Calibri"/>
                <w:b/>
                <w:color w:val="FFFFFF"/>
                <w:sz w:val="18"/>
              </w:rPr>
              <w:t xml:space="preserve">Réponse retenue ou écartée (extrait)</w:t>
            </w:r>
          </w:p>
        </w:tc>
        <w:tc>
          <w:tcPr>
            <w:tcW w:type="dxa" w:w="2050"/>
            <w:shd w:val="clear" w:color="auto" w:fill="1F2937"/>
          </w:tcPr>
          <w:p>
            <w:pPr>
              <w:spacing w:after="0"/>
            </w:pPr>
            <w:r>
              <w:rPr>
                <w:rFonts w:ascii="Calibri" w:hAnsi="Calibri"/>
                <w:b/>
                <w:color w:val="FFFFFF"/>
                <w:sz w:val="18"/>
              </w:rPr>
              <w:t xml:space="preserve">Résultat mesuré</w:t>
            </w:r>
          </w:p>
        </w:tc>
        <w:tc>
          <w:tcPr>
            <w:tcW w:type="dxa" w:w="1648"/>
            <w:shd w:val="clear" w:color="auto" w:fill="1F2937"/>
          </w:tcPr>
          <w:p>
            <w:pPr>
              <w:spacing w:after="0"/>
            </w:pPr>
            <w:r>
              <w:rPr>
                <w:rFonts w:ascii="Calibri" w:hAnsi="Calibri"/>
                <w:b/>
                <w:color w:val="FFFFFF"/>
                <w:sz w:val="18"/>
              </w:rPr>
              <w:t xml:space="preserve">Modifié ou vérifié à la main</w:t>
            </w:r>
          </w:p>
        </w:tc>
      </w:tr>
      <w:tr>
        <w:trPr>
          <w:cantSplit/>
        </w:trPr>
        <w:tc>
          <w:tcPr>
            <w:tcW w:type="dxa" w:w="1100"/>
          </w:tcPr>
          <w:p>
            <w:pPr>
              <w:spacing w:after="0" w:line="252" w:lineRule="auto"/>
            </w:pPr>
            <w:r>
              <w:rPr>
                <w:rFonts w:ascii="Calibri" w:hAnsi="Calibri"/>
                <w:b w:val="0"/>
                <w:i w:val="0"/>
                <w:color w:val="333333"/>
                <w:sz w:val="18"/>
              </w:rPr>
              <w:t xml:space="preserve">C, 25 septembre 2026</w:t>
            </w:r>
          </w:p>
        </w:tc>
        <w:tc>
          <w:tcPr>
            <w:tcW w:type="dxa" w:w="2250"/>
          </w:tcPr>
          <w:p>
            <w:pPr>
              <w:spacing w:after="0" w:line="252" w:lineRule="auto"/>
            </w:pPr>
            <w:r>
              <w:rPr>
                <w:rFonts w:ascii="Calibri" w:hAnsi="Calibri"/>
                <w:b w:val="0"/>
                <w:i w:val="0"/>
                <w:color w:val="333333"/>
                <w:sz w:val="18"/>
              </w:rPr>
              <w:t xml:space="preserve">Même extrait littéral que l'essai 4.4 ; points visés : marge et ruptures sans cellule de calcul, décision de réassort à outiller</w:t>
            </w:r>
          </w:p>
        </w:tc>
        <w:tc>
          <w:tcPr>
            <w:tcW w:type="dxa" w:w="2250"/>
          </w:tcPr>
          <w:p>
            <w:pPr>
              <w:spacing w:after="0" w:line="252" w:lineRule="auto"/>
            </w:pPr>
            <w:r>
              <w:rPr>
                <w:rFonts w:ascii="Calibri" w:hAnsi="Calibri"/>
                <w:b w:val="0"/>
                <w:i w:val="0"/>
                <w:color w:val="333333"/>
                <w:sz w:val="18"/>
              </w:rPr>
              <w:t xml:space="preserve">Références qui font 80 % du chiffre d'affaires croisées avec le stock ; couverture = stock / ventes d'octobre, hors lignes qui ne respectent pas le contrat</w:t>
            </w:r>
          </w:p>
        </w:tc>
        <w:tc>
          <w:tcPr>
            <w:tcW w:type="dxa" w:w="2050"/>
          </w:tcPr>
          <w:p>
            <w:pPr>
              <w:spacing w:after="0" w:line="252" w:lineRule="auto"/>
            </w:pPr>
            <w:r>
              <w:rPr>
                <w:rFonts w:ascii="Calibri" w:hAnsi="Calibri"/>
                <w:b w:val="0"/>
                <w:i w:val="0"/>
                <w:color w:val="333333"/>
                <w:sz w:val="18"/>
              </w:rPr>
              <w:t xml:space="preserve">Marge 47,4 % (médiane 48,3 %), 45 ruptures ; 14 références clés à stock nul (5 434 euros) et une à stock négatif ; 24 références à plus d'un an de stock, 95 012 euros</w:t>
            </w:r>
          </w:p>
        </w:tc>
        <w:tc>
          <w:tcPr>
            <w:tcW w:type="dxa" w:w="1648"/>
          </w:tcPr>
          <w:p>
            <w:pPr>
              <w:spacing w:after="0" w:line="252" w:lineRule="auto"/>
            </w:pPr>
            <w:r>
              <w:rPr>
                <w:rFonts w:ascii="Calibri" w:hAnsi="Calibri"/>
                <w:b w:val="0"/>
                <w:i w:val="0"/>
                <w:color w:val="333333"/>
                <w:sz w:val="18"/>
              </w:rPr>
              <w:t xml:space="preserve">Chiffres recalculés par l'assistant dans un script séparé, concordants avec le test du 24 septembre ; relus et relancés par moi le 7 octobre : mêmes chiffres</w:t>
            </w:r>
          </w:p>
        </w:tc>
      </w:tr>
    </w:tbl>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2E8F0"/>
      </w:pBdr>
      <w:tabs>
        <w:tab w:pos="9298" w:val="right"/>
      </w:tabs>
    </w:pPr>
    <w:r/>
    <w:r>
      <w:rPr>
        <w:rFonts w:ascii="Calibri" w:hAnsi="Calibri"/>
        <w:color w:val="64748B"/>
        <w:sz w:val="15"/>
      </w:rPr>
      <w:t>BottleNeck, documentation de la démarche</w:t>
    </w:r>
    <w:r>
      <w:rPr>
        <w:sz w:val="15"/>
      </w:rPr>
      <w:tab/>
    </w:r>
    <w:r>
      <w:rPr>
        <w:rFonts w:ascii="Calibri" w:hAnsi="Calibri"/>
        <w:color w:val="64748B"/>
        <w:sz w:val="15"/>
      </w:rPr>
      <w:t xml:space="preserve">Page </w:t>
    </w:r>
    <w:r>
      <w:rPr>
        <w:rFonts w:ascii="Calibri" w:hAnsi="Calibri"/>
        <w:color w:val="64748B"/>
        <w:sz w:val="15"/>
      </w:rPr>
      <w:fldChar w:fldCharType="begin"/>
      <w:instrText xml:space="preserve"> PAGE </w:instrText>
      <w:fldChar w:fldCharType="separate"/>
      <w:fldChar w:fldCharType="end"/>
    </w:r>
    <w:r>
      <w:rPr>
        <w:rFonts w:ascii="Calibri" w:hAnsi="Calibri"/>
        <w:color w:val="64748B"/>
        <w:sz w:val="15"/>
      </w:rPr>
      <w:t xml:space="preserve"> sur </w:t>
    </w:r>
    <w:r>
      <w:rPr>
        <w:rFonts w:ascii="Calibri" w:hAnsi="Calibri"/>
        <w:color w:val="64748B"/>
        <w:sz w:val="15"/>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5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libri" w:hAnsi="Calibri"/>
      <w:b/>
      <w:bCs/>
      <w:caps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3D5A8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aps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aps w:val="0"/>
      <w:color w:val="1F293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6460</Words>
  <Characters>34395</Characters>
  <Application>Microsoft Office Word</Application>
  <DocSecurity>0</DocSecurity>
  <Lines>511</Lines>
  <Paragraphs>496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Lippens</dc:creator>
  <cp:keywords/>
  <dc:description/>
  <cp:lastModifiedBy>Charles Lippens</cp:lastModifiedBy>
  <cp:revision>1</cp:revision>
  <dcterms:created xsi:type="dcterms:W3CDTF">2026-10-10T10:00:00Z</dcterms:created>
  <dcterms:modified xsi:type="dcterms:W3CDTF">2026-10-14T09:15:00Z</dcterms:modified>
</cp:coreProperties>
</file>