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AA6" w:rsidRPr="00031AA6" w:rsidRDefault="00031AA6" w:rsidP="00031AA6">
      <w:pPr>
        <w:spacing w:line="240" w:lineRule="atLeast"/>
        <w:rPr>
          <w:rFonts w:ascii="Times New Roman" w:eastAsia="Times New Roman" w:hAnsi="Times New Roman" w:cs="Times New Roman"/>
          <w:color w:val="000000"/>
          <w:sz w:val="20"/>
          <w:szCs w:val="20"/>
        </w:rPr>
      </w:pPr>
      <w:r w:rsidRPr="00031AA6">
        <w:rPr>
          <w:rFonts w:ascii="Arial" w:eastAsia="Times New Roman" w:hAnsi="Arial" w:cs="Arial"/>
          <w:b/>
          <w:bCs/>
          <w:color w:val="000000"/>
          <w:sz w:val="20"/>
          <w:szCs w:val="20"/>
        </w:rPr>
        <w:t>ITEM 1A. RISK FACTORS</w:t>
      </w:r>
    </w:p>
    <w:tbl>
      <w:tblPr>
        <w:tblW w:w="21315" w:type="dxa"/>
        <w:tblCellMar>
          <w:left w:w="0" w:type="dxa"/>
          <w:right w:w="0" w:type="dxa"/>
        </w:tblCellMar>
        <w:tblLook w:val="04A0" w:firstRow="1" w:lastRow="0" w:firstColumn="1" w:lastColumn="0" w:noHBand="0" w:noVBand="1"/>
      </w:tblPr>
      <w:tblGrid>
        <w:gridCol w:w="21315"/>
      </w:tblGrid>
      <w:tr w:rsidR="00031AA6" w:rsidRPr="00031AA6" w:rsidTr="00031AA6">
        <w:tc>
          <w:tcPr>
            <w:tcW w:w="0" w:type="auto"/>
            <w:vAlign w:val="center"/>
            <w:hideMark/>
          </w:tcPr>
          <w:p w:rsidR="00031AA6" w:rsidRPr="00031AA6" w:rsidRDefault="00031AA6" w:rsidP="00031AA6">
            <w:pPr>
              <w:spacing w:line="240" w:lineRule="atLeast"/>
              <w:rPr>
                <w:rFonts w:ascii="Times New Roman" w:eastAsia="Times New Roman" w:hAnsi="Times New Roman" w:cs="Times New Roman"/>
                <w:color w:val="000000"/>
                <w:sz w:val="20"/>
                <w:szCs w:val="20"/>
              </w:rPr>
            </w:pPr>
          </w:p>
        </w:tc>
      </w:tr>
      <w:tr w:rsidR="00031AA6" w:rsidRPr="00031AA6" w:rsidTr="00031AA6">
        <w:tc>
          <w:tcPr>
            <w:tcW w:w="21315" w:type="dxa"/>
            <w:vAlign w:val="center"/>
            <w:hideMark/>
          </w:tcPr>
          <w:p w:rsidR="00031AA6" w:rsidRPr="00031AA6" w:rsidRDefault="00031AA6" w:rsidP="00031AA6">
            <w:pPr>
              <w:rPr>
                <w:rFonts w:ascii="Times New Roman" w:eastAsia="Times New Roman" w:hAnsi="Times New Roman" w:cs="Times New Roman"/>
                <w:sz w:val="20"/>
                <w:szCs w:val="20"/>
              </w:rPr>
            </w:pPr>
          </w:p>
        </w:tc>
      </w:tr>
      <w:tr w:rsidR="00031AA6" w:rsidRPr="00031AA6" w:rsidTr="00031AA6">
        <w:tc>
          <w:tcPr>
            <w:tcW w:w="0" w:type="auto"/>
            <w:tcBorders>
              <w:top w:val="single" w:sz="6" w:space="0" w:color="000000"/>
            </w:tcBorders>
            <w:tcMar>
              <w:top w:w="30" w:type="dxa"/>
              <w:left w:w="30" w:type="dxa"/>
              <w:bottom w:w="30" w:type="dxa"/>
              <w:right w:w="30" w:type="dxa"/>
            </w:tcMar>
            <w:vAlign w:val="bottom"/>
            <w:hideMark/>
          </w:tcPr>
          <w:p w:rsidR="00031AA6" w:rsidRPr="00031AA6" w:rsidRDefault="00031AA6" w:rsidP="00031AA6">
            <w:pPr>
              <w:rPr>
                <w:rFonts w:ascii="Times New Roman" w:eastAsia="Times New Roman" w:hAnsi="Times New Roman" w:cs="Times New Roman"/>
                <w:sz w:val="20"/>
                <w:szCs w:val="20"/>
              </w:rPr>
            </w:pPr>
            <w:r w:rsidRPr="00031AA6">
              <w:rPr>
                <w:rFonts w:ascii="inherit" w:eastAsia="Times New Roman" w:hAnsi="inherit" w:cs="Times New Roman"/>
                <w:sz w:val="20"/>
                <w:szCs w:val="20"/>
              </w:rPr>
              <w:t> </w:t>
            </w:r>
          </w:p>
        </w:tc>
      </w:tr>
    </w:tbl>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In addition to other disclosures within this Form 10-K, including "Management's Discussion and Analysis of Financial Condition and Results of Operations – Matters Impacting Future Results" for each registrant in Item 7, and other documents filed with the SEC from time to time, the following factors should be considered in evaluating Duke Energy and its subsidiaries. Such factors could affect actual results of operations and cause results to differ substantially from those currently expected or sought. Unless otherwise indicated, risk factors discussed below generally relate to risks associated with all of the Duke Energy Registrants. Risks identified at the Subsidiary Registrant level are generally applicable to Duke Energy.</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Business Strategy Risks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Duke Energy’s future results could be adversely affected if it is unable to implement its business strategy.</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Duke Energy’s results of operations depend, in significant part, on the extent to which it can implement its business strategy successfully. Duke Energy's strategy, including transforming the customer experience, modernizing the energy grid, generating cleaner energy, expansion of natural gas infrastructure, modernizing the regulatory construct, digital transformation and engaging employees and stakeholders to accomplish these priorities, is subject to business, economic and competitive uncertainties and contingencies, many of which are beyond its control. As a consequence, Duke Energy may not be able to fully implement or realize the anticipated results of its strategy.</w:t>
      </w:r>
    </w:p>
    <w:p w:rsidR="00031AA6" w:rsidRPr="00031AA6" w:rsidRDefault="00031AA6" w:rsidP="00031AA6">
      <w:pPr>
        <w:rPr>
          <w:rFonts w:ascii="Times New Roman" w:eastAsia="Times New Roman" w:hAnsi="Times New Roman" w:cs="Times New Roman"/>
          <w:color w:val="000000"/>
          <w:sz w:val="20"/>
          <w:szCs w:val="20"/>
        </w:rPr>
      </w:pPr>
    </w:p>
    <w:p w:rsidR="00031AA6" w:rsidRPr="00031AA6" w:rsidRDefault="00031AA6" w:rsidP="00031AA6">
      <w:pPr>
        <w:spacing w:line="192" w:lineRule="atLeast"/>
        <w:jc w:val="center"/>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24</w:t>
      </w:r>
    </w:p>
    <w:p w:rsidR="00031AA6" w:rsidRPr="00031AA6" w:rsidRDefault="005F42F5" w:rsidP="00031AA6">
      <w:pPr>
        <w:rPr>
          <w:rFonts w:ascii="Times New Roman" w:eastAsia="Times New Roman" w:hAnsi="Times New Roman" w:cs="Times New Roman"/>
        </w:rPr>
      </w:pPr>
      <w:r w:rsidRPr="00031AA6">
        <w:rPr>
          <w:rFonts w:ascii="Times New Roman" w:eastAsia="Times New Roman" w:hAnsi="Times New Roman" w:cs="Times New Roman"/>
          <w:noProof/>
        </w:rPr>
        <w:pict>
          <v:rect id="_x0000_i1033" alt="" style="width:468pt;height:.05pt;mso-width-percent:0;mso-height-percent:0;mso-width-percent:0;mso-height-percent:0" o:hralign="center" o:hrstd="t" o:hrnoshade="t" o:hr="t" fillcolor="black" stroked="f"/>
        </w:pict>
      </w:r>
    </w:p>
    <w:p w:rsidR="00031AA6" w:rsidRPr="00031AA6" w:rsidRDefault="00031AA6" w:rsidP="00031AA6">
      <w:pPr>
        <w:spacing w:line="192" w:lineRule="atLeast"/>
        <w:rPr>
          <w:rFonts w:ascii="Times New Roman" w:eastAsia="Times New Roman" w:hAnsi="Times New Roman" w:cs="Times New Roman"/>
          <w:color w:val="000000"/>
          <w:sz w:val="16"/>
          <w:szCs w:val="16"/>
        </w:rPr>
      </w:pPr>
    </w:p>
    <w:p w:rsidR="00031AA6" w:rsidRPr="00031AA6" w:rsidRDefault="00031AA6" w:rsidP="00031AA6">
      <w:pPr>
        <w:spacing w:line="192" w:lineRule="atLeast"/>
        <w:rPr>
          <w:rFonts w:ascii="Times New Roman" w:eastAsia="Times New Roman" w:hAnsi="Times New Roman" w:cs="Times New Roman"/>
          <w:color w:val="000000"/>
          <w:sz w:val="16"/>
          <w:szCs w:val="16"/>
        </w:rPr>
      </w:pPr>
    </w:p>
    <w:p w:rsidR="00031AA6" w:rsidRPr="00031AA6" w:rsidRDefault="00031AA6" w:rsidP="00031AA6">
      <w:pPr>
        <w:spacing w:line="192" w:lineRule="atLeast"/>
        <w:rPr>
          <w:rFonts w:ascii="Times New Roman" w:eastAsia="Times New Roman" w:hAnsi="Times New Roman" w:cs="Times New Roman"/>
          <w:color w:val="000000"/>
          <w:sz w:val="16"/>
          <w:szCs w:val="16"/>
        </w:rPr>
      </w:pPr>
    </w:p>
    <w:tbl>
      <w:tblPr>
        <w:tblW w:w="21270" w:type="dxa"/>
        <w:jc w:val="center"/>
        <w:tblCellMar>
          <w:left w:w="0" w:type="dxa"/>
          <w:right w:w="0" w:type="dxa"/>
        </w:tblCellMar>
        <w:tblLook w:val="04A0" w:firstRow="1" w:lastRow="0" w:firstColumn="1" w:lastColumn="0" w:noHBand="0" w:noVBand="1"/>
      </w:tblPr>
      <w:tblGrid>
        <w:gridCol w:w="7020"/>
        <w:gridCol w:w="14250"/>
      </w:tblGrid>
      <w:tr w:rsidR="00031AA6" w:rsidRPr="00031AA6" w:rsidTr="00031AA6">
        <w:trPr>
          <w:jc w:val="center"/>
        </w:trPr>
        <w:tc>
          <w:tcPr>
            <w:tcW w:w="0" w:type="auto"/>
            <w:gridSpan w:val="2"/>
            <w:vAlign w:val="center"/>
            <w:hideMark/>
          </w:tcPr>
          <w:p w:rsidR="00031AA6" w:rsidRPr="00031AA6" w:rsidRDefault="00031AA6" w:rsidP="00031AA6">
            <w:pPr>
              <w:spacing w:line="192" w:lineRule="atLeast"/>
              <w:rPr>
                <w:rFonts w:ascii="Times New Roman" w:eastAsia="Times New Roman" w:hAnsi="Times New Roman" w:cs="Times New Roman"/>
                <w:color w:val="000000"/>
                <w:sz w:val="16"/>
                <w:szCs w:val="16"/>
              </w:rPr>
            </w:pPr>
          </w:p>
        </w:tc>
      </w:tr>
      <w:tr w:rsidR="00031AA6" w:rsidRPr="00031AA6" w:rsidTr="00031AA6">
        <w:trPr>
          <w:jc w:val="center"/>
        </w:trPr>
        <w:tc>
          <w:tcPr>
            <w:tcW w:w="7020" w:type="dxa"/>
            <w:vAlign w:val="center"/>
            <w:hideMark/>
          </w:tcPr>
          <w:p w:rsidR="00031AA6" w:rsidRPr="00031AA6" w:rsidRDefault="00031AA6" w:rsidP="00031AA6">
            <w:pPr>
              <w:rPr>
                <w:rFonts w:ascii="Times New Roman" w:eastAsia="Times New Roman" w:hAnsi="Times New Roman" w:cs="Times New Roman"/>
                <w:sz w:val="20"/>
                <w:szCs w:val="20"/>
              </w:rPr>
            </w:pPr>
          </w:p>
        </w:tc>
        <w:tc>
          <w:tcPr>
            <w:tcW w:w="14250" w:type="dxa"/>
            <w:vAlign w:val="center"/>
            <w:hideMark/>
          </w:tcPr>
          <w:p w:rsidR="00031AA6" w:rsidRPr="00031AA6" w:rsidRDefault="00031AA6" w:rsidP="00031AA6">
            <w:pPr>
              <w:rPr>
                <w:rFonts w:ascii="Times New Roman" w:eastAsia="Times New Roman" w:hAnsi="Times New Roman" w:cs="Times New Roman"/>
                <w:sz w:val="20"/>
                <w:szCs w:val="20"/>
              </w:rPr>
            </w:pPr>
          </w:p>
        </w:tc>
      </w:tr>
      <w:tr w:rsidR="00031AA6" w:rsidRPr="00031AA6" w:rsidTr="00031AA6">
        <w:trPr>
          <w:jc w:val="center"/>
        </w:trPr>
        <w:tc>
          <w:tcPr>
            <w:tcW w:w="0" w:type="auto"/>
            <w:tcBorders>
              <w:bottom w:val="single" w:sz="6" w:space="0" w:color="828282"/>
            </w:tcBorders>
            <w:shd w:val="clear" w:color="auto" w:fill="828282"/>
            <w:tcMar>
              <w:top w:w="30" w:type="dxa"/>
              <w:left w:w="30" w:type="dxa"/>
              <w:bottom w:w="30" w:type="dxa"/>
              <w:right w:w="30" w:type="dxa"/>
            </w:tcMar>
            <w:vAlign w:val="center"/>
            <w:hideMark/>
          </w:tcPr>
          <w:p w:rsidR="00031AA6" w:rsidRPr="00031AA6" w:rsidRDefault="00031AA6" w:rsidP="00031AA6">
            <w:pPr>
              <w:rPr>
                <w:rFonts w:ascii="Times New Roman" w:eastAsia="Times New Roman" w:hAnsi="Times New Roman" w:cs="Times New Roman"/>
                <w:sz w:val="16"/>
                <w:szCs w:val="16"/>
              </w:rPr>
            </w:pPr>
            <w:r w:rsidRPr="00031AA6">
              <w:rPr>
                <w:rFonts w:ascii="Arial" w:eastAsia="Times New Roman" w:hAnsi="Arial" w:cs="Arial"/>
                <w:b/>
                <w:bCs/>
                <w:color w:val="FFFFFF"/>
                <w:sz w:val="16"/>
                <w:szCs w:val="16"/>
              </w:rPr>
              <w:t>RISK FACTORS</w:t>
            </w:r>
          </w:p>
        </w:tc>
        <w:tc>
          <w:tcPr>
            <w:tcW w:w="0" w:type="auto"/>
            <w:tcBorders>
              <w:bottom w:val="single" w:sz="6" w:space="0" w:color="828282"/>
            </w:tcBorders>
            <w:tcMar>
              <w:top w:w="30" w:type="dxa"/>
              <w:left w:w="30" w:type="dxa"/>
              <w:bottom w:w="30" w:type="dxa"/>
              <w:right w:w="30" w:type="dxa"/>
            </w:tcMar>
            <w:vAlign w:val="bottom"/>
            <w:hideMark/>
          </w:tcPr>
          <w:p w:rsidR="00031AA6" w:rsidRPr="00031AA6" w:rsidRDefault="00031AA6" w:rsidP="00031AA6">
            <w:pPr>
              <w:rPr>
                <w:rFonts w:ascii="Times New Roman" w:eastAsia="Times New Roman" w:hAnsi="Times New Roman" w:cs="Times New Roman"/>
                <w:sz w:val="20"/>
                <w:szCs w:val="20"/>
              </w:rPr>
            </w:pPr>
            <w:r w:rsidRPr="00031AA6">
              <w:rPr>
                <w:rFonts w:ascii="inherit" w:eastAsia="Times New Roman" w:hAnsi="inherit" w:cs="Times New Roman"/>
                <w:sz w:val="20"/>
                <w:szCs w:val="20"/>
              </w:rPr>
              <w:t> </w:t>
            </w:r>
          </w:p>
        </w:tc>
      </w:tr>
    </w:tbl>
    <w:p w:rsidR="00031AA6" w:rsidRPr="00031AA6" w:rsidRDefault="00031AA6" w:rsidP="00031AA6">
      <w:pPr>
        <w:spacing w:line="192" w:lineRule="atLeast"/>
        <w:rPr>
          <w:rFonts w:ascii="Times New Roman" w:eastAsia="Times New Roman" w:hAnsi="Times New Roman" w:cs="Times New Roman"/>
          <w:color w:val="000000"/>
          <w:sz w:val="16"/>
          <w:szCs w:val="16"/>
        </w:rPr>
      </w:pPr>
    </w:p>
    <w:p w:rsidR="00031AA6" w:rsidRPr="00031AA6" w:rsidRDefault="00031AA6" w:rsidP="00031AA6">
      <w:pPr>
        <w:rPr>
          <w:rFonts w:ascii="Times New Roman" w:eastAsia="Times New Roman" w:hAnsi="Times New Roman" w:cs="Times New Roman"/>
          <w:color w:val="000000"/>
          <w:sz w:val="20"/>
          <w:szCs w:val="20"/>
        </w:rPr>
      </w:pP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Regulatory, Legislative and Legal Risks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The Duke Energy Registrants’ regulated utility revenues, earnings and results are dependent on state legislation and regulation that affect electric generation, electric and natural gas transmission, distribution and related activities, which may limit their ability to recover costs.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The Duke Energy Registrants’ regulated electric and natural gas utility businesses are regulated on a cost-of-service/rate-of-return basis subject to statutes and regulatory commission rules and procedures of North Carolina, South Carolina, Florida, Ohio, Tennessee, Indiana and Kentucky. If the Duke Energy Registrants’ regulated utility earnings exceed the returns established by the state utility commissions, retail electric and natural gas rates may be subject to review and possible reduction by the commissions, which may decrease the Duke Energy Registrants’ earnings. Additionally, if regulatory bodies do not allow recovery of costs incurred in providing service, or do not do so on a timely basis, the Duke Energy Registrants’ earnings could be negatively impacted.</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If legislative and regulatory structures were to evolve in such a way that the Duke Energy Registrants’ exclusive rights to serve their regulated customers were eroded, their earnings could be negatively impacted. Federal and state regulations, laws and other efforts designed to promote and expand the use of energy efficiency measures and distributed generation technologies, such as private solar and battery storage, in Duke Energy service territories could result in customers leaving the electric distribution system and an increase in customer net energy metering, which allows customers with private solar to receive bill credits for surplus power at the full retail amount. Over time, customer adoption of these technologies and increased energy efficiency could result in excess generation resources as well as stranded costs if Duke Energy is not able to fully recover the costs and investment in generation.</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State regulators have approved various mechanisms to stabilize natural gas utility margins, including margin decoupling in North Carolina and rate stabilization in South Carolina. State regulators have approved other margin stabilizing mechanisms that, for example, allow for recovery of margin losses associated with negotiated transactions designed to retain large volume customers that could use alternative fuels or that may otherwise directly access natural gas supply through their own connection to an interstate pipeline. If regulators decided to discontinue the Duke Energy Registrants' use of tariff mechanisms, it would negatively impact results of operations, financial condition and cash flows. In addition, regulatory authorities also review whether natural gas costs are prudent and can disallow the recovery of a portion of natural gas costs that the Duke Energy Registrants seek to recover from customers, which would adversely impact earnings.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The rates that the Duke Energy Registrants’ regulated utility businesses are allowed to charge are established by state utility commissions in rate case proceedings, which may limit their ability to recover costs and earn an appropriate return on investment.</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The rates that the Duke Energy Registrants’ regulated utility business are allowed to charge significantly influences the results of operations, financial position and cash flows of the Duke Energy Registrants. The regulation of the rates that the regulated utility businesses charge customers is determined, in large part, by state utility commissions in rate case proceedings. Negative decisions made by these regulators, or by any court on appeal of a rate case proceeding, could have a material adverse effect on the Duke Energy Registrants’ results of operations, financial position or cash flows and affect the ability of the Duke Energy Registrants to recover costs and an appropriate return on the significant infrastructure investments being made.</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Deregulation or restructuring in the electric industry may result in increased competition and unrecovered costs that could adversely affect the Duke Energy Registrants’ financial position, results of operations or cash flows and their utility businesses.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 xml:space="preserve">Increased competition resulting from deregulation or restructuring legislation could have a significant adverse impact on the Duke Energy Registrants’ results of operations, financial position or cash flows. If the retail jurisdictions served by the Duke Energy </w:t>
      </w:r>
      <w:r w:rsidRPr="00031AA6">
        <w:rPr>
          <w:rFonts w:ascii="Arial" w:eastAsia="Times New Roman" w:hAnsi="Arial" w:cs="Arial"/>
          <w:color w:val="000000"/>
          <w:sz w:val="16"/>
          <w:szCs w:val="16"/>
        </w:rPr>
        <w:lastRenderedPageBreak/>
        <w:t>Registrants become subject to deregulation, the impairment of assets, loss of retail customers, lower profit margins or increased costs of capital, and recovery of stranded costs could have a significant adverse financial impact on the Duke Energy Registrants. Stranded costs primarily include the generation assets of the Duke Energy Registrants whose value in a competitive marketplace may be less than their current book value, as well as above-market purchased power commitments from QFs from whom the Duke Energy Registrants are legally obligated to purchase energy at an avoided cost rate under PURPA. The Duke Energy Registrants cannot predict the extent and timing of entry by additional competitors into the electric markets. The Duke Energy Registrants cannot predict if or when they will be subject to changes in legislation or regulation, nor can they predict the impact of these changes on their results of operations, financial position or cash flows.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The Duke Energy Registrants’ businesses are subject to extensive federal regulation and a wide variety of laws and governmental policies, including taxes, that may change over time in ways that affect operations and costs.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The Duke Energy Registrants are subject to regulations under a wide variety of U.S. federal and state regulations and policies, including by FERC, NRC, EPA and various other federal agencies as well as the North American Electric Reliability Corporation. Regulation affects almost every aspect of the Duke Energy Registrants’ businesses, including, among other things, their ability to: take fundamental business management actions; determine the terms and rates of transmission and distribution services; make acquisitions; issue equity or debt securities; engage in transactions with other subsidiaries and affiliates; and pay dividends upstream to the Duke Energy Registrants. Changes to federal regulations are continuous and ongoing. There can be no assurance that laws, regulations and policies will not be changed in ways that result in material modifications of business models and objectives or affect returns on investment by restricting activities and products, subjecting them to escalating costs, causing delays, or prohibiting them outright.</w:t>
      </w:r>
    </w:p>
    <w:p w:rsidR="00031AA6" w:rsidRPr="00031AA6" w:rsidRDefault="00031AA6" w:rsidP="00031AA6">
      <w:pPr>
        <w:rPr>
          <w:rFonts w:ascii="Times New Roman" w:eastAsia="Times New Roman" w:hAnsi="Times New Roman" w:cs="Times New Roman"/>
          <w:color w:val="000000"/>
          <w:sz w:val="20"/>
          <w:szCs w:val="20"/>
        </w:rPr>
      </w:pPr>
    </w:p>
    <w:p w:rsidR="00031AA6" w:rsidRPr="00031AA6" w:rsidRDefault="00031AA6" w:rsidP="00031AA6">
      <w:pPr>
        <w:spacing w:line="192" w:lineRule="atLeast"/>
        <w:jc w:val="center"/>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25</w:t>
      </w:r>
    </w:p>
    <w:p w:rsidR="00031AA6" w:rsidRPr="00031AA6" w:rsidRDefault="00031AA6" w:rsidP="00031AA6">
      <w:pPr>
        <w:rPr>
          <w:rFonts w:ascii="Times New Roman" w:eastAsia="Times New Roman" w:hAnsi="Times New Roman" w:cs="Times New Roman"/>
        </w:rPr>
      </w:pPr>
      <w:r w:rsidRPr="00031AA6">
        <w:rPr>
          <w:rFonts w:ascii="Times New Roman" w:eastAsia="Times New Roman" w:hAnsi="Times New Roman" w:cs="Times New Roman"/>
        </w:rPr>
        <w:pict>
          <v:rect id="_x0000_i1026" style="width:0;height:1.5pt" o:hralign="center" o:hrstd="t" o:hrnoshade="t" o:hr="t" fillcolor="black" stroked="f"/>
        </w:pict>
      </w:r>
    </w:p>
    <w:p w:rsidR="00031AA6" w:rsidRPr="00031AA6" w:rsidRDefault="00031AA6" w:rsidP="00031AA6">
      <w:pPr>
        <w:spacing w:line="192" w:lineRule="atLeast"/>
        <w:rPr>
          <w:rFonts w:ascii="Times New Roman" w:eastAsia="Times New Roman" w:hAnsi="Times New Roman" w:cs="Times New Roman"/>
          <w:color w:val="000000"/>
          <w:sz w:val="16"/>
          <w:szCs w:val="16"/>
        </w:rPr>
      </w:pPr>
    </w:p>
    <w:p w:rsidR="00031AA6" w:rsidRPr="00031AA6" w:rsidRDefault="00031AA6" w:rsidP="00031AA6">
      <w:pPr>
        <w:spacing w:line="192" w:lineRule="atLeast"/>
        <w:rPr>
          <w:rFonts w:ascii="Times New Roman" w:eastAsia="Times New Roman" w:hAnsi="Times New Roman" w:cs="Times New Roman"/>
          <w:color w:val="000000"/>
          <w:sz w:val="16"/>
          <w:szCs w:val="16"/>
        </w:rPr>
      </w:pPr>
    </w:p>
    <w:p w:rsidR="00031AA6" w:rsidRPr="00031AA6" w:rsidRDefault="00031AA6" w:rsidP="00031AA6">
      <w:pPr>
        <w:spacing w:line="192" w:lineRule="atLeast"/>
        <w:rPr>
          <w:rFonts w:ascii="Times New Roman" w:eastAsia="Times New Roman" w:hAnsi="Times New Roman" w:cs="Times New Roman"/>
          <w:color w:val="000000"/>
          <w:sz w:val="16"/>
          <w:szCs w:val="16"/>
        </w:rPr>
      </w:pPr>
    </w:p>
    <w:tbl>
      <w:tblPr>
        <w:tblW w:w="21270" w:type="dxa"/>
        <w:jc w:val="center"/>
        <w:tblCellMar>
          <w:left w:w="0" w:type="dxa"/>
          <w:right w:w="0" w:type="dxa"/>
        </w:tblCellMar>
        <w:tblLook w:val="04A0" w:firstRow="1" w:lastRow="0" w:firstColumn="1" w:lastColumn="0" w:noHBand="0" w:noVBand="1"/>
      </w:tblPr>
      <w:tblGrid>
        <w:gridCol w:w="7020"/>
        <w:gridCol w:w="14250"/>
      </w:tblGrid>
      <w:tr w:rsidR="00031AA6" w:rsidRPr="00031AA6" w:rsidTr="00031AA6">
        <w:trPr>
          <w:jc w:val="center"/>
        </w:trPr>
        <w:tc>
          <w:tcPr>
            <w:tcW w:w="0" w:type="auto"/>
            <w:gridSpan w:val="2"/>
            <w:vAlign w:val="center"/>
            <w:hideMark/>
          </w:tcPr>
          <w:p w:rsidR="00031AA6" w:rsidRPr="00031AA6" w:rsidRDefault="00031AA6" w:rsidP="00031AA6">
            <w:pPr>
              <w:spacing w:line="192" w:lineRule="atLeast"/>
              <w:rPr>
                <w:rFonts w:ascii="Times New Roman" w:eastAsia="Times New Roman" w:hAnsi="Times New Roman" w:cs="Times New Roman"/>
                <w:color w:val="000000"/>
                <w:sz w:val="16"/>
                <w:szCs w:val="16"/>
              </w:rPr>
            </w:pPr>
          </w:p>
        </w:tc>
      </w:tr>
      <w:tr w:rsidR="00031AA6" w:rsidRPr="00031AA6" w:rsidTr="00031AA6">
        <w:trPr>
          <w:jc w:val="center"/>
        </w:trPr>
        <w:tc>
          <w:tcPr>
            <w:tcW w:w="7020" w:type="dxa"/>
            <w:vAlign w:val="center"/>
            <w:hideMark/>
          </w:tcPr>
          <w:p w:rsidR="00031AA6" w:rsidRPr="00031AA6" w:rsidRDefault="00031AA6" w:rsidP="00031AA6">
            <w:pPr>
              <w:rPr>
                <w:rFonts w:ascii="Times New Roman" w:eastAsia="Times New Roman" w:hAnsi="Times New Roman" w:cs="Times New Roman"/>
                <w:sz w:val="20"/>
                <w:szCs w:val="20"/>
              </w:rPr>
            </w:pPr>
          </w:p>
        </w:tc>
        <w:tc>
          <w:tcPr>
            <w:tcW w:w="14250" w:type="dxa"/>
            <w:vAlign w:val="center"/>
            <w:hideMark/>
          </w:tcPr>
          <w:p w:rsidR="00031AA6" w:rsidRPr="00031AA6" w:rsidRDefault="00031AA6" w:rsidP="00031AA6">
            <w:pPr>
              <w:rPr>
                <w:rFonts w:ascii="Times New Roman" w:eastAsia="Times New Roman" w:hAnsi="Times New Roman" w:cs="Times New Roman"/>
                <w:sz w:val="20"/>
                <w:szCs w:val="20"/>
              </w:rPr>
            </w:pPr>
          </w:p>
        </w:tc>
      </w:tr>
      <w:tr w:rsidR="00031AA6" w:rsidRPr="00031AA6" w:rsidTr="00031AA6">
        <w:trPr>
          <w:jc w:val="center"/>
        </w:trPr>
        <w:tc>
          <w:tcPr>
            <w:tcW w:w="0" w:type="auto"/>
            <w:tcBorders>
              <w:bottom w:val="single" w:sz="6" w:space="0" w:color="828282"/>
            </w:tcBorders>
            <w:shd w:val="clear" w:color="auto" w:fill="828282"/>
            <w:tcMar>
              <w:top w:w="30" w:type="dxa"/>
              <w:left w:w="30" w:type="dxa"/>
              <w:bottom w:w="30" w:type="dxa"/>
              <w:right w:w="30" w:type="dxa"/>
            </w:tcMar>
            <w:vAlign w:val="center"/>
            <w:hideMark/>
          </w:tcPr>
          <w:p w:rsidR="00031AA6" w:rsidRPr="00031AA6" w:rsidRDefault="00031AA6" w:rsidP="00031AA6">
            <w:pPr>
              <w:rPr>
                <w:rFonts w:ascii="Times New Roman" w:eastAsia="Times New Roman" w:hAnsi="Times New Roman" w:cs="Times New Roman"/>
                <w:sz w:val="16"/>
                <w:szCs w:val="16"/>
              </w:rPr>
            </w:pPr>
            <w:r w:rsidRPr="00031AA6">
              <w:rPr>
                <w:rFonts w:ascii="Arial" w:eastAsia="Times New Roman" w:hAnsi="Arial" w:cs="Arial"/>
                <w:b/>
                <w:bCs/>
                <w:color w:val="FFFFFF"/>
                <w:sz w:val="16"/>
                <w:szCs w:val="16"/>
              </w:rPr>
              <w:t>RISK FACTORS</w:t>
            </w:r>
          </w:p>
        </w:tc>
        <w:tc>
          <w:tcPr>
            <w:tcW w:w="0" w:type="auto"/>
            <w:tcBorders>
              <w:bottom w:val="single" w:sz="6" w:space="0" w:color="828282"/>
            </w:tcBorders>
            <w:tcMar>
              <w:top w:w="30" w:type="dxa"/>
              <w:left w:w="30" w:type="dxa"/>
              <w:bottom w:w="30" w:type="dxa"/>
              <w:right w:w="30" w:type="dxa"/>
            </w:tcMar>
            <w:vAlign w:val="bottom"/>
            <w:hideMark/>
          </w:tcPr>
          <w:p w:rsidR="00031AA6" w:rsidRPr="00031AA6" w:rsidRDefault="00031AA6" w:rsidP="00031AA6">
            <w:pPr>
              <w:rPr>
                <w:rFonts w:ascii="Times New Roman" w:eastAsia="Times New Roman" w:hAnsi="Times New Roman" w:cs="Times New Roman"/>
                <w:sz w:val="20"/>
                <w:szCs w:val="20"/>
              </w:rPr>
            </w:pPr>
            <w:r w:rsidRPr="00031AA6">
              <w:rPr>
                <w:rFonts w:ascii="inherit" w:eastAsia="Times New Roman" w:hAnsi="inherit" w:cs="Times New Roman"/>
                <w:sz w:val="20"/>
                <w:szCs w:val="20"/>
              </w:rPr>
              <w:t> </w:t>
            </w:r>
          </w:p>
        </w:tc>
      </w:tr>
    </w:tbl>
    <w:p w:rsidR="00031AA6" w:rsidRPr="00031AA6" w:rsidRDefault="00031AA6" w:rsidP="00031AA6">
      <w:pPr>
        <w:spacing w:line="192" w:lineRule="atLeast"/>
        <w:rPr>
          <w:rFonts w:ascii="Times New Roman" w:eastAsia="Times New Roman" w:hAnsi="Times New Roman" w:cs="Times New Roman"/>
          <w:color w:val="000000"/>
          <w:sz w:val="16"/>
          <w:szCs w:val="16"/>
        </w:rPr>
      </w:pPr>
    </w:p>
    <w:p w:rsidR="00031AA6" w:rsidRPr="00031AA6" w:rsidRDefault="00031AA6" w:rsidP="00031AA6">
      <w:pPr>
        <w:rPr>
          <w:rFonts w:ascii="Times New Roman" w:eastAsia="Times New Roman" w:hAnsi="Times New Roman" w:cs="Times New Roman"/>
          <w:color w:val="000000"/>
          <w:sz w:val="20"/>
          <w:szCs w:val="20"/>
        </w:rPr>
      </w:pP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The Duke Energy Registrants are subject to numerous environmental laws and regulations requiring significant capital expenditures that can increase the cost of operations, and which may impact or limit business plans, or cause exposure to environmental liabilities.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The Duke Energy Registrants are subject to numerous environmental laws and regulations affecting many aspects of their present and future operations, including CCRs, air emissions, water quality, wastewater discharges, solid waste and hazardous waste. These laws and regulations can result in increased capital, operating and other costs. These laws and regulations generally require the Duke Energy Registrants to obtain and comply with a wide variety of environmental licenses, permits, inspections and other approvals. Compliance with environmental laws and regulations can require significant expenditures, including expenditures for cleanup costs and damages arising from contaminated properties. Failure to comply with environmental regulations may result in the imposition of fines, penalties and injunctive measures affecting operating assets. The steps the Duke Energy Registrants could be required to take to ensure their facilities are in compliance could be prohibitively expensive. As a result, the Duke Energy Registrants may be required to shut down or alter the operation of their facilities, which may cause the Duke Energy Registrants to incur losses. Further, the Duke Energy Registrants may not be successful in recovering capital and operating costs incurred to comply with new environmental regulations through existing regulatory rate structures and their contracts with customers. Also, the Duke Energy Registrants may not be able to obtain or maintain from time to time all required environmental regulatory approvals for their operating assets or development projects. Delays in obtaining any required environmental regulatory approvals, failure to obtain and comply with them or changes in environmental laws or regulations to more stringent compliance levels could result in additional costs of operation for existing facilities or development of new facilities being prevented, delayed or subject to additional costs. Although it is not expected that the costs to comply with current environmental regulations will have a material adverse effect on the Duke Energy Registrants’ results of operations, financial position and cash flows due to regulatory cost recovery, the Duke Energy Registrants are at risk that the costs of complying with environmental regulations in the future will have such an effect.</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The EPA has enacted or proposed federal regulations governing the management of cooling water intake structures, wastewater and CO</w:t>
      </w:r>
      <w:r w:rsidRPr="00031AA6">
        <w:rPr>
          <w:rFonts w:ascii="Arial" w:eastAsia="Times New Roman" w:hAnsi="Arial" w:cs="Arial"/>
          <w:color w:val="000000"/>
          <w:sz w:val="10"/>
          <w:szCs w:val="10"/>
          <w:vertAlign w:val="subscript"/>
        </w:rPr>
        <w:t>2</w:t>
      </w:r>
      <w:r w:rsidRPr="00031AA6">
        <w:rPr>
          <w:rFonts w:ascii="Arial" w:eastAsia="Times New Roman" w:hAnsi="Arial" w:cs="Arial"/>
          <w:color w:val="000000"/>
          <w:sz w:val="16"/>
          <w:szCs w:val="16"/>
        </w:rPr>
        <w:t> emissions. These regulations may require the Duke Energy Registrants to make additional capital expenditures and increase operating and maintenance costs.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Duke Energy Carolinas and Duke Energy Progress are subject to the terms of probation set out in judgments of the United States District Court for the Eastern District of North Carolina on May 14, 2015. The judgments are based on events and activities that took place prior to 2015. The terms of probation require the companies to comply with certain environmental regulatory obligations related to coal ash and subject the two companies to oversight by a Court Appointed Monitor. If Duke Energy Carolinas or Duke Energy Progress failed to comply with certain coal ash-related environmental laws and regulations or otherwise violated the terms of probation, it could result in the imposition of additional penalties, including the revocation of probation and re-prosecution of the underlying violations. Although it is not expected that the companies will violate the terms of probation or that additional material penalties would occur, a significant violation of probation could have a material adverse effect on the Duke Energy Registrants’ reputation, results of operations, financial position and cash flows.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The Duke Energy Registrants' operations, capital expenditures and financial results may be affected by regulatory changes related to the impacts of global climate change.</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 xml:space="preserve">There is continued concern, both nationally and internationally, about climate change. The EPA and state regulators may adopt and implement regulations to restrict emissions of GHGs to address global climate change. Increased regulation of GHG emissions could impose significant additional costs on the Duke Energy Registrants' operations, their suppliers and customers. Regulatory </w:t>
      </w:r>
      <w:r w:rsidRPr="00031AA6">
        <w:rPr>
          <w:rFonts w:ascii="Arial" w:eastAsia="Times New Roman" w:hAnsi="Arial" w:cs="Arial"/>
          <w:color w:val="000000"/>
          <w:sz w:val="16"/>
          <w:szCs w:val="16"/>
        </w:rPr>
        <w:lastRenderedPageBreak/>
        <w:t>changes could also result in generation facilities to be retired early and result in stranded costs if Duke Energy is not able to fully recover the costs and investment in generation.</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Operational Risks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The Duke Energy Registrants’ results of operations may be negatively affected by overall market, economic and other conditions that are beyond their control.</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Sustained downturns or sluggishness in the economy generally affect the markets in which the Duke Energy Registrants operate and negatively influence operations. Declines in demand for electricity or natural gas as a result of economic downturns in the Duke Energy Registrants’ regulated service territories will reduce overall sales and lessen cash flows, especially as industrial customers reduce production and, therefore, consumption of electricity and the use of natural gas. Although the Duke Energy Registrants’ regulated electric and natural gas businesses are subject to regulated allowable rates of return and recovery of certain costs, such as fuel and purchased natural gas costs, under periodic adjustment clauses, overall declines in electricity or natural gas sold as a result of economic downturn or recession could reduce revenues and cash flows, thereby diminishing results of operations. Additionally, prolonged economic downturns that negatively impact the Duke Energy Registrants’ results of operations and cash flows could result in future material impairment charges to write-down the carrying value of certain assets, including goodwill, to their respective fair values.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The Duke Energy Registrants also sell electricity into the spot market or other competitive power markets on a contractual basis. With respect to such transactions, the Duke Energy Registrants are not guaranteed any rate of return on their capital investments through mandated rates, and revenues and results of operations are likely to depend, in large part, upon prevailing market prices. These market prices may fluctuate substantially over relatively short periods of time and could reduce the Duke Energy Registrants’ revenues and margins, thereby diminishing results of operations.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Factors that could impact sales volumes, generation of electricity and market prices at which the Duke Energy Registrants are able to sell electricity and natural gas are as follows:</w:t>
      </w: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8640"/>
      </w:tblGrid>
      <w:tr w:rsidR="00031AA6" w:rsidRPr="00031AA6" w:rsidTr="00031AA6">
        <w:trPr>
          <w:tblCellSpacing w:w="0" w:type="dxa"/>
        </w:trPr>
        <w:tc>
          <w:tcPr>
            <w:tcW w:w="720" w:type="dxa"/>
            <w:vAlign w:val="center"/>
            <w:hideMark/>
          </w:tcPr>
          <w:p w:rsidR="00031AA6" w:rsidRPr="00031AA6" w:rsidRDefault="00031AA6" w:rsidP="00031AA6">
            <w:pPr>
              <w:spacing w:line="192" w:lineRule="atLeast"/>
              <w:rPr>
                <w:rFonts w:ascii="Times New Roman" w:eastAsia="Times New Roman" w:hAnsi="Times New Roman" w:cs="Times New Roman"/>
                <w:color w:val="000000"/>
                <w:sz w:val="16"/>
                <w:szCs w:val="16"/>
              </w:rPr>
            </w:pPr>
          </w:p>
        </w:tc>
        <w:tc>
          <w:tcPr>
            <w:tcW w:w="0" w:type="auto"/>
            <w:vAlign w:val="center"/>
            <w:hideMark/>
          </w:tcPr>
          <w:p w:rsidR="00031AA6" w:rsidRPr="00031AA6" w:rsidRDefault="00031AA6" w:rsidP="00031AA6">
            <w:pPr>
              <w:rPr>
                <w:rFonts w:ascii="Times New Roman" w:eastAsia="Times New Roman" w:hAnsi="Times New Roman" w:cs="Times New Roman"/>
                <w:sz w:val="20"/>
                <w:szCs w:val="20"/>
              </w:rPr>
            </w:pPr>
          </w:p>
        </w:tc>
      </w:tr>
      <w:tr w:rsidR="00031AA6" w:rsidRPr="00031AA6" w:rsidTr="00031AA6">
        <w:trPr>
          <w:tblCellSpacing w:w="0" w:type="dxa"/>
        </w:trPr>
        <w:tc>
          <w:tcPr>
            <w:tcW w:w="0" w:type="auto"/>
            <w:hideMark/>
          </w:tcPr>
          <w:p w:rsidR="00031AA6" w:rsidRPr="00031AA6" w:rsidRDefault="00031AA6" w:rsidP="00031AA6">
            <w:pPr>
              <w:spacing w:line="192" w:lineRule="atLeast"/>
              <w:rPr>
                <w:rFonts w:ascii="Times New Roman" w:eastAsia="Times New Roman" w:hAnsi="Times New Roman" w:cs="Times New Roman"/>
                <w:sz w:val="16"/>
                <w:szCs w:val="16"/>
              </w:rPr>
            </w:pPr>
            <w:r w:rsidRPr="00031AA6">
              <w:rPr>
                <w:rFonts w:ascii="Arial" w:eastAsia="Times New Roman" w:hAnsi="Arial" w:cs="Arial"/>
                <w:sz w:val="16"/>
                <w:szCs w:val="16"/>
              </w:rPr>
              <w:t>•</w:t>
            </w:r>
          </w:p>
        </w:tc>
        <w:tc>
          <w:tcPr>
            <w:tcW w:w="0" w:type="auto"/>
            <w:hideMark/>
          </w:tcPr>
          <w:p w:rsidR="00031AA6" w:rsidRPr="00031AA6" w:rsidRDefault="00031AA6" w:rsidP="00031AA6">
            <w:pPr>
              <w:spacing w:line="192" w:lineRule="atLeast"/>
              <w:rPr>
                <w:rFonts w:ascii="Times New Roman" w:eastAsia="Times New Roman" w:hAnsi="Times New Roman" w:cs="Times New Roman"/>
                <w:sz w:val="16"/>
                <w:szCs w:val="16"/>
              </w:rPr>
            </w:pPr>
            <w:r w:rsidRPr="00031AA6">
              <w:rPr>
                <w:rFonts w:ascii="Arial" w:eastAsia="Times New Roman" w:hAnsi="Arial" w:cs="Arial"/>
                <w:sz w:val="16"/>
                <w:szCs w:val="16"/>
              </w:rPr>
              <w:t>weather conditions, including abnormally mild winter or summer weather that cause lower energy or natural gas usage for heating or cooling purposes, as applicable, and periods of low rainfall that decrease the ability to operate facilities in an economical manner;</w:t>
            </w:r>
          </w:p>
        </w:tc>
      </w:tr>
    </w:tbl>
    <w:p w:rsidR="00031AA6" w:rsidRPr="00031AA6" w:rsidRDefault="00031AA6" w:rsidP="00031AA6">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3327"/>
      </w:tblGrid>
      <w:tr w:rsidR="00031AA6" w:rsidRPr="00031AA6" w:rsidTr="00031AA6">
        <w:trPr>
          <w:tblCellSpacing w:w="0" w:type="dxa"/>
        </w:trPr>
        <w:tc>
          <w:tcPr>
            <w:tcW w:w="720" w:type="dxa"/>
            <w:vAlign w:val="center"/>
            <w:hideMark/>
          </w:tcPr>
          <w:p w:rsidR="00031AA6" w:rsidRPr="00031AA6" w:rsidRDefault="00031AA6" w:rsidP="00031AA6">
            <w:pPr>
              <w:rPr>
                <w:rFonts w:ascii="Times New Roman" w:eastAsia="Times New Roman" w:hAnsi="Times New Roman" w:cs="Times New Roman"/>
              </w:rPr>
            </w:pPr>
          </w:p>
        </w:tc>
        <w:tc>
          <w:tcPr>
            <w:tcW w:w="0" w:type="auto"/>
            <w:vAlign w:val="center"/>
            <w:hideMark/>
          </w:tcPr>
          <w:p w:rsidR="00031AA6" w:rsidRPr="00031AA6" w:rsidRDefault="00031AA6" w:rsidP="00031AA6">
            <w:pPr>
              <w:rPr>
                <w:rFonts w:ascii="Times New Roman" w:eastAsia="Times New Roman" w:hAnsi="Times New Roman" w:cs="Times New Roman"/>
                <w:sz w:val="20"/>
                <w:szCs w:val="20"/>
              </w:rPr>
            </w:pPr>
          </w:p>
        </w:tc>
      </w:tr>
      <w:tr w:rsidR="00031AA6" w:rsidRPr="00031AA6" w:rsidTr="00031AA6">
        <w:trPr>
          <w:tblCellSpacing w:w="0" w:type="dxa"/>
        </w:trPr>
        <w:tc>
          <w:tcPr>
            <w:tcW w:w="0" w:type="auto"/>
            <w:hideMark/>
          </w:tcPr>
          <w:p w:rsidR="00031AA6" w:rsidRPr="00031AA6" w:rsidRDefault="00031AA6" w:rsidP="00031AA6">
            <w:pPr>
              <w:spacing w:line="192" w:lineRule="atLeast"/>
              <w:rPr>
                <w:rFonts w:ascii="Times New Roman" w:eastAsia="Times New Roman" w:hAnsi="Times New Roman" w:cs="Times New Roman"/>
                <w:sz w:val="16"/>
                <w:szCs w:val="16"/>
              </w:rPr>
            </w:pPr>
            <w:r w:rsidRPr="00031AA6">
              <w:rPr>
                <w:rFonts w:ascii="Arial" w:eastAsia="Times New Roman" w:hAnsi="Arial" w:cs="Arial"/>
                <w:sz w:val="16"/>
                <w:szCs w:val="16"/>
              </w:rPr>
              <w:t>•</w:t>
            </w:r>
          </w:p>
        </w:tc>
        <w:tc>
          <w:tcPr>
            <w:tcW w:w="0" w:type="auto"/>
            <w:hideMark/>
          </w:tcPr>
          <w:p w:rsidR="00031AA6" w:rsidRPr="00031AA6" w:rsidRDefault="00031AA6" w:rsidP="00031AA6">
            <w:pPr>
              <w:spacing w:line="192" w:lineRule="atLeast"/>
              <w:rPr>
                <w:rFonts w:ascii="Times New Roman" w:eastAsia="Times New Roman" w:hAnsi="Times New Roman" w:cs="Times New Roman"/>
                <w:sz w:val="16"/>
                <w:szCs w:val="16"/>
              </w:rPr>
            </w:pPr>
            <w:r w:rsidRPr="00031AA6">
              <w:rPr>
                <w:rFonts w:ascii="Arial" w:eastAsia="Times New Roman" w:hAnsi="Arial" w:cs="Arial"/>
                <w:sz w:val="16"/>
                <w:szCs w:val="16"/>
              </w:rPr>
              <w:t>supply of and demand for energy commodities;</w:t>
            </w:r>
          </w:p>
        </w:tc>
      </w:tr>
    </w:tbl>
    <w:p w:rsidR="00031AA6" w:rsidRPr="00031AA6" w:rsidRDefault="00031AA6" w:rsidP="00031AA6">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249"/>
      </w:tblGrid>
      <w:tr w:rsidR="00031AA6" w:rsidRPr="00031AA6" w:rsidTr="00031AA6">
        <w:trPr>
          <w:tblCellSpacing w:w="0" w:type="dxa"/>
        </w:trPr>
        <w:tc>
          <w:tcPr>
            <w:tcW w:w="720" w:type="dxa"/>
            <w:vAlign w:val="center"/>
            <w:hideMark/>
          </w:tcPr>
          <w:p w:rsidR="00031AA6" w:rsidRPr="00031AA6" w:rsidRDefault="00031AA6" w:rsidP="00031AA6">
            <w:pPr>
              <w:rPr>
                <w:rFonts w:ascii="Times New Roman" w:eastAsia="Times New Roman" w:hAnsi="Times New Roman" w:cs="Times New Roman"/>
              </w:rPr>
            </w:pPr>
          </w:p>
        </w:tc>
        <w:tc>
          <w:tcPr>
            <w:tcW w:w="0" w:type="auto"/>
            <w:vAlign w:val="center"/>
            <w:hideMark/>
          </w:tcPr>
          <w:p w:rsidR="00031AA6" w:rsidRPr="00031AA6" w:rsidRDefault="00031AA6" w:rsidP="00031AA6">
            <w:pPr>
              <w:rPr>
                <w:rFonts w:ascii="Times New Roman" w:eastAsia="Times New Roman" w:hAnsi="Times New Roman" w:cs="Times New Roman"/>
                <w:sz w:val="20"/>
                <w:szCs w:val="20"/>
              </w:rPr>
            </w:pPr>
          </w:p>
        </w:tc>
      </w:tr>
      <w:tr w:rsidR="00031AA6" w:rsidRPr="00031AA6" w:rsidTr="00031AA6">
        <w:trPr>
          <w:tblCellSpacing w:w="0" w:type="dxa"/>
        </w:trPr>
        <w:tc>
          <w:tcPr>
            <w:tcW w:w="0" w:type="auto"/>
            <w:hideMark/>
          </w:tcPr>
          <w:p w:rsidR="00031AA6" w:rsidRPr="00031AA6" w:rsidRDefault="00031AA6" w:rsidP="00031AA6">
            <w:pPr>
              <w:spacing w:line="192" w:lineRule="atLeast"/>
              <w:rPr>
                <w:rFonts w:ascii="Times New Roman" w:eastAsia="Times New Roman" w:hAnsi="Times New Roman" w:cs="Times New Roman"/>
                <w:sz w:val="16"/>
                <w:szCs w:val="16"/>
              </w:rPr>
            </w:pPr>
            <w:r w:rsidRPr="00031AA6">
              <w:rPr>
                <w:rFonts w:ascii="Arial" w:eastAsia="Times New Roman" w:hAnsi="Arial" w:cs="Arial"/>
                <w:sz w:val="16"/>
                <w:szCs w:val="16"/>
              </w:rPr>
              <w:t>•</w:t>
            </w:r>
          </w:p>
        </w:tc>
        <w:tc>
          <w:tcPr>
            <w:tcW w:w="0" w:type="auto"/>
            <w:hideMark/>
          </w:tcPr>
          <w:p w:rsidR="00031AA6" w:rsidRPr="00031AA6" w:rsidRDefault="00031AA6" w:rsidP="00031AA6">
            <w:pPr>
              <w:spacing w:line="192" w:lineRule="atLeast"/>
              <w:rPr>
                <w:rFonts w:ascii="Times New Roman" w:eastAsia="Times New Roman" w:hAnsi="Times New Roman" w:cs="Times New Roman"/>
                <w:sz w:val="16"/>
                <w:szCs w:val="16"/>
              </w:rPr>
            </w:pPr>
            <w:r w:rsidRPr="00031AA6">
              <w:rPr>
                <w:rFonts w:ascii="Arial" w:eastAsia="Times New Roman" w:hAnsi="Arial" w:cs="Arial"/>
                <w:sz w:val="16"/>
                <w:szCs w:val="16"/>
              </w:rPr>
              <w:t>transmission or transportation constraints or inefficiencies that impact nonregulated energy operations;</w:t>
            </w:r>
          </w:p>
        </w:tc>
      </w:tr>
    </w:tbl>
    <w:p w:rsidR="00031AA6" w:rsidRPr="00031AA6" w:rsidRDefault="00031AA6" w:rsidP="00031AA6">
      <w:pPr>
        <w:rPr>
          <w:rFonts w:ascii="Times New Roman" w:eastAsia="Times New Roman" w:hAnsi="Times New Roman" w:cs="Times New Roman"/>
          <w:color w:val="000000"/>
          <w:sz w:val="20"/>
          <w:szCs w:val="20"/>
        </w:rPr>
      </w:pPr>
    </w:p>
    <w:p w:rsidR="00031AA6" w:rsidRPr="00031AA6" w:rsidRDefault="00031AA6" w:rsidP="00031AA6">
      <w:pPr>
        <w:spacing w:line="192" w:lineRule="atLeast"/>
        <w:jc w:val="center"/>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26</w:t>
      </w:r>
    </w:p>
    <w:p w:rsidR="00031AA6" w:rsidRPr="00031AA6" w:rsidRDefault="00031AA6" w:rsidP="00031AA6">
      <w:pPr>
        <w:rPr>
          <w:rFonts w:ascii="Times New Roman" w:eastAsia="Times New Roman" w:hAnsi="Times New Roman" w:cs="Times New Roman"/>
        </w:rPr>
      </w:pPr>
      <w:r w:rsidRPr="00031AA6">
        <w:rPr>
          <w:rFonts w:ascii="Times New Roman" w:eastAsia="Times New Roman" w:hAnsi="Times New Roman" w:cs="Times New Roman"/>
        </w:rPr>
        <w:pict>
          <v:rect id="_x0000_i1027" style="width:0;height:1.5pt" o:hralign="center" o:hrstd="t" o:hrnoshade="t" o:hr="t" fillcolor="black" stroked="f"/>
        </w:pict>
      </w:r>
    </w:p>
    <w:p w:rsidR="00031AA6" w:rsidRPr="00031AA6" w:rsidRDefault="00031AA6" w:rsidP="00031AA6">
      <w:pPr>
        <w:spacing w:line="192" w:lineRule="atLeast"/>
        <w:rPr>
          <w:rFonts w:ascii="Times New Roman" w:eastAsia="Times New Roman" w:hAnsi="Times New Roman" w:cs="Times New Roman"/>
          <w:color w:val="000000"/>
          <w:sz w:val="16"/>
          <w:szCs w:val="16"/>
        </w:rPr>
      </w:pPr>
    </w:p>
    <w:p w:rsidR="00031AA6" w:rsidRPr="00031AA6" w:rsidRDefault="00031AA6" w:rsidP="00031AA6">
      <w:pPr>
        <w:spacing w:line="192" w:lineRule="atLeast"/>
        <w:rPr>
          <w:rFonts w:ascii="Times New Roman" w:eastAsia="Times New Roman" w:hAnsi="Times New Roman" w:cs="Times New Roman"/>
          <w:color w:val="000000"/>
          <w:sz w:val="16"/>
          <w:szCs w:val="16"/>
        </w:rPr>
      </w:pPr>
    </w:p>
    <w:p w:rsidR="00031AA6" w:rsidRPr="00031AA6" w:rsidRDefault="00031AA6" w:rsidP="00031AA6">
      <w:pPr>
        <w:spacing w:line="192" w:lineRule="atLeast"/>
        <w:rPr>
          <w:rFonts w:ascii="Times New Roman" w:eastAsia="Times New Roman" w:hAnsi="Times New Roman" w:cs="Times New Roman"/>
          <w:color w:val="000000"/>
          <w:sz w:val="16"/>
          <w:szCs w:val="16"/>
        </w:rPr>
      </w:pPr>
    </w:p>
    <w:tbl>
      <w:tblPr>
        <w:tblW w:w="21270" w:type="dxa"/>
        <w:jc w:val="center"/>
        <w:tblCellMar>
          <w:left w:w="0" w:type="dxa"/>
          <w:right w:w="0" w:type="dxa"/>
        </w:tblCellMar>
        <w:tblLook w:val="04A0" w:firstRow="1" w:lastRow="0" w:firstColumn="1" w:lastColumn="0" w:noHBand="0" w:noVBand="1"/>
      </w:tblPr>
      <w:tblGrid>
        <w:gridCol w:w="7020"/>
        <w:gridCol w:w="14250"/>
      </w:tblGrid>
      <w:tr w:rsidR="00031AA6" w:rsidRPr="00031AA6" w:rsidTr="00031AA6">
        <w:trPr>
          <w:jc w:val="center"/>
        </w:trPr>
        <w:tc>
          <w:tcPr>
            <w:tcW w:w="0" w:type="auto"/>
            <w:gridSpan w:val="2"/>
            <w:vAlign w:val="center"/>
            <w:hideMark/>
          </w:tcPr>
          <w:p w:rsidR="00031AA6" w:rsidRPr="00031AA6" w:rsidRDefault="00031AA6" w:rsidP="00031AA6">
            <w:pPr>
              <w:spacing w:line="192" w:lineRule="atLeast"/>
              <w:rPr>
                <w:rFonts w:ascii="Times New Roman" w:eastAsia="Times New Roman" w:hAnsi="Times New Roman" w:cs="Times New Roman"/>
                <w:color w:val="000000"/>
                <w:sz w:val="16"/>
                <w:szCs w:val="16"/>
              </w:rPr>
            </w:pPr>
          </w:p>
        </w:tc>
      </w:tr>
      <w:tr w:rsidR="00031AA6" w:rsidRPr="00031AA6" w:rsidTr="00031AA6">
        <w:trPr>
          <w:jc w:val="center"/>
        </w:trPr>
        <w:tc>
          <w:tcPr>
            <w:tcW w:w="7020" w:type="dxa"/>
            <w:vAlign w:val="center"/>
            <w:hideMark/>
          </w:tcPr>
          <w:p w:rsidR="00031AA6" w:rsidRPr="00031AA6" w:rsidRDefault="00031AA6" w:rsidP="00031AA6">
            <w:pPr>
              <w:rPr>
                <w:rFonts w:ascii="Times New Roman" w:eastAsia="Times New Roman" w:hAnsi="Times New Roman" w:cs="Times New Roman"/>
                <w:sz w:val="20"/>
                <w:szCs w:val="20"/>
              </w:rPr>
            </w:pPr>
          </w:p>
        </w:tc>
        <w:tc>
          <w:tcPr>
            <w:tcW w:w="14250" w:type="dxa"/>
            <w:vAlign w:val="center"/>
            <w:hideMark/>
          </w:tcPr>
          <w:p w:rsidR="00031AA6" w:rsidRPr="00031AA6" w:rsidRDefault="00031AA6" w:rsidP="00031AA6">
            <w:pPr>
              <w:rPr>
                <w:rFonts w:ascii="Times New Roman" w:eastAsia="Times New Roman" w:hAnsi="Times New Roman" w:cs="Times New Roman"/>
                <w:sz w:val="20"/>
                <w:szCs w:val="20"/>
              </w:rPr>
            </w:pPr>
          </w:p>
        </w:tc>
      </w:tr>
      <w:tr w:rsidR="00031AA6" w:rsidRPr="00031AA6" w:rsidTr="00031AA6">
        <w:trPr>
          <w:jc w:val="center"/>
        </w:trPr>
        <w:tc>
          <w:tcPr>
            <w:tcW w:w="0" w:type="auto"/>
            <w:tcBorders>
              <w:bottom w:val="single" w:sz="6" w:space="0" w:color="828282"/>
            </w:tcBorders>
            <w:shd w:val="clear" w:color="auto" w:fill="828282"/>
            <w:tcMar>
              <w:top w:w="30" w:type="dxa"/>
              <w:left w:w="30" w:type="dxa"/>
              <w:bottom w:w="30" w:type="dxa"/>
              <w:right w:w="30" w:type="dxa"/>
            </w:tcMar>
            <w:vAlign w:val="center"/>
            <w:hideMark/>
          </w:tcPr>
          <w:p w:rsidR="00031AA6" w:rsidRPr="00031AA6" w:rsidRDefault="00031AA6" w:rsidP="00031AA6">
            <w:pPr>
              <w:rPr>
                <w:rFonts w:ascii="Times New Roman" w:eastAsia="Times New Roman" w:hAnsi="Times New Roman" w:cs="Times New Roman"/>
                <w:sz w:val="16"/>
                <w:szCs w:val="16"/>
              </w:rPr>
            </w:pPr>
            <w:r w:rsidRPr="00031AA6">
              <w:rPr>
                <w:rFonts w:ascii="Arial" w:eastAsia="Times New Roman" w:hAnsi="Arial" w:cs="Arial"/>
                <w:b/>
                <w:bCs/>
                <w:color w:val="FFFFFF"/>
                <w:sz w:val="16"/>
                <w:szCs w:val="16"/>
              </w:rPr>
              <w:t>RISK FACTORS</w:t>
            </w:r>
          </w:p>
        </w:tc>
        <w:tc>
          <w:tcPr>
            <w:tcW w:w="0" w:type="auto"/>
            <w:tcBorders>
              <w:bottom w:val="single" w:sz="6" w:space="0" w:color="828282"/>
            </w:tcBorders>
            <w:tcMar>
              <w:top w:w="30" w:type="dxa"/>
              <w:left w:w="30" w:type="dxa"/>
              <w:bottom w:w="30" w:type="dxa"/>
              <w:right w:w="30" w:type="dxa"/>
            </w:tcMar>
            <w:vAlign w:val="bottom"/>
            <w:hideMark/>
          </w:tcPr>
          <w:p w:rsidR="00031AA6" w:rsidRPr="00031AA6" w:rsidRDefault="00031AA6" w:rsidP="00031AA6">
            <w:pPr>
              <w:rPr>
                <w:rFonts w:ascii="Times New Roman" w:eastAsia="Times New Roman" w:hAnsi="Times New Roman" w:cs="Times New Roman"/>
                <w:sz w:val="20"/>
                <w:szCs w:val="20"/>
              </w:rPr>
            </w:pPr>
            <w:r w:rsidRPr="00031AA6">
              <w:rPr>
                <w:rFonts w:ascii="inherit" w:eastAsia="Times New Roman" w:hAnsi="inherit" w:cs="Times New Roman"/>
                <w:sz w:val="20"/>
                <w:szCs w:val="20"/>
              </w:rPr>
              <w:t> </w:t>
            </w:r>
          </w:p>
        </w:tc>
      </w:tr>
    </w:tbl>
    <w:p w:rsidR="00031AA6" w:rsidRPr="00031AA6" w:rsidRDefault="00031AA6" w:rsidP="00031AA6">
      <w:pPr>
        <w:spacing w:line="192" w:lineRule="atLeast"/>
        <w:rPr>
          <w:rFonts w:ascii="Times New Roman" w:eastAsia="Times New Roman" w:hAnsi="Times New Roman" w:cs="Times New Roman"/>
          <w:color w:val="000000"/>
          <w:sz w:val="16"/>
          <w:szCs w:val="16"/>
        </w:rPr>
      </w:pPr>
    </w:p>
    <w:p w:rsidR="00031AA6" w:rsidRPr="00031AA6" w:rsidRDefault="00031AA6" w:rsidP="00031AA6">
      <w:pPr>
        <w:rPr>
          <w:rFonts w:ascii="Times New Roman" w:eastAsia="Times New Roman" w:hAnsi="Times New Roman" w:cs="Times New Roman"/>
          <w:color w:val="000000"/>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8640"/>
      </w:tblGrid>
      <w:tr w:rsidR="00031AA6" w:rsidRPr="00031AA6" w:rsidTr="00031AA6">
        <w:trPr>
          <w:tblCellSpacing w:w="0" w:type="dxa"/>
        </w:trPr>
        <w:tc>
          <w:tcPr>
            <w:tcW w:w="720" w:type="dxa"/>
            <w:vAlign w:val="center"/>
            <w:hideMark/>
          </w:tcPr>
          <w:p w:rsidR="00031AA6" w:rsidRPr="00031AA6" w:rsidRDefault="00031AA6" w:rsidP="00031AA6">
            <w:pPr>
              <w:rPr>
                <w:rFonts w:ascii="Times New Roman" w:eastAsia="Times New Roman" w:hAnsi="Times New Roman" w:cs="Times New Roman"/>
                <w:color w:val="000000"/>
                <w:sz w:val="20"/>
                <w:szCs w:val="20"/>
              </w:rPr>
            </w:pPr>
          </w:p>
        </w:tc>
        <w:tc>
          <w:tcPr>
            <w:tcW w:w="0" w:type="auto"/>
            <w:vAlign w:val="center"/>
            <w:hideMark/>
          </w:tcPr>
          <w:p w:rsidR="00031AA6" w:rsidRPr="00031AA6" w:rsidRDefault="00031AA6" w:rsidP="00031AA6">
            <w:pPr>
              <w:rPr>
                <w:rFonts w:ascii="Times New Roman" w:eastAsia="Times New Roman" w:hAnsi="Times New Roman" w:cs="Times New Roman"/>
                <w:sz w:val="20"/>
                <w:szCs w:val="20"/>
              </w:rPr>
            </w:pPr>
          </w:p>
        </w:tc>
      </w:tr>
      <w:tr w:rsidR="00031AA6" w:rsidRPr="00031AA6" w:rsidTr="00031AA6">
        <w:trPr>
          <w:tblCellSpacing w:w="0" w:type="dxa"/>
        </w:trPr>
        <w:tc>
          <w:tcPr>
            <w:tcW w:w="0" w:type="auto"/>
            <w:hideMark/>
          </w:tcPr>
          <w:p w:rsidR="00031AA6" w:rsidRPr="00031AA6" w:rsidRDefault="00031AA6" w:rsidP="00031AA6">
            <w:pPr>
              <w:spacing w:line="192" w:lineRule="atLeast"/>
              <w:rPr>
                <w:rFonts w:ascii="Times New Roman" w:eastAsia="Times New Roman" w:hAnsi="Times New Roman" w:cs="Times New Roman"/>
                <w:sz w:val="16"/>
                <w:szCs w:val="16"/>
              </w:rPr>
            </w:pPr>
            <w:r w:rsidRPr="00031AA6">
              <w:rPr>
                <w:rFonts w:ascii="Arial" w:eastAsia="Times New Roman" w:hAnsi="Arial" w:cs="Arial"/>
                <w:sz w:val="16"/>
                <w:szCs w:val="16"/>
              </w:rPr>
              <w:t>•</w:t>
            </w:r>
          </w:p>
        </w:tc>
        <w:tc>
          <w:tcPr>
            <w:tcW w:w="0" w:type="auto"/>
            <w:hideMark/>
          </w:tcPr>
          <w:p w:rsidR="00031AA6" w:rsidRPr="00031AA6" w:rsidRDefault="00031AA6" w:rsidP="00031AA6">
            <w:pPr>
              <w:spacing w:line="192" w:lineRule="atLeast"/>
              <w:rPr>
                <w:rFonts w:ascii="Times New Roman" w:eastAsia="Times New Roman" w:hAnsi="Times New Roman" w:cs="Times New Roman"/>
                <w:sz w:val="16"/>
                <w:szCs w:val="16"/>
              </w:rPr>
            </w:pPr>
            <w:r w:rsidRPr="00031AA6">
              <w:rPr>
                <w:rFonts w:ascii="Arial" w:eastAsia="Times New Roman" w:hAnsi="Arial" w:cs="Arial"/>
                <w:sz w:val="16"/>
                <w:szCs w:val="16"/>
              </w:rPr>
              <w:t>availability of competitively priced alternative energy sources, which are preferred by some customers over electricity produced from coal, nuclear or natural gas plants, and customer usage of energy-efficient equipment that reduces energy demand;</w:t>
            </w:r>
          </w:p>
        </w:tc>
      </w:tr>
    </w:tbl>
    <w:p w:rsidR="00031AA6" w:rsidRPr="00031AA6" w:rsidRDefault="00031AA6" w:rsidP="00031AA6">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5061"/>
      </w:tblGrid>
      <w:tr w:rsidR="00031AA6" w:rsidRPr="00031AA6" w:rsidTr="00031AA6">
        <w:trPr>
          <w:tblCellSpacing w:w="0" w:type="dxa"/>
        </w:trPr>
        <w:tc>
          <w:tcPr>
            <w:tcW w:w="720" w:type="dxa"/>
            <w:vAlign w:val="center"/>
            <w:hideMark/>
          </w:tcPr>
          <w:p w:rsidR="00031AA6" w:rsidRPr="00031AA6" w:rsidRDefault="00031AA6" w:rsidP="00031AA6">
            <w:pPr>
              <w:rPr>
                <w:rFonts w:ascii="Times New Roman" w:eastAsia="Times New Roman" w:hAnsi="Times New Roman" w:cs="Times New Roman"/>
              </w:rPr>
            </w:pPr>
          </w:p>
        </w:tc>
        <w:tc>
          <w:tcPr>
            <w:tcW w:w="0" w:type="auto"/>
            <w:vAlign w:val="center"/>
            <w:hideMark/>
          </w:tcPr>
          <w:p w:rsidR="00031AA6" w:rsidRPr="00031AA6" w:rsidRDefault="00031AA6" w:rsidP="00031AA6">
            <w:pPr>
              <w:rPr>
                <w:rFonts w:ascii="Times New Roman" w:eastAsia="Times New Roman" w:hAnsi="Times New Roman" w:cs="Times New Roman"/>
                <w:sz w:val="20"/>
                <w:szCs w:val="20"/>
              </w:rPr>
            </w:pPr>
          </w:p>
        </w:tc>
      </w:tr>
      <w:tr w:rsidR="00031AA6" w:rsidRPr="00031AA6" w:rsidTr="00031AA6">
        <w:trPr>
          <w:tblCellSpacing w:w="0" w:type="dxa"/>
        </w:trPr>
        <w:tc>
          <w:tcPr>
            <w:tcW w:w="0" w:type="auto"/>
            <w:hideMark/>
          </w:tcPr>
          <w:p w:rsidR="00031AA6" w:rsidRPr="00031AA6" w:rsidRDefault="00031AA6" w:rsidP="00031AA6">
            <w:pPr>
              <w:spacing w:line="192" w:lineRule="atLeast"/>
              <w:rPr>
                <w:rFonts w:ascii="Times New Roman" w:eastAsia="Times New Roman" w:hAnsi="Times New Roman" w:cs="Times New Roman"/>
                <w:sz w:val="16"/>
                <w:szCs w:val="16"/>
              </w:rPr>
            </w:pPr>
            <w:r w:rsidRPr="00031AA6">
              <w:rPr>
                <w:rFonts w:ascii="Arial" w:eastAsia="Times New Roman" w:hAnsi="Arial" w:cs="Arial"/>
                <w:sz w:val="16"/>
                <w:szCs w:val="16"/>
              </w:rPr>
              <w:t>•</w:t>
            </w:r>
          </w:p>
        </w:tc>
        <w:tc>
          <w:tcPr>
            <w:tcW w:w="0" w:type="auto"/>
            <w:hideMark/>
          </w:tcPr>
          <w:p w:rsidR="00031AA6" w:rsidRPr="00031AA6" w:rsidRDefault="00031AA6" w:rsidP="00031AA6">
            <w:pPr>
              <w:spacing w:line="192" w:lineRule="atLeast"/>
              <w:rPr>
                <w:rFonts w:ascii="Times New Roman" w:eastAsia="Times New Roman" w:hAnsi="Times New Roman" w:cs="Times New Roman"/>
                <w:sz w:val="16"/>
                <w:szCs w:val="16"/>
              </w:rPr>
            </w:pPr>
            <w:r w:rsidRPr="00031AA6">
              <w:rPr>
                <w:rFonts w:ascii="Arial" w:eastAsia="Times New Roman" w:hAnsi="Arial" w:cs="Arial"/>
                <w:sz w:val="16"/>
                <w:szCs w:val="16"/>
              </w:rPr>
              <w:t>natural gas, crude oil and refined products production levels and prices;</w:t>
            </w:r>
          </w:p>
        </w:tc>
      </w:tr>
    </w:tbl>
    <w:p w:rsidR="00031AA6" w:rsidRPr="00031AA6" w:rsidRDefault="00031AA6" w:rsidP="00031AA6">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6502"/>
      </w:tblGrid>
      <w:tr w:rsidR="00031AA6" w:rsidRPr="00031AA6" w:rsidTr="00031AA6">
        <w:trPr>
          <w:tblCellSpacing w:w="0" w:type="dxa"/>
        </w:trPr>
        <w:tc>
          <w:tcPr>
            <w:tcW w:w="720" w:type="dxa"/>
            <w:vAlign w:val="center"/>
            <w:hideMark/>
          </w:tcPr>
          <w:p w:rsidR="00031AA6" w:rsidRPr="00031AA6" w:rsidRDefault="00031AA6" w:rsidP="00031AA6">
            <w:pPr>
              <w:rPr>
                <w:rFonts w:ascii="Times New Roman" w:eastAsia="Times New Roman" w:hAnsi="Times New Roman" w:cs="Times New Roman"/>
              </w:rPr>
            </w:pPr>
          </w:p>
        </w:tc>
        <w:tc>
          <w:tcPr>
            <w:tcW w:w="0" w:type="auto"/>
            <w:vAlign w:val="center"/>
            <w:hideMark/>
          </w:tcPr>
          <w:p w:rsidR="00031AA6" w:rsidRPr="00031AA6" w:rsidRDefault="00031AA6" w:rsidP="00031AA6">
            <w:pPr>
              <w:rPr>
                <w:rFonts w:ascii="Times New Roman" w:eastAsia="Times New Roman" w:hAnsi="Times New Roman" w:cs="Times New Roman"/>
                <w:sz w:val="20"/>
                <w:szCs w:val="20"/>
              </w:rPr>
            </w:pPr>
          </w:p>
        </w:tc>
      </w:tr>
      <w:tr w:rsidR="00031AA6" w:rsidRPr="00031AA6" w:rsidTr="00031AA6">
        <w:trPr>
          <w:tblCellSpacing w:w="0" w:type="dxa"/>
        </w:trPr>
        <w:tc>
          <w:tcPr>
            <w:tcW w:w="0" w:type="auto"/>
            <w:hideMark/>
          </w:tcPr>
          <w:p w:rsidR="00031AA6" w:rsidRPr="00031AA6" w:rsidRDefault="00031AA6" w:rsidP="00031AA6">
            <w:pPr>
              <w:spacing w:line="192" w:lineRule="atLeast"/>
              <w:rPr>
                <w:rFonts w:ascii="Times New Roman" w:eastAsia="Times New Roman" w:hAnsi="Times New Roman" w:cs="Times New Roman"/>
                <w:sz w:val="16"/>
                <w:szCs w:val="16"/>
              </w:rPr>
            </w:pPr>
            <w:r w:rsidRPr="00031AA6">
              <w:rPr>
                <w:rFonts w:ascii="Arial" w:eastAsia="Times New Roman" w:hAnsi="Arial" w:cs="Arial"/>
                <w:sz w:val="16"/>
                <w:szCs w:val="16"/>
              </w:rPr>
              <w:t>•</w:t>
            </w:r>
          </w:p>
        </w:tc>
        <w:tc>
          <w:tcPr>
            <w:tcW w:w="0" w:type="auto"/>
            <w:hideMark/>
          </w:tcPr>
          <w:p w:rsidR="00031AA6" w:rsidRPr="00031AA6" w:rsidRDefault="00031AA6" w:rsidP="00031AA6">
            <w:pPr>
              <w:spacing w:line="192" w:lineRule="atLeast"/>
              <w:rPr>
                <w:rFonts w:ascii="Times New Roman" w:eastAsia="Times New Roman" w:hAnsi="Times New Roman" w:cs="Times New Roman"/>
                <w:sz w:val="16"/>
                <w:szCs w:val="16"/>
              </w:rPr>
            </w:pPr>
            <w:r w:rsidRPr="00031AA6">
              <w:rPr>
                <w:rFonts w:ascii="Arial" w:eastAsia="Times New Roman" w:hAnsi="Arial" w:cs="Arial"/>
                <w:sz w:val="16"/>
                <w:szCs w:val="16"/>
              </w:rPr>
              <w:t>ability to procure satisfactory levels of inventory, such as coal, natural gas and uranium; and</w:t>
            </w:r>
          </w:p>
        </w:tc>
      </w:tr>
    </w:tbl>
    <w:p w:rsidR="00031AA6" w:rsidRPr="00031AA6" w:rsidRDefault="00031AA6" w:rsidP="00031AA6">
      <w:pPr>
        <w:rPr>
          <w:rFonts w:ascii="Times New Roman" w:eastAsia="Times New Roman" w:hAnsi="Times New Roman" w:cs="Times New Roman"/>
          <w:vanish/>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6199"/>
      </w:tblGrid>
      <w:tr w:rsidR="00031AA6" w:rsidRPr="00031AA6" w:rsidTr="00031AA6">
        <w:trPr>
          <w:tblCellSpacing w:w="0" w:type="dxa"/>
        </w:trPr>
        <w:tc>
          <w:tcPr>
            <w:tcW w:w="720" w:type="dxa"/>
            <w:vAlign w:val="center"/>
            <w:hideMark/>
          </w:tcPr>
          <w:p w:rsidR="00031AA6" w:rsidRPr="00031AA6" w:rsidRDefault="00031AA6" w:rsidP="00031AA6">
            <w:pPr>
              <w:rPr>
                <w:rFonts w:ascii="Times New Roman" w:eastAsia="Times New Roman" w:hAnsi="Times New Roman" w:cs="Times New Roman"/>
              </w:rPr>
            </w:pPr>
          </w:p>
        </w:tc>
        <w:tc>
          <w:tcPr>
            <w:tcW w:w="0" w:type="auto"/>
            <w:vAlign w:val="center"/>
            <w:hideMark/>
          </w:tcPr>
          <w:p w:rsidR="00031AA6" w:rsidRPr="00031AA6" w:rsidRDefault="00031AA6" w:rsidP="00031AA6">
            <w:pPr>
              <w:rPr>
                <w:rFonts w:ascii="Times New Roman" w:eastAsia="Times New Roman" w:hAnsi="Times New Roman" w:cs="Times New Roman"/>
                <w:sz w:val="20"/>
                <w:szCs w:val="20"/>
              </w:rPr>
            </w:pPr>
          </w:p>
        </w:tc>
      </w:tr>
      <w:tr w:rsidR="00031AA6" w:rsidRPr="00031AA6" w:rsidTr="00031AA6">
        <w:trPr>
          <w:tblCellSpacing w:w="0" w:type="dxa"/>
        </w:trPr>
        <w:tc>
          <w:tcPr>
            <w:tcW w:w="0" w:type="auto"/>
            <w:hideMark/>
          </w:tcPr>
          <w:p w:rsidR="00031AA6" w:rsidRPr="00031AA6" w:rsidRDefault="00031AA6" w:rsidP="00031AA6">
            <w:pPr>
              <w:spacing w:line="192" w:lineRule="atLeast"/>
              <w:rPr>
                <w:rFonts w:ascii="Times New Roman" w:eastAsia="Times New Roman" w:hAnsi="Times New Roman" w:cs="Times New Roman"/>
                <w:sz w:val="16"/>
                <w:szCs w:val="16"/>
              </w:rPr>
            </w:pPr>
            <w:r w:rsidRPr="00031AA6">
              <w:rPr>
                <w:rFonts w:ascii="Arial" w:eastAsia="Times New Roman" w:hAnsi="Arial" w:cs="Arial"/>
                <w:sz w:val="16"/>
                <w:szCs w:val="16"/>
              </w:rPr>
              <w:t>•</w:t>
            </w:r>
          </w:p>
        </w:tc>
        <w:tc>
          <w:tcPr>
            <w:tcW w:w="0" w:type="auto"/>
            <w:hideMark/>
          </w:tcPr>
          <w:p w:rsidR="00031AA6" w:rsidRPr="00031AA6" w:rsidRDefault="00031AA6" w:rsidP="00031AA6">
            <w:pPr>
              <w:spacing w:line="192" w:lineRule="atLeast"/>
              <w:rPr>
                <w:rFonts w:ascii="Times New Roman" w:eastAsia="Times New Roman" w:hAnsi="Times New Roman" w:cs="Times New Roman"/>
                <w:sz w:val="16"/>
                <w:szCs w:val="16"/>
              </w:rPr>
            </w:pPr>
            <w:r w:rsidRPr="00031AA6">
              <w:rPr>
                <w:rFonts w:ascii="Arial" w:eastAsia="Times New Roman" w:hAnsi="Arial" w:cs="Arial"/>
                <w:sz w:val="16"/>
                <w:szCs w:val="16"/>
              </w:rPr>
              <w:t>capacity and transmission service into, or out of, the Duke Energy Registrants’ markets.</w:t>
            </w:r>
          </w:p>
        </w:tc>
      </w:tr>
    </w:tbl>
    <w:p w:rsidR="00031AA6" w:rsidRPr="00031AA6" w:rsidRDefault="00031AA6" w:rsidP="00031AA6">
      <w:pPr>
        <w:spacing w:line="192" w:lineRule="atLeast"/>
        <w:ind w:hanging="720"/>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Natural disasters or operational accidents may adversely affect the Duke Energy Registrants’ operating results.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Natural disasters or other operational accidents within the company or industry (such as forest fires, earthquakes, hurricanes or natural gas transmission pipeline explosions) could have direct or indirect impacts to the Duke Energy Registrants or to key contractors and suppliers. Further, the generation of electricity and the transportation and storage of natural gas involve inherent operating risks that may result in accidents involving serious injury or loss of life, environmental damage or property damage. Such events could impact the Duke Energy Registrants through changes to policies, laws and regulations whose compliance costs have a significant impact on the Duke Energy Registrants’ results of operations, financial position and cash flows. In addition, if a serious operational accident were to occur, it could have a material adverse effect on the results of operations, financial position, cash flows and reputation of the Duke Energy Registrants.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 xml:space="preserve">The reputation and financial condition of the Duke Energy Registrants could be negatively impacted due to their obligations to comply with federal and state regulations, laws, and other legal requirements that govern the operations, assessments, storage, closure, remediation, disposal and monitoring relating to CCR, the high costs and new rate impacts </w:t>
      </w:r>
      <w:r w:rsidRPr="00031AA6">
        <w:rPr>
          <w:rFonts w:ascii="Arial" w:eastAsia="Times New Roman" w:hAnsi="Arial" w:cs="Arial"/>
          <w:b/>
          <w:bCs/>
          <w:color w:val="000000"/>
          <w:sz w:val="16"/>
          <w:szCs w:val="16"/>
        </w:rPr>
        <w:lastRenderedPageBreak/>
        <w:t>associated with implementing these new CCR-related requirements and the strategies and methods necessary to implement these requirements in compliance with these legal obligations.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As a result of electricity produced for decades at coal-fired power plants, the Duke Energy Registrants manage large amounts of CCR that are primarily stored in dry storage within landfills or combined with water in other surface impoundments, all in compliance with applicable regulatory requirements. However, the potential exists for another CCR-related incident, such as the one that occurred during the 2014 Dan River Steam Station ash basin release, that could raise environmental or public health concerns. Such a CCR-related incident could have a material adverse impact on the reputation and results of operations, financial position and cash flows of the Duke Energy Registrants.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During 2015, EPA regulations were enacted related to the management of CCR from power plants. These regulations classify CCR as nonhazardous waste under the RCRA and apply to electric generating sites with new and existing landfills, new and existing surface impoundments, structural fills and CCR piles, and establishes requirements regarding landfill design, structural integrity design and assessment criteria for surface impoundments, groundwater monitoring, protection and remedial procedures and other operational and reporting procedures for the disposal and management of CCR. In addition to the federal regulations, CCR landfills and surface impoundments will continue to be independently regulated by existing state laws, regulations and permits, as well as additional legal requirements that may be imposed in the future. These federal and state laws, regulations and other legal requirements may require or result in additional expenditures, increased operating and maintenance costs and/or result in closure of certain power generating facilities, which could affect the results of operations, financial position and cash flows of the Duke Energy Registrants. The Duke Energy Registrants will continue to seek full cost recovery for expenditures through the normal ratemaking process with state and federal utility commissions, who permit recovery in rates of necessary and prudently incurred costs associated with the Duke Energy Registrants’ regulated operations, and through other wholesale contracts with terms that contemplate recovery of such costs, although there is no guarantee of full cost recovery. In addition, the timing for recovery of such costs could have a material adverse impact on Duke Energy's cash flows.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The Duke Energy Registrants have recognized significant asset retirement obligations related to these CCR-related requirements. Closure activities began in 2015 at the four sites specified as high priority by the Coal Ash Act and at the W.S. Lee Steam Station site in South Carolina in connection with other legal requirements. Excavation at these sites involves movement of large amounts of CCR materials to off-site locations for use as structural fill, to appropriate engineered off-site or on-site lined landfills or conversion of the ash for beneficial use. At other sites, preliminary planning and closure methods have been studied and factored into the estimated retirement and management costs. The Coal Ash Act requires CCR surface impoundments in North Carolina to be closed, with the closure method and timing based on a risk ranking classification determined by legislation or state regulators. Additionally, the RCRA required closure timing depends upon meeting or continuing to meet certain criteria. As the closure and CCR management work progresses and final closure plans and corrective action measures are developed and approved at each site, the scope and complexity of work and the amount of CCR material could be greater than estimates and could, therefore, materially increase compliance expenditures and rate impacts.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The Duke Energy Registrants’ financial position, results of operations and cash flows may be negatively affected by a lack of growth or slower growth in the number of customers, or decline in customer demand or number of customers.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Growth in customer accounts and growth of customer usage each directly influence demand for electricity and natural gas and the need for additional power generation and delivery facilities. Customer growth and customer usage are affected by a number of factors outside the control of the Duke Energy Registrants, such as mandated energy efficiency measures, demand-side management goals, distributed generation resources and economic and demographic conditions, such as population changes, job and income growth, housing starts, new business formation and the overall level of economic activity.</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Certain regulatory and legislative bodies have introduced or are considering requirements and/or incentives to reduce energy consumption by certain dates. Additionally, technological advances driven by federal laws mandating new levels of energy efficiency in end-use electric devices or other improvements in or applications of technology could lead to declines in per capita energy consumption.</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Advances in distributed generation technologies that produce power, including fuel cells, microturbines, wind turbines and solar cells, may reduce the cost of alternative methods of producing power to a level competitive with central power station electric production utilized by the Duke Energy Registrants.</w:t>
      </w:r>
    </w:p>
    <w:p w:rsidR="00031AA6" w:rsidRPr="00031AA6" w:rsidRDefault="00031AA6" w:rsidP="00031AA6">
      <w:pPr>
        <w:rPr>
          <w:rFonts w:ascii="Times New Roman" w:eastAsia="Times New Roman" w:hAnsi="Times New Roman" w:cs="Times New Roman"/>
          <w:color w:val="000000"/>
          <w:sz w:val="20"/>
          <w:szCs w:val="20"/>
        </w:rPr>
      </w:pPr>
    </w:p>
    <w:p w:rsidR="00031AA6" w:rsidRPr="00031AA6" w:rsidRDefault="00031AA6" w:rsidP="00031AA6">
      <w:pPr>
        <w:spacing w:line="192" w:lineRule="atLeast"/>
        <w:jc w:val="center"/>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27</w:t>
      </w:r>
    </w:p>
    <w:p w:rsidR="00031AA6" w:rsidRPr="00031AA6" w:rsidRDefault="00031AA6" w:rsidP="00031AA6">
      <w:pPr>
        <w:rPr>
          <w:rFonts w:ascii="Times New Roman" w:eastAsia="Times New Roman" w:hAnsi="Times New Roman" w:cs="Times New Roman"/>
        </w:rPr>
      </w:pPr>
      <w:r w:rsidRPr="00031AA6">
        <w:rPr>
          <w:rFonts w:ascii="Times New Roman" w:eastAsia="Times New Roman" w:hAnsi="Times New Roman" w:cs="Times New Roman"/>
        </w:rPr>
        <w:pict>
          <v:rect id="_x0000_i1028" style="width:0;height:1.5pt" o:hralign="center" o:hrstd="t" o:hrnoshade="t" o:hr="t" fillcolor="black" stroked="f"/>
        </w:pict>
      </w:r>
    </w:p>
    <w:p w:rsidR="00031AA6" w:rsidRPr="00031AA6" w:rsidRDefault="00031AA6" w:rsidP="00031AA6">
      <w:pPr>
        <w:spacing w:line="192" w:lineRule="atLeast"/>
        <w:rPr>
          <w:rFonts w:ascii="Times New Roman" w:eastAsia="Times New Roman" w:hAnsi="Times New Roman" w:cs="Times New Roman"/>
          <w:color w:val="000000"/>
          <w:sz w:val="16"/>
          <w:szCs w:val="16"/>
        </w:rPr>
      </w:pPr>
    </w:p>
    <w:p w:rsidR="00031AA6" w:rsidRPr="00031AA6" w:rsidRDefault="00031AA6" w:rsidP="00031AA6">
      <w:pPr>
        <w:spacing w:line="192" w:lineRule="atLeast"/>
        <w:rPr>
          <w:rFonts w:ascii="Times New Roman" w:eastAsia="Times New Roman" w:hAnsi="Times New Roman" w:cs="Times New Roman"/>
          <w:color w:val="000000"/>
          <w:sz w:val="16"/>
          <w:szCs w:val="16"/>
        </w:rPr>
      </w:pPr>
    </w:p>
    <w:p w:rsidR="00031AA6" w:rsidRPr="00031AA6" w:rsidRDefault="00031AA6" w:rsidP="00031AA6">
      <w:pPr>
        <w:spacing w:line="192" w:lineRule="atLeast"/>
        <w:rPr>
          <w:rFonts w:ascii="Times New Roman" w:eastAsia="Times New Roman" w:hAnsi="Times New Roman" w:cs="Times New Roman"/>
          <w:color w:val="000000"/>
          <w:sz w:val="16"/>
          <w:szCs w:val="16"/>
        </w:rPr>
      </w:pPr>
    </w:p>
    <w:tbl>
      <w:tblPr>
        <w:tblW w:w="21270" w:type="dxa"/>
        <w:jc w:val="center"/>
        <w:tblCellMar>
          <w:left w:w="0" w:type="dxa"/>
          <w:right w:w="0" w:type="dxa"/>
        </w:tblCellMar>
        <w:tblLook w:val="04A0" w:firstRow="1" w:lastRow="0" w:firstColumn="1" w:lastColumn="0" w:noHBand="0" w:noVBand="1"/>
      </w:tblPr>
      <w:tblGrid>
        <w:gridCol w:w="7020"/>
        <w:gridCol w:w="14250"/>
      </w:tblGrid>
      <w:tr w:rsidR="00031AA6" w:rsidRPr="00031AA6" w:rsidTr="00031AA6">
        <w:trPr>
          <w:jc w:val="center"/>
        </w:trPr>
        <w:tc>
          <w:tcPr>
            <w:tcW w:w="0" w:type="auto"/>
            <w:gridSpan w:val="2"/>
            <w:vAlign w:val="center"/>
            <w:hideMark/>
          </w:tcPr>
          <w:p w:rsidR="00031AA6" w:rsidRPr="00031AA6" w:rsidRDefault="00031AA6" w:rsidP="00031AA6">
            <w:pPr>
              <w:spacing w:line="192" w:lineRule="atLeast"/>
              <w:rPr>
                <w:rFonts w:ascii="Times New Roman" w:eastAsia="Times New Roman" w:hAnsi="Times New Roman" w:cs="Times New Roman"/>
                <w:color w:val="000000"/>
                <w:sz w:val="16"/>
                <w:szCs w:val="16"/>
              </w:rPr>
            </w:pPr>
          </w:p>
        </w:tc>
      </w:tr>
      <w:tr w:rsidR="00031AA6" w:rsidRPr="00031AA6" w:rsidTr="00031AA6">
        <w:trPr>
          <w:jc w:val="center"/>
        </w:trPr>
        <w:tc>
          <w:tcPr>
            <w:tcW w:w="7020" w:type="dxa"/>
            <w:vAlign w:val="center"/>
            <w:hideMark/>
          </w:tcPr>
          <w:p w:rsidR="00031AA6" w:rsidRPr="00031AA6" w:rsidRDefault="00031AA6" w:rsidP="00031AA6">
            <w:pPr>
              <w:rPr>
                <w:rFonts w:ascii="Times New Roman" w:eastAsia="Times New Roman" w:hAnsi="Times New Roman" w:cs="Times New Roman"/>
                <w:sz w:val="20"/>
                <w:szCs w:val="20"/>
              </w:rPr>
            </w:pPr>
          </w:p>
        </w:tc>
        <w:tc>
          <w:tcPr>
            <w:tcW w:w="14250" w:type="dxa"/>
            <w:vAlign w:val="center"/>
            <w:hideMark/>
          </w:tcPr>
          <w:p w:rsidR="00031AA6" w:rsidRPr="00031AA6" w:rsidRDefault="00031AA6" w:rsidP="00031AA6">
            <w:pPr>
              <w:rPr>
                <w:rFonts w:ascii="Times New Roman" w:eastAsia="Times New Roman" w:hAnsi="Times New Roman" w:cs="Times New Roman"/>
                <w:sz w:val="20"/>
                <w:szCs w:val="20"/>
              </w:rPr>
            </w:pPr>
          </w:p>
        </w:tc>
      </w:tr>
      <w:tr w:rsidR="00031AA6" w:rsidRPr="00031AA6" w:rsidTr="00031AA6">
        <w:trPr>
          <w:jc w:val="center"/>
        </w:trPr>
        <w:tc>
          <w:tcPr>
            <w:tcW w:w="0" w:type="auto"/>
            <w:tcBorders>
              <w:bottom w:val="single" w:sz="6" w:space="0" w:color="828282"/>
            </w:tcBorders>
            <w:shd w:val="clear" w:color="auto" w:fill="828282"/>
            <w:tcMar>
              <w:top w:w="30" w:type="dxa"/>
              <w:left w:w="30" w:type="dxa"/>
              <w:bottom w:w="30" w:type="dxa"/>
              <w:right w:w="30" w:type="dxa"/>
            </w:tcMar>
            <w:vAlign w:val="center"/>
            <w:hideMark/>
          </w:tcPr>
          <w:p w:rsidR="00031AA6" w:rsidRPr="00031AA6" w:rsidRDefault="00031AA6" w:rsidP="00031AA6">
            <w:pPr>
              <w:rPr>
                <w:rFonts w:ascii="Times New Roman" w:eastAsia="Times New Roman" w:hAnsi="Times New Roman" w:cs="Times New Roman"/>
                <w:sz w:val="16"/>
                <w:szCs w:val="16"/>
              </w:rPr>
            </w:pPr>
            <w:r w:rsidRPr="00031AA6">
              <w:rPr>
                <w:rFonts w:ascii="Arial" w:eastAsia="Times New Roman" w:hAnsi="Arial" w:cs="Arial"/>
                <w:b/>
                <w:bCs/>
                <w:color w:val="FFFFFF"/>
                <w:sz w:val="16"/>
                <w:szCs w:val="16"/>
              </w:rPr>
              <w:t>RISK FACTORS</w:t>
            </w:r>
          </w:p>
        </w:tc>
        <w:tc>
          <w:tcPr>
            <w:tcW w:w="0" w:type="auto"/>
            <w:tcBorders>
              <w:bottom w:val="single" w:sz="6" w:space="0" w:color="828282"/>
            </w:tcBorders>
            <w:tcMar>
              <w:top w:w="30" w:type="dxa"/>
              <w:left w:w="30" w:type="dxa"/>
              <w:bottom w:w="30" w:type="dxa"/>
              <w:right w:w="30" w:type="dxa"/>
            </w:tcMar>
            <w:vAlign w:val="bottom"/>
            <w:hideMark/>
          </w:tcPr>
          <w:p w:rsidR="00031AA6" w:rsidRPr="00031AA6" w:rsidRDefault="00031AA6" w:rsidP="00031AA6">
            <w:pPr>
              <w:rPr>
                <w:rFonts w:ascii="Times New Roman" w:eastAsia="Times New Roman" w:hAnsi="Times New Roman" w:cs="Times New Roman"/>
                <w:sz w:val="20"/>
                <w:szCs w:val="20"/>
              </w:rPr>
            </w:pPr>
            <w:r w:rsidRPr="00031AA6">
              <w:rPr>
                <w:rFonts w:ascii="inherit" w:eastAsia="Times New Roman" w:hAnsi="inherit" w:cs="Times New Roman"/>
                <w:sz w:val="20"/>
                <w:szCs w:val="20"/>
              </w:rPr>
              <w:t> </w:t>
            </w:r>
          </w:p>
        </w:tc>
      </w:tr>
    </w:tbl>
    <w:p w:rsidR="00031AA6" w:rsidRPr="00031AA6" w:rsidRDefault="00031AA6" w:rsidP="00031AA6">
      <w:pPr>
        <w:spacing w:line="192" w:lineRule="atLeast"/>
        <w:rPr>
          <w:rFonts w:ascii="Times New Roman" w:eastAsia="Times New Roman" w:hAnsi="Times New Roman" w:cs="Times New Roman"/>
          <w:color w:val="000000"/>
          <w:sz w:val="16"/>
          <w:szCs w:val="16"/>
        </w:rPr>
      </w:pPr>
    </w:p>
    <w:p w:rsidR="00031AA6" w:rsidRPr="00031AA6" w:rsidRDefault="00031AA6" w:rsidP="00031AA6">
      <w:pPr>
        <w:rPr>
          <w:rFonts w:ascii="Times New Roman" w:eastAsia="Times New Roman" w:hAnsi="Times New Roman" w:cs="Times New Roman"/>
          <w:color w:val="000000"/>
          <w:sz w:val="20"/>
          <w:szCs w:val="20"/>
        </w:rPr>
      </w:pP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Some or all of these factors could result in a lack of growth or decline in customer demand for electricity or number of customers and may cause the failure of the Duke Energy Registrants to fully realize anticipated benefits from significant capital investments and expenditures, which could have a material adverse effect on their results of operations, financial position and cash flows.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Furthermore, the Duke Energy Registrants currently have energy efficiency riders in place to recover the cost of energy efficiency programs in North Carolina, South Carolina, Florida, Indiana, Ohio and Kentucky. Should the Duke Energy Registrants be required to invest in conservation measures that result in reduced sales from effective conservation, regulatory lag in adjusting rates for the impact of these measures could have a negative financial impact.</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The Duke Energy Registrants’ operating results may fluctuate on a seasonal and quarterly basis and can be negatively affected by changes in weather conditions and severe weather, including extreme weather conditions associated with climate change.</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lastRenderedPageBreak/>
        <w:t>Electric power generation and natural gas distribution are generally seasonal businesses. In most parts of the U.S., the demand for power peaks during the warmer summer months, with market prices also typically peaking at that time. In other areas, demand for power peaks during the winter. Demand for natural gas peaks during the winter months. Further, extreme weather conditions such as hurricanes, droughts, heat waves, winter storms and severe weather associated with climate change could cause these seasonal fluctuations to be more pronounced. As a result, the overall operating results of the Duke Energy Registrants’ businesses may fluctuate substantially on a seasonal and quarterly basis and thus make period-to-period comparison less relevant.</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Sustained severe drought conditions could impact generation by hydroelectric plants, as well as fossil and nuclear plant operations, as these facilities use water for cooling purposes and for the operation of environmental compliance equipment. Furthermore, destruction caused by severe weather events, such as hurricanes, tornadoes, severe thunderstorms, snow and ice storms, can result in lost operating revenues due to outages, property damage, including downed transmission and distribution lines, and additional and unexpected expenses to mitigate storm damage. The cost of storm restoration efforts may not be fully recoverable through the regulatory process.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The Duke Energy Registrants’ sales may decrease if they are unable to gain adequate, reliable and affordable access to transmission assets.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The Duke Energy Registrants depend on transmission and distribution facilities owned and operated by utilities and other energy companies to deliver electricity sold to the wholesale market. The FERC’s power transmission regulations require wholesale electric transmission services to be offered on an open-access, non-discriminatory basis. If transmission is disrupted, or if transmission capacity is inadequate, the Duke Energy Registrants’ ability to sell and deliver products may be hindered.</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The different regional power markets have changing regulatory structures, which could affect growth and performance in these regions. In addition, the ISOs who oversee the transmission systems in regional power markets have imposed in the past, and may impose in the future, price limitations and other mechanisms to address volatility in the power markets. These types of price limitations and other mechanisms may adversely impact the profitability of the Duke Energy Registrants’ wholesale power marketing business.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Duke Energy may be unable to complete necessary or desirable pipeline expansion or infrastructure development or maintenance projects, which may prevent the Duke Energy Registrants from expanding the natural gas business.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In order to serve current or new natural gas customers or expand the service to existing customers, the Duke Energy Registrants need to maintain, expand or upgrade distribution, transmission and/or storage infrastructure, including laying new pipeline and building compressor stations. Duke Energy Registrants have made significant investments in a number of pipeline development projects, which are being operated and constructed by third-party joint venture partners. The Duke Energy Registrants must rely on their third-party joint venture partners for proper construction management of the projects and are dependent upon contractors for the successful and timely completion of the projects. In addition, various factors, such as the inability to obtain required approval from local, state and/or federal regulatory and governmental bodies, public opposition to projects, adverse litigation rulings, inability to obtain adequate financing, competition for labor and materials, construction delays, cost overruns and the inability to negotiate acceptable agreements relating to rights of way, construction or other material development components, may prevent or delay the completion of projects or materially increase the cost of such projects, which could have a material adverse effect on the results of operations and financial position of Duke Energy.</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The availability of adequate interstate pipeline transportation capacity and natural gas supply may decrease.</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The Duke Energy Registrants purchase almost all of their natural gas supply from interstate sources that must be transported to the applicable service territories. Interstate pipeline companies transport the natural gas to the Duke Energy Registrants' systems under firm service agreements that are designed to meet the requirements of their core markets. A significant disruption to interstate pipelines capacity or reduction in natural gas supply due to events including, but not limited to, operational failures or disruptions, hurricanes, tornadoes, floods, freeze off of natural gas wells, terrorist or cyberattacks or other acts of war or legislative or regulatory actions or requirements, including remediation related to integrity inspections, could reduce the normal interstate supply of natural gas and thereby reduce earnings. Moreover, if additional natural gas infrastructure, including, but not limited to, exploration and drilling rigs and platforms, processing and gathering systems, off-shore pipelines, interstate pipelines and storage, cannot be built at a pace that meets demand, then growth opportunities could be limited and earnings negatively impacted.</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Fluctuations in commodity prices or availability may adversely affect various aspects of the Duke Energy Registrants’ operations as well as their financial position, results of operations and cash flows.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The Duke Energy Registrants are exposed to the effects of market fluctuations in the price of natural gas, coal, fuel oil, nuclear fuel, electricity and other energy-related commodities as a result of their ownership of energy-related assets. Fuel costs are recovered primarily through cost-recovery clauses, subject to the approval of state utility commissions.</w:t>
      </w:r>
    </w:p>
    <w:p w:rsidR="00031AA6" w:rsidRPr="00031AA6" w:rsidRDefault="00031AA6" w:rsidP="00031AA6">
      <w:pPr>
        <w:rPr>
          <w:rFonts w:ascii="Times New Roman" w:eastAsia="Times New Roman" w:hAnsi="Times New Roman" w:cs="Times New Roman"/>
          <w:color w:val="000000"/>
          <w:sz w:val="20"/>
          <w:szCs w:val="20"/>
        </w:rPr>
      </w:pPr>
    </w:p>
    <w:p w:rsidR="00031AA6" w:rsidRPr="00031AA6" w:rsidRDefault="00031AA6" w:rsidP="00031AA6">
      <w:pPr>
        <w:spacing w:line="192" w:lineRule="atLeast"/>
        <w:jc w:val="center"/>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28</w:t>
      </w:r>
    </w:p>
    <w:p w:rsidR="00031AA6" w:rsidRPr="00031AA6" w:rsidRDefault="00031AA6" w:rsidP="00031AA6">
      <w:pPr>
        <w:rPr>
          <w:rFonts w:ascii="Times New Roman" w:eastAsia="Times New Roman" w:hAnsi="Times New Roman" w:cs="Times New Roman"/>
        </w:rPr>
      </w:pPr>
      <w:r w:rsidRPr="00031AA6">
        <w:rPr>
          <w:rFonts w:ascii="Times New Roman" w:eastAsia="Times New Roman" w:hAnsi="Times New Roman" w:cs="Times New Roman"/>
        </w:rPr>
        <w:pict>
          <v:rect id="_x0000_i1029" style="width:0;height:1.5pt" o:hralign="center" o:hrstd="t" o:hrnoshade="t" o:hr="t" fillcolor="black" stroked="f"/>
        </w:pict>
      </w:r>
    </w:p>
    <w:p w:rsidR="00031AA6" w:rsidRPr="00031AA6" w:rsidRDefault="00031AA6" w:rsidP="00031AA6">
      <w:pPr>
        <w:spacing w:line="192" w:lineRule="atLeast"/>
        <w:rPr>
          <w:rFonts w:ascii="Times New Roman" w:eastAsia="Times New Roman" w:hAnsi="Times New Roman" w:cs="Times New Roman"/>
          <w:color w:val="000000"/>
          <w:sz w:val="16"/>
          <w:szCs w:val="16"/>
        </w:rPr>
      </w:pPr>
    </w:p>
    <w:p w:rsidR="00031AA6" w:rsidRPr="00031AA6" w:rsidRDefault="00031AA6" w:rsidP="00031AA6">
      <w:pPr>
        <w:spacing w:line="192" w:lineRule="atLeast"/>
        <w:rPr>
          <w:rFonts w:ascii="Times New Roman" w:eastAsia="Times New Roman" w:hAnsi="Times New Roman" w:cs="Times New Roman"/>
          <w:color w:val="000000"/>
          <w:sz w:val="16"/>
          <w:szCs w:val="16"/>
        </w:rPr>
      </w:pPr>
    </w:p>
    <w:p w:rsidR="00031AA6" w:rsidRPr="00031AA6" w:rsidRDefault="00031AA6" w:rsidP="00031AA6">
      <w:pPr>
        <w:spacing w:line="192" w:lineRule="atLeast"/>
        <w:rPr>
          <w:rFonts w:ascii="Times New Roman" w:eastAsia="Times New Roman" w:hAnsi="Times New Roman" w:cs="Times New Roman"/>
          <w:color w:val="000000"/>
          <w:sz w:val="16"/>
          <w:szCs w:val="16"/>
        </w:rPr>
      </w:pPr>
    </w:p>
    <w:tbl>
      <w:tblPr>
        <w:tblW w:w="21270" w:type="dxa"/>
        <w:jc w:val="center"/>
        <w:tblCellMar>
          <w:left w:w="0" w:type="dxa"/>
          <w:right w:w="0" w:type="dxa"/>
        </w:tblCellMar>
        <w:tblLook w:val="04A0" w:firstRow="1" w:lastRow="0" w:firstColumn="1" w:lastColumn="0" w:noHBand="0" w:noVBand="1"/>
      </w:tblPr>
      <w:tblGrid>
        <w:gridCol w:w="7020"/>
        <w:gridCol w:w="14250"/>
      </w:tblGrid>
      <w:tr w:rsidR="00031AA6" w:rsidRPr="00031AA6" w:rsidTr="00031AA6">
        <w:trPr>
          <w:jc w:val="center"/>
        </w:trPr>
        <w:tc>
          <w:tcPr>
            <w:tcW w:w="0" w:type="auto"/>
            <w:gridSpan w:val="2"/>
            <w:vAlign w:val="center"/>
            <w:hideMark/>
          </w:tcPr>
          <w:p w:rsidR="00031AA6" w:rsidRPr="00031AA6" w:rsidRDefault="00031AA6" w:rsidP="00031AA6">
            <w:pPr>
              <w:spacing w:line="192" w:lineRule="atLeast"/>
              <w:rPr>
                <w:rFonts w:ascii="Times New Roman" w:eastAsia="Times New Roman" w:hAnsi="Times New Roman" w:cs="Times New Roman"/>
                <w:color w:val="000000"/>
                <w:sz w:val="16"/>
                <w:szCs w:val="16"/>
              </w:rPr>
            </w:pPr>
          </w:p>
        </w:tc>
      </w:tr>
      <w:tr w:rsidR="00031AA6" w:rsidRPr="00031AA6" w:rsidTr="00031AA6">
        <w:trPr>
          <w:jc w:val="center"/>
        </w:trPr>
        <w:tc>
          <w:tcPr>
            <w:tcW w:w="7020" w:type="dxa"/>
            <w:vAlign w:val="center"/>
            <w:hideMark/>
          </w:tcPr>
          <w:p w:rsidR="00031AA6" w:rsidRPr="00031AA6" w:rsidRDefault="00031AA6" w:rsidP="00031AA6">
            <w:pPr>
              <w:rPr>
                <w:rFonts w:ascii="Times New Roman" w:eastAsia="Times New Roman" w:hAnsi="Times New Roman" w:cs="Times New Roman"/>
                <w:sz w:val="20"/>
                <w:szCs w:val="20"/>
              </w:rPr>
            </w:pPr>
          </w:p>
        </w:tc>
        <w:tc>
          <w:tcPr>
            <w:tcW w:w="14250" w:type="dxa"/>
            <w:vAlign w:val="center"/>
            <w:hideMark/>
          </w:tcPr>
          <w:p w:rsidR="00031AA6" w:rsidRPr="00031AA6" w:rsidRDefault="00031AA6" w:rsidP="00031AA6">
            <w:pPr>
              <w:rPr>
                <w:rFonts w:ascii="Times New Roman" w:eastAsia="Times New Roman" w:hAnsi="Times New Roman" w:cs="Times New Roman"/>
                <w:sz w:val="20"/>
                <w:szCs w:val="20"/>
              </w:rPr>
            </w:pPr>
          </w:p>
        </w:tc>
      </w:tr>
      <w:tr w:rsidR="00031AA6" w:rsidRPr="00031AA6" w:rsidTr="00031AA6">
        <w:trPr>
          <w:jc w:val="center"/>
        </w:trPr>
        <w:tc>
          <w:tcPr>
            <w:tcW w:w="0" w:type="auto"/>
            <w:tcBorders>
              <w:bottom w:val="single" w:sz="6" w:space="0" w:color="828282"/>
            </w:tcBorders>
            <w:shd w:val="clear" w:color="auto" w:fill="828282"/>
            <w:tcMar>
              <w:top w:w="30" w:type="dxa"/>
              <w:left w:w="30" w:type="dxa"/>
              <w:bottom w:w="30" w:type="dxa"/>
              <w:right w:w="30" w:type="dxa"/>
            </w:tcMar>
            <w:vAlign w:val="center"/>
            <w:hideMark/>
          </w:tcPr>
          <w:p w:rsidR="00031AA6" w:rsidRPr="00031AA6" w:rsidRDefault="00031AA6" w:rsidP="00031AA6">
            <w:pPr>
              <w:rPr>
                <w:rFonts w:ascii="Times New Roman" w:eastAsia="Times New Roman" w:hAnsi="Times New Roman" w:cs="Times New Roman"/>
                <w:sz w:val="16"/>
                <w:szCs w:val="16"/>
              </w:rPr>
            </w:pPr>
            <w:r w:rsidRPr="00031AA6">
              <w:rPr>
                <w:rFonts w:ascii="Arial" w:eastAsia="Times New Roman" w:hAnsi="Arial" w:cs="Arial"/>
                <w:b/>
                <w:bCs/>
                <w:color w:val="FFFFFF"/>
                <w:sz w:val="16"/>
                <w:szCs w:val="16"/>
              </w:rPr>
              <w:t>RISK FACTORS</w:t>
            </w:r>
          </w:p>
        </w:tc>
        <w:tc>
          <w:tcPr>
            <w:tcW w:w="0" w:type="auto"/>
            <w:tcBorders>
              <w:bottom w:val="single" w:sz="6" w:space="0" w:color="828282"/>
            </w:tcBorders>
            <w:tcMar>
              <w:top w:w="30" w:type="dxa"/>
              <w:left w:w="30" w:type="dxa"/>
              <w:bottom w:w="30" w:type="dxa"/>
              <w:right w:w="30" w:type="dxa"/>
            </w:tcMar>
            <w:vAlign w:val="bottom"/>
            <w:hideMark/>
          </w:tcPr>
          <w:p w:rsidR="00031AA6" w:rsidRPr="00031AA6" w:rsidRDefault="00031AA6" w:rsidP="00031AA6">
            <w:pPr>
              <w:rPr>
                <w:rFonts w:ascii="Times New Roman" w:eastAsia="Times New Roman" w:hAnsi="Times New Roman" w:cs="Times New Roman"/>
                <w:sz w:val="20"/>
                <w:szCs w:val="20"/>
              </w:rPr>
            </w:pPr>
            <w:r w:rsidRPr="00031AA6">
              <w:rPr>
                <w:rFonts w:ascii="inherit" w:eastAsia="Times New Roman" w:hAnsi="inherit" w:cs="Times New Roman"/>
                <w:sz w:val="20"/>
                <w:szCs w:val="20"/>
              </w:rPr>
              <w:t> </w:t>
            </w:r>
          </w:p>
        </w:tc>
      </w:tr>
    </w:tbl>
    <w:p w:rsidR="00031AA6" w:rsidRPr="00031AA6" w:rsidRDefault="00031AA6" w:rsidP="00031AA6">
      <w:pPr>
        <w:spacing w:line="192" w:lineRule="atLeast"/>
        <w:rPr>
          <w:rFonts w:ascii="Times New Roman" w:eastAsia="Times New Roman" w:hAnsi="Times New Roman" w:cs="Times New Roman"/>
          <w:color w:val="000000"/>
          <w:sz w:val="16"/>
          <w:szCs w:val="16"/>
        </w:rPr>
      </w:pPr>
    </w:p>
    <w:p w:rsidR="00031AA6" w:rsidRPr="00031AA6" w:rsidRDefault="00031AA6" w:rsidP="00031AA6">
      <w:pPr>
        <w:rPr>
          <w:rFonts w:ascii="Times New Roman" w:eastAsia="Times New Roman" w:hAnsi="Times New Roman" w:cs="Times New Roman"/>
          <w:color w:val="000000"/>
          <w:sz w:val="20"/>
          <w:szCs w:val="20"/>
        </w:rPr>
      </w:pP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Additionally, the Duke Energy Registrants are exposed to risk that counterparties will not be able to fulfill their obligations. Disruption in the delivery of fuel, including disruptions as a result of, among other things, transportation delays, weather, labor relations, force majeure events or environmental regulations affecting any of these fuel suppliers, could limit the Duke Energy Registrants' ability to operate their facilities. Should counterparties fail to perform, the Duke Energy Registrants might be forced to replace the underlying commitment at prevailing market prices possibly resulting in losses in addition to the amounts, if any, already paid to the counterparties.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lastRenderedPageBreak/>
        <w:t>Certain of the Duke Energy Registrants’ hedge agreements may result in the receipt of, or posting of, collateral with counterparties, depending on the daily market-based calculation of financial exposure of the derivative positions. Fluctuations in commodity prices that lead to the return of collateral received and/or the posting of collateral with counterparties could negatively impact liquidity. Downgrades in the Duke Energy Registrants’ credit ratings could lead to additional collateral posting requirements. The Duke Energy Registrants continually monitor derivative positions in relation to market price activity.</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Potential terrorist activities, or military or other actions, could adversely affect the Duke Energy Registrants’ businesses.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The continued threat of terrorism and the impact of retaliatory military and other action by the U.S. and its allies may lead to increased political, economic and financial market instability and volatility in prices for natural gas and oil, which may have material adverse effects in ways the Duke Energy Registrants cannot predict at this time. In addition, future acts of terrorism and possible reprisals as a consequence of action by the U.S. and its allies could be directed against companies operating in the U.S. Information technology systems, transmission and distribution and generation facilities such as nuclear plants could be potential targets of terrorist activities or harmful activities by individuals or groups that could have a material adverse effect on Duke Energy Registrants' businesses. In particular, the Duke Energy Registrants may experience increased capital and operating costs to implement increased security for their information technology systems, transmission and distribution and generation facilities, including nuclear power plants under the NRC’s design basis threat requirements. These increased costs could include additional physical plant security and security personnel or additional capability following a terrorist incident.</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The failure of Duke Energy information technology systems, or the failure to enhance existing information technology systems and implement new technology, could adversely affect the Duke Energy Registrants’ businesses.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Duke Energy’s operations are dependent upon the proper functioning of its internal systems, including the information technology systems that support our underlying business processes. Any significant failure or malfunction of such information technology systems may result in disruptions of our operations. In the ordinary course of business, we rely on information technology systems, including the internet and third-party hosted services, to support a variety of business processes and activities and to store sensitive data, including (i) intellectual property, (ii) proprietary business information, (iii) personally identifiable information of our customers and employees, and (iv) data with respect to invoicing and the collection of payments, accounting, procurement, and supply chain activities. Our information technology systems are dependent upon global communications and cloud service providers, as well as their respective vendors, many of whom have at some point experienced significant system failures and outages in the past and may experience such failures and outages in the future. These providers’ systems are susceptible to cybersecurity and data breaches, outages from fire, floods, power loss, telecommunications failures, break-ins and similar events. Failure to prevent or mitigate data loss from system failures or outages could materially affect the results of operations, financial position and cash flows of the Duke Energy Registrants.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In addition to maintaining our current information technology systems, Duke Energy believes the digital transformation of its business is key to driving internal efficiencies as well as providing additional capabilities to customers. Duke Energy’s information technology systems are critical to cost-effective, reliable daily operations and our ability to effectively serve our customers. We expect our customers to continue to demand more sophisticated technology-driven solutions and we must enhance or replace our information technology systems in response. This involves significant development and implementation costs to keep pace with changing technologies and customer demand. If we fail to successfully implement critical technology, or if it does not provide the anticipated benefits or meet customer demands, such failure could materially adversely affect our business strategy as well as impact the results of operations, financial position and cash flows of the Duke Energy Registrants.</w:t>
      </w:r>
    </w:p>
    <w:p w:rsidR="00031AA6" w:rsidRPr="00031AA6" w:rsidRDefault="00031AA6" w:rsidP="00031AA6">
      <w:pPr>
        <w:rPr>
          <w:rFonts w:ascii="Times New Roman" w:eastAsia="Times New Roman" w:hAnsi="Times New Roman" w:cs="Times New Roman"/>
          <w:color w:val="000000"/>
          <w:sz w:val="20"/>
          <w:szCs w:val="20"/>
        </w:rPr>
      </w:pPr>
    </w:p>
    <w:p w:rsidR="00031AA6" w:rsidRPr="00031AA6" w:rsidRDefault="00031AA6" w:rsidP="00031AA6">
      <w:pPr>
        <w:spacing w:line="192" w:lineRule="atLeast"/>
        <w:jc w:val="center"/>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29</w:t>
      </w:r>
    </w:p>
    <w:p w:rsidR="00031AA6" w:rsidRPr="00031AA6" w:rsidRDefault="00031AA6" w:rsidP="00031AA6">
      <w:pPr>
        <w:rPr>
          <w:rFonts w:ascii="Times New Roman" w:eastAsia="Times New Roman" w:hAnsi="Times New Roman" w:cs="Times New Roman"/>
        </w:rPr>
      </w:pPr>
      <w:r w:rsidRPr="00031AA6">
        <w:rPr>
          <w:rFonts w:ascii="Times New Roman" w:eastAsia="Times New Roman" w:hAnsi="Times New Roman" w:cs="Times New Roman"/>
        </w:rPr>
        <w:pict>
          <v:rect id="_x0000_i1030" style="width:0;height:1.5pt" o:hralign="center" o:hrstd="t" o:hrnoshade="t" o:hr="t" fillcolor="black" stroked="f"/>
        </w:pict>
      </w:r>
    </w:p>
    <w:p w:rsidR="00031AA6" w:rsidRPr="00031AA6" w:rsidRDefault="00031AA6" w:rsidP="00031AA6">
      <w:pPr>
        <w:spacing w:line="192" w:lineRule="atLeast"/>
        <w:rPr>
          <w:rFonts w:ascii="Times New Roman" w:eastAsia="Times New Roman" w:hAnsi="Times New Roman" w:cs="Times New Roman"/>
          <w:color w:val="000000"/>
          <w:sz w:val="16"/>
          <w:szCs w:val="16"/>
        </w:rPr>
      </w:pPr>
    </w:p>
    <w:p w:rsidR="00031AA6" w:rsidRPr="00031AA6" w:rsidRDefault="00031AA6" w:rsidP="00031AA6">
      <w:pPr>
        <w:spacing w:line="192" w:lineRule="atLeast"/>
        <w:rPr>
          <w:rFonts w:ascii="Times New Roman" w:eastAsia="Times New Roman" w:hAnsi="Times New Roman" w:cs="Times New Roman"/>
          <w:color w:val="000000"/>
          <w:sz w:val="16"/>
          <w:szCs w:val="16"/>
        </w:rPr>
      </w:pPr>
    </w:p>
    <w:p w:rsidR="00031AA6" w:rsidRPr="00031AA6" w:rsidRDefault="00031AA6" w:rsidP="00031AA6">
      <w:pPr>
        <w:spacing w:line="192" w:lineRule="atLeast"/>
        <w:rPr>
          <w:rFonts w:ascii="Times New Roman" w:eastAsia="Times New Roman" w:hAnsi="Times New Roman" w:cs="Times New Roman"/>
          <w:color w:val="000000"/>
          <w:sz w:val="16"/>
          <w:szCs w:val="16"/>
        </w:rPr>
      </w:pPr>
    </w:p>
    <w:tbl>
      <w:tblPr>
        <w:tblW w:w="21270" w:type="dxa"/>
        <w:jc w:val="center"/>
        <w:tblCellMar>
          <w:left w:w="0" w:type="dxa"/>
          <w:right w:w="0" w:type="dxa"/>
        </w:tblCellMar>
        <w:tblLook w:val="04A0" w:firstRow="1" w:lastRow="0" w:firstColumn="1" w:lastColumn="0" w:noHBand="0" w:noVBand="1"/>
      </w:tblPr>
      <w:tblGrid>
        <w:gridCol w:w="7020"/>
        <w:gridCol w:w="14250"/>
      </w:tblGrid>
      <w:tr w:rsidR="00031AA6" w:rsidRPr="00031AA6" w:rsidTr="00031AA6">
        <w:trPr>
          <w:jc w:val="center"/>
        </w:trPr>
        <w:tc>
          <w:tcPr>
            <w:tcW w:w="0" w:type="auto"/>
            <w:gridSpan w:val="2"/>
            <w:vAlign w:val="center"/>
            <w:hideMark/>
          </w:tcPr>
          <w:p w:rsidR="00031AA6" w:rsidRPr="00031AA6" w:rsidRDefault="00031AA6" w:rsidP="00031AA6">
            <w:pPr>
              <w:spacing w:line="192" w:lineRule="atLeast"/>
              <w:rPr>
                <w:rFonts w:ascii="Times New Roman" w:eastAsia="Times New Roman" w:hAnsi="Times New Roman" w:cs="Times New Roman"/>
                <w:color w:val="000000"/>
                <w:sz w:val="16"/>
                <w:szCs w:val="16"/>
              </w:rPr>
            </w:pPr>
          </w:p>
        </w:tc>
      </w:tr>
      <w:tr w:rsidR="00031AA6" w:rsidRPr="00031AA6" w:rsidTr="00031AA6">
        <w:trPr>
          <w:jc w:val="center"/>
        </w:trPr>
        <w:tc>
          <w:tcPr>
            <w:tcW w:w="7020" w:type="dxa"/>
            <w:vAlign w:val="center"/>
            <w:hideMark/>
          </w:tcPr>
          <w:p w:rsidR="00031AA6" w:rsidRPr="00031AA6" w:rsidRDefault="00031AA6" w:rsidP="00031AA6">
            <w:pPr>
              <w:rPr>
                <w:rFonts w:ascii="Times New Roman" w:eastAsia="Times New Roman" w:hAnsi="Times New Roman" w:cs="Times New Roman"/>
                <w:sz w:val="20"/>
                <w:szCs w:val="20"/>
              </w:rPr>
            </w:pPr>
          </w:p>
        </w:tc>
        <w:tc>
          <w:tcPr>
            <w:tcW w:w="14250" w:type="dxa"/>
            <w:vAlign w:val="center"/>
            <w:hideMark/>
          </w:tcPr>
          <w:p w:rsidR="00031AA6" w:rsidRPr="00031AA6" w:rsidRDefault="00031AA6" w:rsidP="00031AA6">
            <w:pPr>
              <w:rPr>
                <w:rFonts w:ascii="Times New Roman" w:eastAsia="Times New Roman" w:hAnsi="Times New Roman" w:cs="Times New Roman"/>
                <w:sz w:val="20"/>
                <w:szCs w:val="20"/>
              </w:rPr>
            </w:pPr>
          </w:p>
        </w:tc>
      </w:tr>
      <w:tr w:rsidR="00031AA6" w:rsidRPr="00031AA6" w:rsidTr="00031AA6">
        <w:trPr>
          <w:jc w:val="center"/>
        </w:trPr>
        <w:tc>
          <w:tcPr>
            <w:tcW w:w="0" w:type="auto"/>
            <w:tcBorders>
              <w:bottom w:val="single" w:sz="6" w:space="0" w:color="828282"/>
            </w:tcBorders>
            <w:shd w:val="clear" w:color="auto" w:fill="828282"/>
            <w:tcMar>
              <w:top w:w="30" w:type="dxa"/>
              <w:left w:w="30" w:type="dxa"/>
              <w:bottom w:w="30" w:type="dxa"/>
              <w:right w:w="30" w:type="dxa"/>
            </w:tcMar>
            <w:vAlign w:val="center"/>
            <w:hideMark/>
          </w:tcPr>
          <w:p w:rsidR="00031AA6" w:rsidRPr="00031AA6" w:rsidRDefault="00031AA6" w:rsidP="00031AA6">
            <w:pPr>
              <w:rPr>
                <w:rFonts w:ascii="Times New Roman" w:eastAsia="Times New Roman" w:hAnsi="Times New Roman" w:cs="Times New Roman"/>
                <w:sz w:val="16"/>
                <w:szCs w:val="16"/>
              </w:rPr>
            </w:pPr>
            <w:r w:rsidRPr="00031AA6">
              <w:rPr>
                <w:rFonts w:ascii="Arial" w:eastAsia="Times New Roman" w:hAnsi="Arial" w:cs="Arial"/>
                <w:b/>
                <w:bCs/>
                <w:color w:val="FFFFFF"/>
                <w:sz w:val="16"/>
                <w:szCs w:val="16"/>
              </w:rPr>
              <w:t>RISK FACTORS</w:t>
            </w:r>
          </w:p>
        </w:tc>
        <w:tc>
          <w:tcPr>
            <w:tcW w:w="0" w:type="auto"/>
            <w:tcBorders>
              <w:bottom w:val="single" w:sz="6" w:space="0" w:color="828282"/>
            </w:tcBorders>
            <w:tcMar>
              <w:top w:w="30" w:type="dxa"/>
              <w:left w:w="30" w:type="dxa"/>
              <w:bottom w:w="30" w:type="dxa"/>
              <w:right w:w="30" w:type="dxa"/>
            </w:tcMar>
            <w:vAlign w:val="bottom"/>
            <w:hideMark/>
          </w:tcPr>
          <w:p w:rsidR="00031AA6" w:rsidRPr="00031AA6" w:rsidRDefault="00031AA6" w:rsidP="00031AA6">
            <w:pPr>
              <w:rPr>
                <w:rFonts w:ascii="Times New Roman" w:eastAsia="Times New Roman" w:hAnsi="Times New Roman" w:cs="Times New Roman"/>
                <w:sz w:val="20"/>
                <w:szCs w:val="20"/>
              </w:rPr>
            </w:pPr>
            <w:r w:rsidRPr="00031AA6">
              <w:rPr>
                <w:rFonts w:ascii="inherit" w:eastAsia="Times New Roman" w:hAnsi="inherit" w:cs="Times New Roman"/>
                <w:sz w:val="20"/>
                <w:szCs w:val="20"/>
              </w:rPr>
              <w:t> </w:t>
            </w:r>
          </w:p>
        </w:tc>
      </w:tr>
    </w:tbl>
    <w:p w:rsidR="00031AA6" w:rsidRPr="00031AA6" w:rsidRDefault="00031AA6" w:rsidP="00031AA6">
      <w:pPr>
        <w:spacing w:line="192" w:lineRule="atLeast"/>
        <w:rPr>
          <w:rFonts w:ascii="Times New Roman" w:eastAsia="Times New Roman" w:hAnsi="Times New Roman" w:cs="Times New Roman"/>
          <w:color w:val="000000"/>
          <w:sz w:val="16"/>
          <w:szCs w:val="16"/>
        </w:rPr>
      </w:pPr>
    </w:p>
    <w:p w:rsidR="00031AA6" w:rsidRPr="00031AA6" w:rsidRDefault="00031AA6" w:rsidP="00031AA6">
      <w:pPr>
        <w:rPr>
          <w:rFonts w:ascii="Times New Roman" w:eastAsia="Times New Roman" w:hAnsi="Times New Roman" w:cs="Times New Roman"/>
          <w:color w:val="000000"/>
          <w:sz w:val="20"/>
          <w:szCs w:val="20"/>
        </w:rPr>
      </w:pP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Cyberattacks and data security breaches could adversely affect the Duke Energy Registrants' businesses.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 xml:space="preserve">Cybersecurity risks have increased in recent years as a result of the proliferation of new technologies and the increased sophistication, magnitude and frequency of cyberattacks and data security breaches. Duke Energy relies on the continued operation of sophisticated digital information technology systems and network infrastructure, which are part of an interconnected regional grid. Additionally, connectivity to the internet continues to increase through grid modernization and other operational excellence initiatives. Because of the critical nature of the infrastructure, increased connectivity to the internet and technology systems’ inherent vulnerability to disability or failures due to hacking, viruses, acts of war or terrorism or other types of data security breaches, the Duke Energy Registrants face a heightened risk of cyberattack from foreign or domestic sources and have been subject, and will likely continue to be subject, to attempts to gain unauthorized access to information and/or information systems or to disrupt utility operations through computer viruses and phishing attempts either directly or indirectly through its material vendors or related third parties. In the event of a significant cybersecurity breach on either the Duke Energy Registrants or with one of our material vendors or related third parties, the Duke Energy Registrants could (i) have business operations disrupted, including the disruption of the operation of our assets and the power grid, theft of confidential company, employee, shareholder, vendor or customer information, and general business systems and process interruption or compromise, including preventing the Duke Energy Registrants from servicing customers, collecting revenues or the recording, processing and/or reporting financial information correctly, (ii) experience substantial loss of revenues, repair and restoration costs, penalties and costs for lack of compliance with relevant regulations, implementation costs for additional security measures to avert future cyberattacks and other financial loss and (iii) be subject to increased regulation, litigation and reputational damage. While Duke Energy maintains insurance relating to cybersecurity events, such insurance is subject to a number of exclusions and may be insufficient to offset any losses, costs or damage experienced. </w:t>
      </w:r>
      <w:r w:rsidRPr="00031AA6">
        <w:rPr>
          <w:rFonts w:ascii="Arial" w:eastAsia="Times New Roman" w:hAnsi="Arial" w:cs="Arial"/>
          <w:color w:val="000000"/>
          <w:sz w:val="16"/>
          <w:szCs w:val="16"/>
        </w:rPr>
        <w:lastRenderedPageBreak/>
        <w:t>Also, the market for cybersecurity insurance is relatively new and coverage available for cybersecurity events may evolve as the industry matures.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The Duke Energy Registrants are subject to standards enacted by the North American Electric Reliability Corporation and enforced by FERC regarding protection of the physical and cyber security of critical infrastructure assets required for operating North America's bulk electric system. The Duke Energy Registrants are also subject to regulations set by the Nuclear Regulatory Commission regarding the protection of digital computer and communication systems and networks required for the operation of nuclear power plants. While the Duke Energy Registrants believe they are in compliance with such standards and regulations, the Duke Energy Registrants have from time to time been, and may in the future be, found to be in violation of such standards and regulations. In addition, compliance with or changes in the applicable standards and regulations may subject the Duke Energy Registrants to higher operating costs and/or increased capital expenditures as well as substantial fines for non-compliance.</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Failure to attract and retain an appropriately qualified workforce could unfavorably impact the Duke Energy Registrants’ results of operations.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Certain events, such as an aging workforce, mismatch of skill set or complement to future needs, or unavailability of contract resources may lead to operating challenges and increased costs. The challenges include lack of resources, loss of knowledge base and the lengthy time required for skill development. In this case, costs, including costs for contractors to replace employees, productivity costs and safety costs, may increase. Failure to hire and adequately train replacement employees, including the transfer of significant internal historical knowledge and expertise to new employees, or future availability and cost of contract labor may adversely affect the ability to manage and operate the business, especially considering the workforce needs associated with nuclear generation facilities and new skills required to operate a modernized, technology-enabled power grid. If the Duke Energy Registrants are unable to successfully attract and retain an appropriately qualified workforce, their results of operations, financial position and cash flows could be negatively affected.</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The costs of decommissioning Duke Energy Florida’s Crystal River Unit 3 could prove to be more extensive than is currently identified.</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Costs to decommission the plant could exceed estimates and, if not recoverable through the regulatory process, could adversely affect Duke Energy’s, Progress Energy’s and Duke Energy Florida’s results of operations, financial position and cash flows.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Duke Energy Ohio’s and Duke Energy Indiana’s membership in an RTO presents risks that could have a material adverse effect on their results of operations, financial position and cash flows.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The rules governing the various regional power markets may change, which could affect Duke Energy Ohio’s and Duke Energy Indiana’s costs and/or revenues. To the degree Duke Energy Ohio and Duke Energy Indiana incur significant additional fees and increased costs to participate in an RTO, their results of operations may be impacted. Duke Energy Ohio and Duke Energy Indiana may be allocated a portion of the cost of transmission facilities built by others due to changes in RTO transmission rate design. Duke Energy Ohio and Duke Energy Indiana may be required to expand their transmission system according to decisions made by an RTO rather than their own internal planning process. In addition, RTOs have been developing rules associated with the allocation and methodology of assigning costs associated with improved transmission reliability, reduced transmission congestion and firm transmission rights that may have a financial impact on the results of operations, financial position and cash flows of Duke Energy Ohio and Duke Energy Indiana.</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As members of an RTO, Duke Energy Ohio and Duke Energy Indiana are subject to certain additional risks, including those associated with the allocation among RTO members, of losses caused by unreimbursed defaults of other participants in the RTO markets and those associated with complaint cases filed against an RTO that may seek refunds of revenues previously earned by RTO members.</w:t>
      </w:r>
    </w:p>
    <w:p w:rsidR="00031AA6" w:rsidRPr="00031AA6" w:rsidRDefault="00031AA6" w:rsidP="00031AA6">
      <w:pPr>
        <w:rPr>
          <w:rFonts w:ascii="Times New Roman" w:eastAsia="Times New Roman" w:hAnsi="Times New Roman" w:cs="Times New Roman"/>
          <w:color w:val="000000"/>
          <w:sz w:val="20"/>
          <w:szCs w:val="20"/>
        </w:rPr>
      </w:pPr>
    </w:p>
    <w:p w:rsidR="00031AA6" w:rsidRPr="00031AA6" w:rsidRDefault="00031AA6" w:rsidP="00031AA6">
      <w:pPr>
        <w:spacing w:line="192" w:lineRule="atLeast"/>
        <w:jc w:val="center"/>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30</w:t>
      </w:r>
    </w:p>
    <w:p w:rsidR="00031AA6" w:rsidRPr="00031AA6" w:rsidRDefault="005F42F5" w:rsidP="00031AA6">
      <w:pPr>
        <w:rPr>
          <w:rFonts w:ascii="Times New Roman" w:eastAsia="Times New Roman" w:hAnsi="Times New Roman" w:cs="Times New Roman"/>
        </w:rPr>
      </w:pPr>
      <w:r w:rsidRPr="00031AA6">
        <w:rPr>
          <w:rFonts w:ascii="Times New Roman" w:eastAsia="Times New Roman" w:hAnsi="Times New Roman" w:cs="Times New Roman"/>
          <w:noProof/>
        </w:rPr>
        <w:pict>
          <v:rect id="_x0000_i1032" alt="" style="width:468pt;height:.05pt;mso-width-percent:0;mso-height-percent:0;mso-width-percent:0;mso-height-percent:0" o:hralign="center" o:hrstd="t" o:hrnoshade="t" o:hr="t" fillcolor="black" stroked="f"/>
        </w:pict>
      </w:r>
    </w:p>
    <w:p w:rsidR="00031AA6" w:rsidRPr="00031AA6" w:rsidRDefault="00031AA6" w:rsidP="00031AA6">
      <w:pPr>
        <w:spacing w:line="192" w:lineRule="atLeast"/>
        <w:rPr>
          <w:rFonts w:ascii="Times New Roman" w:eastAsia="Times New Roman" w:hAnsi="Times New Roman" w:cs="Times New Roman"/>
          <w:color w:val="000000"/>
          <w:sz w:val="16"/>
          <w:szCs w:val="16"/>
        </w:rPr>
      </w:pPr>
    </w:p>
    <w:p w:rsidR="00031AA6" w:rsidRPr="00031AA6" w:rsidRDefault="00031AA6" w:rsidP="00031AA6">
      <w:pPr>
        <w:spacing w:line="192" w:lineRule="atLeast"/>
        <w:rPr>
          <w:rFonts w:ascii="Times New Roman" w:eastAsia="Times New Roman" w:hAnsi="Times New Roman" w:cs="Times New Roman"/>
          <w:color w:val="000000"/>
          <w:sz w:val="16"/>
          <w:szCs w:val="16"/>
        </w:rPr>
      </w:pPr>
    </w:p>
    <w:p w:rsidR="00031AA6" w:rsidRPr="00031AA6" w:rsidRDefault="00031AA6" w:rsidP="00031AA6">
      <w:pPr>
        <w:spacing w:line="192" w:lineRule="atLeast"/>
        <w:rPr>
          <w:rFonts w:ascii="Times New Roman" w:eastAsia="Times New Roman" w:hAnsi="Times New Roman" w:cs="Times New Roman"/>
          <w:color w:val="000000"/>
          <w:sz w:val="16"/>
          <w:szCs w:val="16"/>
        </w:rPr>
      </w:pPr>
    </w:p>
    <w:tbl>
      <w:tblPr>
        <w:tblW w:w="21270" w:type="dxa"/>
        <w:jc w:val="center"/>
        <w:tblCellMar>
          <w:left w:w="0" w:type="dxa"/>
          <w:right w:w="0" w:type="dxa"/>
        </w:tblCellMar>
        <w:tblLook w:val="04A0" w:firstRow="1" w:lastRow="0" w:firstColumn="1" w:lastColumn="0" w:noHBand="0" w:noVBand="1"/>
      </w:tblPr>
      <w:tblGrid>
        <w:gridCol w:w="7020"/>
        <w:gridCol w:w="14250"/>
      </w:tblGrid>
      <w:tr w:rsidR="00031AA6" w:rsidRPr="00031AA6" w:rsidTr="00031AA6">
        <w:trPr>
          <w:jc w:val="center"/>
        </w:trPr>
        <w:tc>
          <w:tcPr>
            <w:tcW w:w="0" w:type="auto"/>
            <w:gridSpan w:val="2"/>
            <w:vAlign w:val="center"/>
            <w:hideMark/>
          </w:tcPr>
          <w:p w:rsidR="00031AA6" w:rsidRPr="00031AA6" w:rsidRDefault="00031AA6" w:rsidP="00031AA6">
            <w:pPr>
              <w:spacing w:line="192" w:lineRule="atLeast"/>
              <w:rPr>
                <w:rFonts w:ascii="Times New Roman" w:eastAsia="Times New Roman" w:hAnsi="Times New Roman" w:cs="Times New Roman"/>
                <w:color w:val="000000"/>
                <w:sz w:val="16"/>
                <w:szCs w:val="16"/>
              </w:rPr>
            </w:pPr>
          </w:p>
        </w:tc>
      </w:tr>
      <w:tr w:rsidR="00031AA6" w:rsidRPr="00031AA6" w:rsidTr="00031AA6">
        <w:trPr>
          <w:jc w:val="center"/>
        </w:trPr>
        <w:tc>
          <w:tcPr>
            <w:tcW w:w="7020" w:type="dxa"/>
            <w:vAlign w:val="center"/>
            <w:hideMark/>
          </w:tcPr>
          <w:p w:rsidR="00031AA6" w:rsidRPr="00031AA6" w:rsidRDefault="00031AA6" w:rsidP="00031AA6">
            <w:pPr>
              <w:rPr>
                <w:rFonts w:ascii="Times New Roman" w:eastAsia="Times New Roman" w:hAnsi="Times New Roman" w:cs="Times New Roman"/>
                <w:sz w:val="20"/>
                <w:szCs w:val="20"/>
              </w:rPr>
            </w:pPr>
          </w:p>
        </w:tc>
        <w:tc>
          <w:tcPr>
            <w:tcW w:w="14250" w:type="dxa"/>
            <w:vAlign w:val="center"/>
            <w:hideMark/>
          </w:tcPr>
          <w:p w:rsidR="00031AA6" w:rsidRPr="00031AA6" w:rsidRDefault="00031AA6" w:rsidP="00031AA6">
            <w:pPr>
              <w:rPr>
                <w:rFonts w:ascii="Times New Roman" w:eastAsia="Times New Roman" w:hAnsi="Times New Roman" w:cs="Times New Roman"/>
                <w:sz w:val="20"/>
                <w:szCs w:val="20"/>
              </w:rPr>
            </w:pPr>
          </w:p>
        </w:tc>
      </w:tr>
      <w:tr w:rsidR="00031AA6" w:rsidRPr="00031AA6" w:rsidTr="00031AA6">
        <w:trPr>
          <w:jc w:val="center"/>
        </w:trPr>
        <w:tc>
          <w:tcPr>
            <w:tcW w:w="0" w:type="auto"/>
            <w:tcBorders>
              <w:bottom w:val="single" w:sz="6" w:space="0" w:color="828282"/>
            </w:tcBorders>
            <w:shd w:val="clear" w:color="auto" w:fill="828282"/>
            <w:tcMar>
              <w:top w:w="30" w:type="dxa"/>
              <w:left w:w="30" w:type="dxa"/>
              <w:bottom w:w="30" w:type="dxa"/>
              <w:right w:w="30" w:type="dxa"/>
            </w:tcMar>
            <w:vAlign w:val="center"/>
            <w:hideMark/>
          </w:tcPr>
          <w:p w:rsidR="00031AA6" w:rsidRPr="00031AA6" w:rsidRDefault="00031AA6" w:rsidP="00031AA6">
            <w:pPr>
              <w:rPr>
                <w:rFonts w:ascii="Times New Roman" w:eastAsia="Times New Roman" w:hAnsi="Times New Roman" w:cs="Times New Roman"/>
                <w:sz w:val="16"/>
                <w:szCs w:val="16"/>
              </w:rPr>
            </w:pPr>
            <w:r w:rsidRPr="00031AA6">
              <w:rPr>
                <w:rFonts w:ascii="Arial" w:eastAsia="Times New Roman" w:hAnsi="Arial" w:cs="Arial"/>
                <w:b/>
                <w:bCs/>
                <w:color w:val="FFFFFF"/>
                <w:sz w:val="16"/>
                <w:szCs w:val="16"/>
              </w:rPr>
              <w:t>RISK FACTORS</w:t>
            </w:r>
          </w:p>
        </w:tc>
        <w:tc>
          <w:tcPr>
            <w:tcW w:w="0" w:type="auto"/>
            <w:tcBorders>
              <w:bottom w:val="single" w:sz="6" w:space="0" w:color="828282"/>
            </w:tcBorders>
            <w:tcMar>
              <w:top w:w="30" w:type="dxa"/>
              <w:left w:w="30" w:type="dxa"/>
              <w:bottom w:w="30" w:type="dxa"/>
              <w:right w:w="30" w:type="dxa"/>
            </w:tcMar>
            <w:vAlign w:val="bottom"/>
            <w:hideMark/>
          </w:tcPr>
          <w:p w:rsidR="00031AA6" w:rsidRPr="00031AA6" w:rsidRDefault="00031AA6" w:rsidP="00031AA6">
            <w:pPr>
              <w:rPr>
                <w:rFonts w:ascii="Times New Roman" w:eastAsia="Times New Roman" w:hAnsi="Times New Roman" w:cs="Times New Roman"/>
                <w:sz w:val="20"/>
                <w:szCs w:val="20"/>
              </w:rPr>
            </w:pPr>
            <w:r w:rsidRPr="00031AA6">
              <w:rPr>
                <w:rFonts w:ascii="inherit" w:eastAsia="Times New Roman" w:hAnsi="inherit" w:cs="Times New Roman"/>
                <w:sz w:val="20"/>
                <w:szCs w:val="20"/>
              </w:rPr>
              <w:t> </w:t>
            </w:r>
          </w:p>
        </w:tc>
      </w:tr>
    </w:tbl>
    <w:p w:rsidR="00031AA6" w:rsidRPr="00031AA6" w:rsidRDefault="00031AA6" w:rsidP="00031AA6">
      <w:pPr>
        <w:spacing w:line="192" w:lineRule="atLeast"/>
        <w:rPr>
          <w:rFonts w:ascii="Times New Roman" w:eastAsia="Times New Roman" w:hAnsi="Times New Roman" w:cs="Times New Roman"/>
          <w:color w:val="000000"/>
          <w:sz w:val="16"/>
          <w:szCs w:val="16"/>
        </w:rPr>
      </w:pPr>
    </w:p>
    <w:p w:rsidR="00031AA6" w:rsidRPr="00031AA6" w:rsidRDefault="00031AA6" w:rsidP="00031AA6">
      <w:pPr>
        <w:rPr>
          <w:rFonts w:ascii="Times New Roman" w:eastAsia="Times New Roman" w:hAnsi="Times New Roman" w:cs="Times New Roman"/>
          <w:color w:val="000000"/>
          <w:sz w:val="20"/>
          <w:szCs w:val="20"/>
        </w:rPr>
      </w:pPr>
    </w:p>
    <w:p w:rsidR="00031AA6" w:rsidRPr="00031AA6" w:rsidRDefault="00031AA6" w:rsidP="00031AA6">
      <w:pPr>
        <w:spacing w:line="278" w:lineRule="atLeast"/>
        <w:jc w:val="both"/>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The Duke Energy Registrants may not recover costs incurred to begin construction on projects that are canceled.</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Duke Energy’s long-term strategy requires the construction of new projects, either wholly owned or partially owned, which involve a number of risks, including construction delays, nonperformance by equipment and other third-party suppliers, and increases in equipment and labor costs. To limit the risks of these construction projects, the Duke Energy Registrants enter into equipment purchase orders and construction contracts and incur engineering and design service costs in advance of receiving necessary regulatory approvals and/or siting or environmental permits. If any of these projects are canceled for any reason, including failure to receive necessary regulatory approvals and/or siting or environmental permits, significant cancellation penalties under the equipment purchase orders and construction contracts could occur. In addition, if any construction work or investments have been recorded as an asset, an impairment may need to be recorded in the event the project is canceled.</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Nuclear Generation Risks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Duke Energy Carolinas, Duke Energy Progress and Duke Energy Florida may incur substantial costs and liabilities due to their ownership and operation of nuclear generating facilities.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 xml:space="preserve">Ownership interests in and operation of nuclear stations by Duke Energy Carolinas, Duke Energy Progress and Duke Energy Florida subject them to various risks. These risks include, among other things: the potential harmful effects on the environment and human health resulting from the current or past operation of nuclear facilities and the storage, handling and disposal of radioactive materials; limitations on the amounts and types of insurance commercially available to cover losses that might arise in connection </w:t>
      </w:r>
      <w:r w:rsidRPr="00031AA6">
        <w:rPr>
          <w:rFonts w:ascii="Arial" w:eastAsia="Times New Roman" w:hAnsi="Arial" w:cs="Arial"/>
          <w:color w:val="000000"/>
          <w:sz w:val="16"/>
          <w:szCs w:val="16"/>
        </w:rPr>
        <w:lastRenderedPageBreak/>
        <w:t>with nuclear operations; and uncertainties with respect to the technological and financial aspects of decommissioning nuclear plants at the end of their licensed lives.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Ownership and operation of nuclear generation facilities requires compliance with licensing and safety-related requirements imposed by the NRC. In the event of non-compliance, the NRC may increase regulatory oversight, impose fines or shut down a unit depending upon its assessment of the severity of the situation. Revised security and safety requirements promulgated by the NRC, which could be prompted by, among other things, events within or outside of the control of Duke Energy Carolinas, Duke Energy Progress and Duke Energy Florida, such as a serious nuclear incident at a facility owned by a third party, could necessitate substantial capital and other expenditures, as well as assessments to cover third-party losses. In addition, if a serious nuclear incident were to occur, it could have a material adverse effect on the results of operations, financial position, cash flows and reputation of the Duke Energy Registrants.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Liquidity, Capital Requirements and Common Stock Risks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The Duke Energy Registrants rely on access to short-term borrowings and longer-term debt and equity markets to finance their capital requirements and support their liquidity needs. Access to those markets can be adversely affected by a number of conditions, many of which are beyond the Duke Energy Registrants’ control.</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The Duke Energy Registrants’ businesses are significantly financed through issuances of debt and equity. The maturity and repayment profile of debt used to finance investments often does not correlate to cash flows from their assets. Accordingly, as a source of liquidity for capital requirements not satisfied by the cash flows from their operations and to fund investments originally financed through debt instruments with disparate maturities, the Duke Energy Registrants rely on access to short-term money markets as well as longer-term capital markets. The Subsidiary Registrants also rely on access to short-term intercompany borrowings. If the Duke Energy Registrants are not able to access debt or equity at competitive rates or at all, the ability to finance their operations and implement their strategy and business plan as scheduled could be adversely affected. An inability to access debt and equity may limit the Duke Energy Registrants’ ability to pursue improvements or acquisitions that they may otherwise rely on for future growth.</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Market disruptions may increase the cost of borrowing or adversely affect the ability to access one or more financial markets. Such disruptions could include: economic downturns, the bankruptcy of an unrelated energy company, unfavorable capital market conditions, market prices for electricity and natural gas, actual or threatened terrorist attacks, or the overall health of the energy industry. The availability of credit under Duke Energy’s Master Credit Facility depends upon the ability of the banks providing commitments under the facility to provide funds when their obligations to do so arise. Systematic risk of the banking system and the financial markets could prevent a bank from meeting its obligations under the facility agreement.</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Duke Energy maintains a revolving credit facility to provide backup for its commercial paper program and letters of credit to support variable rate demand tax-exempt bonds that may be put to the Duke Energy Registrant issuer at the option of the holder. The facility includes borrowing sublimits for the Duke Energy Registrants, each of whom is a party to the credit facility, and financial covenants that limit the amount of debt that can be outstanding as a percentage of the total capital for the specific entity. Failure to maintain these covenants at a particular entity could preclude Duke Energy from issuing commercial paper or the Duke Energy Registrants from issuing letters of credit or borrowing under the Master Credit Facility.</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The Duke Energy Registrants must meet credit quality standards and there is no assurance they will maintain investment grade credit ratings. If the Duke Energy Registrants are unable to maintain investment grade credit ratings, they would be required under credit agreements to provide collateral in the form of letters of credit or cash, which may materially adversely affect their liquidity.</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Each of the Duke Energy Registrants’ senior long-term debt issuances is currently rated investment grade by various rating agencies. The Duke Energy Registrants cannot ensure their senior long-term debt will be rated investment grade in the future.</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If the rating agencies were to rate the Duke Energy Registrants below investment grade, borrowing costs would increase, perhaps significantly. In addition, the potential pool of investors and funding sources would likely decrease. Further, if the short-term debt rating were to fall, access to the commercial paper market could be significantly limited.</w:t>
      </w:r>
    </w:p>
    <w:p w:rsidR="00031AA6" w:rsidRPr="00031AA6" w:rsidRDefault="00031AA6" w:rsidP="00031AA6">
      <w:pPr>
        <w:rPr>
          <w:rFonts w:ascii="Times New Roman" w:eastAsia="Times New Roman" w:hAnsi="Times New Roman" w:cs="Times New Roman"/>
          <w:color w:val="000000"/>
          <w:sz w:val="20"/>
          <w:szCs w:val="20"/>
        </w:rPr>
      </w:pPr>
    </w:p>
    <w:p w:rsidR="00031AA6" w:rsidRPr="00031AA6" w:rsidRDefault="00031AA6" w:rsidP="00031AA6">
      <w:pPr>
        <w:spacing w:line="192" w:lineRule="atLeast"/>
        <w:jc w:val="center"/>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31</w:t>
      </w:r>
    </w:p>
    <w:p w:rsidR="00031AA6" w:rsidRPr="00031AA6" w:rsidRDefault="005F42F5" w:rsidP="00031AA6">
      <w:pPr>
        <w:rPr>
          <w:rFonts w:ascii="Times New Roman" w:eastAsia="Times New Roman" w:hAnsi="Times New Roman" w:cs="Times New Roman"/>
        </w:rPr>
      </w:pPr>
      <w:r w:rsidRPr="00031AA6">
        <w:rPr>
          <w:rFonts w:ascii="Times New Roman" w:eastAsia="Times New Roman" w:hAnsi="Times New Roman" w:cs="Times New Roman"/>
          <w:noProof/>
        </w:rPr>
        <w:pict>
          <v:rect id="_x0000_i1031" alt="" style="width:468pt;height:.05pt;mso-width-percent:0;mso-height-percent:0;mso-width-percent:0;mso-height-percent:0" o:hralign="center" o:hrstd="t" o:hrnoshade="t" o:hr="t" fillcolor="black" stroked="f"/>
        </w:pict>
      </w:r>
    </w:p>
    <w:p w:rsidR="00031AA6" w:rsidRPr="00031AA6" w:rsidRDefault="00031AA6" w:rsidP="00031AA6">
      <w:pPr>
        <w:spacing w:line="192" w:lineRule="atLeast"/>
        <w:rPr>
          <w:rFonts w:ascii="Times New Roman" w:eastAsia="Times New Roman" w:hAnsi="Times New Roman" w:cs="Times New Roman"/>
          <w:color w:val="000000"/>
          <w:sz w:val="16"/>
          <w:szCs w:val="16"/>
        </w:rPr>
      </w:pPr>
    </w:p>
    <w:p w:rsidR="00031AA6" w:rsidRPr="00031AA6" w:rsidRDefault="00031AA6" w:rsidP="00031AA6">
      <w:pPr>
        <w:spacing w:line="192" w:lineRule="atLeast"/>
        <w:rPr>
          <w:rFonts w:ascii="Times New Roman" w:eastAsia="Times New Roman" w:hAnsi="Times New Roman" w:cs="Times New Roman"/>
          <w:color w:val="000000"/>
          <w:sz w:val="16"/>
          <w:szCs w:val="16"/>
        </w:rPr>
      </w:pPr>
    </w:p>
    <w:p w:rsidR="00031AA6" w:rsidRPr="00031AA6" w:rsidRDefault="00031AA6" w:rsidP="00031AA6">
      <w:pPr>
        <w:spacing w:line="192" w:lineRule="atLeast"/>
        <w:rPr>
          <w:rFonts w:ascii="Times New Roman" w:eastAsia="Times New Roman" w:hAnsi="Times New Roman" w:cs="Times New Roman"/>
          <w:color w:val="000000"/>
          <w:sz w:val="16"/>
          <w:szCs w:val="16"/>
        </w:rPr>
      </w:pPr>
    </w:p>
    <w:tbl>
      <w:tblPr>
        <w:tblW w:w="21270" w:type="dxa"/>
        <w:jc w:val="center"/>
        <w:tblCellMar>
          <w:left w:w="0" w:type="dxa"/>
          <w:right w:w="0" w:type="dxa"/>
        </w:tblCellMar>
        <w:tblLook w:val="04A0" w:firstRow="1" w:lastRow="0" w:firstColumn="1" w:lastColumn="0" w:noHBand="0" w:noVBand="1"/>
      </w:tblPr>
      <w:tblGrid>
        <w:gridCol w:w="7020"/>
        <w:gridCol w:w="14250"/>
      </w:tblGrid>
      <w:tr w:rsidR="00031AA6" w:rsidRPr="00031AA6" w:rsidTr="00031AA6">
        <w:trPr>
          <w:jc w:val="center"/>
        </w:trPr>
        <w:tc>
          <w:tcPr>
            <w:tcW w:w="0" w:type="auto"/>
            <w:gridSpan w:val="2"/>
            <w:vAlign w:val="center"/>
            <w:hideMark/>
          </w:tcPr>
          <w:p w:rsidR="00031AA6" w:rsidRPr="00031AA6" w:rsidRDefault="00031AA6" w:rsidP="00031AA6">
            <w:pPr>
              <w:spacing w:line="192" w:lineRule="atLeast"/>
              <w:rPr>
                <w:rFonts w:ascii="Times New Roman" w:eastAsia="Times New Roman" w:hAnsi="Times New Roman" w:cs="Times New Roman"/>
                <w:color w:val="000000"/>
                <w:sz w:val="16"/>
                <w:szCs w:val="16"/>
              </w:rPr>
            </w:pPr>
          </w:p>
        </w:tc>
      </w:tr>
      <w:tr w:rsidR="00031AA6" w:rsidRPr="00031AA6" w:rsidTr="00031AA6">
        <w:trPr>
          <w:jc w:val="center"/>
        </w:trPr>
        <w:tc>
          <w:tcPr>
            <w:tcW w:w="7020" w:type="dxa"/>
            <w:vAlign w:val="center"/>
            <w:hideMark/>
          </w:tcPr>
          <w:p w:rsidR="00031AA6" w:rsidRPr="00031AA6" w:rsidRDefault="00031AA6" w:rsidP="00031AA6">
            <w:pPr>
              <w:rPr>
                <w:rFonts w:ascii="Times New Roman" w:eastAsia="Times New Roman" w:hAnsi="Times New Roman" w:cs="Times New Roman"/>
                <w:sz w:val="20"/>
                <w:szCs w:val="20"/>
              </w:rPr>
            </w:pPr>
          </w:p>
        </w:tc>
        <w:tc>
          <w:tcPr>
            <w:tcW w:w="14250" w:type="dxa"/>
            <w:vAlign w:val="center"/>
            <w:hideMark/>
          </w:tcPr>
          <w:p w:rsidR="00031AA6" w:rsidRPr="00031AA6" w:rsidRDefault="00031AA6" w:rsidP="00031AA6">
            <w:pPr>
              <w:rPr>
                <w:rFonts w:ascii="Times New Roman" w:eastAsia="Times New Roman" w:hAnsi="Times New Roman" w:cs="Times New Roman"/>
                <w:sz w:val="20"/>
                <w:szCs w:val="20"/>
              </w:rPr>
            </w:pPr>
          </w:p>
        </w:tc>
      </w:tr>
      <w:tr w:rsidR="00031AA6" w:rsidRPr="00031AA6" w:rsidTr="00031AA6">
        <w:trPr>
          <w:jc w:val="center"/>
        </w:trPr>
        <w:tc>
          <w:tcPr>
            <w:tcW w:w="0" w:type="auto"/>
            <w:tcBorders>
              <w:bottom w:val="single" w:sz="6" w:space="0" w:color="828282"/>
            </w:tcBorders>
            <w:shd w:val="clear" w:color="auto" w:fill="828282"/>
            <w:tcMar>
              <w:top w:w="30" w:type="dxa"/>
              <w:left w:w="30" w:type="dxa"/>
              <w:bottom w:w="30" w:type="dxa"/>
              <w:right w:w="30" w:type="dxa"/>
            </w:tcMar>
            <w:vAlign w:val="center"/>
            <w:hideMark/>
          </w:tcPr>
          <w:p w:rsidR="00031AA6" w:rsidRPr="00031AA6" w:rsidRDefault="00031AA6" w:rsidP="00031AA6">
            <w:pPr>
              <w:rPr>
                <w:rFonts w:ascii="Times New Roman" w:eastAsia="Times New Roman" w:hAnsi="Times New Roman" w:cs="Times New Roman"/>
                <w:sz w:val="16"/>
                <w:szCs w:val="16"/>
              </w:rPr>
            </w:pPr>
            <w:r w:rsidRPr="00031AA6">
              <w:rPr>
                <w:rFonts w:ascii="Arial" w:eastAsia="Times New Roman" w:hAnsi="Arial" w:cs="Arial"/>
                <w:b/>
                <w:bCs/>
                <w:color w:val="FFFFFF"/>
                <w:sz w:val="16"/>
                <w:szCs w:val="16"/>
              </w:rPr>
              <w:t>RISK FACTORS</w:t>
            </w:r>
          </w:p>
        </w:tc>
        <w:tc>
          <w:tcPr>
            <w:tcW w:w="0" w:type="auto"/>
            <w:tcBorders>
              <w:bottom w:val="single" w:sz="6" w:space="0" w:color="828282"/>
            </w:tcBorders>
            <w:tcMar>
              <w:top w:w="30" w:type="dxa"/>
              <w:left w:w="30" w:type="dxa"/>
              <w:bottom w:w="30" w:type="dxa"/>
              <w:right w:w="30" w:type="dxa"/>
            </w:tcMar>
            <w:vAlign w:val="bottom"/>
            <w:hideMark/>
          </w:tcPr>
          <w:p w:rsidR="00031AA6" w:rsidRPr="00031AA6" w:rsidRDefault="00031AA6" w:rsidP="00031AA6">
            <w:pPr>
              <w:rPr>
                <w:rFonts w:ascii="Times New Roman" w:eastAsia="Times New Roman" w:hAnsi="Times New Roman" w:cs="Times New Roman"/>
                <w:sz w:val="20"/>
                <w:szCs w:val="20"/>
              </w:rPr>
            </w:pPr>
            <w:r w:rsidRPr="00031AA6">
              <w:rPr>
                <w:rFonts w:ascii="inherit" w:eastAsia="Times New Roman" w:hAnsi="inherit" w:cs="Times New Roman"/>
                <w:sz w:val="20"/>
                <w:szCs w:val="20"/>
              </w:rPr>
              <w:t> </w:t>
            </w:r>
          </w:p>
        </w:tc>
      </w:tr>
    </w:tbl>
    <w:p w:rsidR="00031AA6" w:rsidRPr="00031AA6" w:rsidRDefault="00031AA6" w:rsidP="00031AA6">
      <w:pPr>
        <w:spacing w:line="192" w:lineRule="atLeast"/>
        <w:rPr>
          <w:rFonts w:ascii="Times New Roman" w:eastAsia="Times New Roman" w:hAnsi="Times New Roman" w:cs="Times New Roman"/>
          <w:color w:val="000000"/>
          <w:sz w:val="16"/>
          <w:szCs w:val="16"/>
        </w:rPr>
      </w:pPr>
    </w:p>
    <w:p w:rsidR="00031AA6" w:rsidRPr="00031AA6" w:rsidRDefault="00031AA6" w:rsidP="00031AA6">
      <w:pPr>
        <w:rPr>
          <w:rFonts w:ascii="Times New Roman" w:eastAsia="Times New Roman" w:hAnsi="Times New Roman" w:cs="Times New Roman"/>
          <w:color w:val="000000"/>
          <w:sz w:val="20"/>
          <w:szCs w:val="20"/>
        </w:rPr>
      </w:pP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A downgrade below investment grade could also require the posting of additional collateral in the form of letters of credit or cash under various credit, commodity and capacity agreements and trigger termination clauses in some interest rate derivative agreements, which would require cash payments. All of these events would likely reduce the Duke Energy Registrants’ liquidity and profitability and could have a material effect on their results of operations, financial position and cash flows.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Non-compliance with debt covenants or conditions could adversely affect the Duke Energy Registrants’ ability to execute future borrowings.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The Duke Energy Registrants’ debt and credit agreements contain various financial and other covenants. Failure to meet those covenants beyond applicable grace periods could result in accelerated due dates and/or termination of the agreements.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Market performance and other changes may decrease the value of the NDTF investments of Duke Energy Carolinas, Duke Energy Progress and Duke Energy Florida, which then could require significant additional funding.</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 xml:space="preserve">Ownership and operation of nuclear generation facilities also requires the maintenance of funded trusts that are intended to pay for the decommissioning costs of the respective nuclear power plants. The performance of the capital markets affects the values of the assets held in trust to satisfy these future obligations. Duke Energy Carolinas, Duke Energy Progress and Duke Energy Florida have </w:t>
      </w:r>
      <w:r w:rsidRPr="00031AA6">
        <w:rPr>
          <w:rFonts w:ascii="Arial" w:eastAsia="Times New Roman" w:hAnsi="Arial" w:cs="Arial"/>
          <w:color w:val="000000"/>
          <w:sz w:val="16"/>
          <w:szCs w:val="16"/>
        </w:rPr>
        <w:lastRenderedPageBreak/>
        <w:t>significant obligations in this area and hold significant assets in these trusts. These assets are subject to market fluctuations and will yield uncertain returns, which may fall below projected rates of return. Although a number of factors impact funding requirements, a decline in the market value of the assets may increase the funding requirements of the obligations for decommissioning nuclear plants. If Duke Energy Carolinas, Duke Energy Progress and Duke Energy Florida are unable to successfully manage their NDTF assets, their results of operations, financial position and cash flows could be negatively affected.</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Poor investment performance of the Duke Energy pension plan holdings and other factors impacting pension plan costs could unfavorably impact the Duke Energy Registrants’ liquidity and results of operations.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The costs of providing non-contributory defined benefit pension plans are dependent upon a number of factors, such as the rates of return on plan assets, discount rates, the level of interest rates used to measure the required minimum funding levels of the plans, future government regulation and required or voluntary contributions made to the plans. The Subsidiary Registrants are allocated their proportionate share of the cost and obligations related to these plans. Without sustained growth in the pension investments over time to increase the value of plan assets and, depending upon the other factors impacting costs as listed above, Duke Energy could be required to fund its plans with significant amounts of cash. Such cash funding obligations, and the Subsidiary Registrants’ proportionate share of such cash funding obligations, could have a material impact on the Duke Energy Registrants’ results of operations, financial position and cash flows.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b/>
          <w:bCs/>
          <w:color w:val="000000"/>
          <w:sz w:val="16"/>
          <w:szCs w:val="16"/>
        </w:rPr>
        <w:t>Duke Energy is a holding company and depends on the cash flows from its subsidiaries to meet its financial obligations.</w:t>
      </w:r>
    </w:p>
    <w:p w:rsidR="00031AA6" w:rsidRPr="00031AA6" w:rsidRDefault="00031AA6" w:rsidP="00031AA6">
      <w:pPr>
        <w:spacing w:line="192" w:lineRule="atLeast"/>
        <w:rPr>
          <w:rFonts w:ascii="Times New Roman" w:eastAsia="Times New Roman" w:hAnsi="Times New Roman" w:cs="Times New Roman"/>
          <w:color w:val="000000"/>
          <w:sz w:val="16"/>
          <w:szCs w:val="16"/>
        </w:rPr>
      </w:pPr>
      <w:r w:rsidRPr="00031AA6">
        <w:rPr>
          <w:rFonts w:ascii="Arial" w:eastAsia="Times New Roman" w:hAnsi="Arial" w:cs="Arial"/>
          <w:color w:val="000000"/>
          <w:sz w:val="16"/>
          <w:szCs w:val="16"/>
        </w:rPr>
        <w:t>Because Duke Energy is a holding company with no operations or cash flows of its own, its ability to meet its financial obligations, including making interest and principal payments on outstanding indebtedness and to pay dividends on its common stock, is primarily dependent on the net income and cash flows of its subsidiaries and the ability of those subsidiaries to pay upstream dividends or to repay borrowed funds. Prior to funding Duke Energy, its subsidiaries have regulatory restrictions and financial obligations that must be satisfied. These subsidiaries are separate legal entities and have no obligation to provide Duke Energy with funds. In addition, Duke Energy may provide capital contributions or debt financing to its subsidiaries under certain circumstances, which would reduce the funds available to meet its financial obligations, including making interest and principal payments on outstanding indebtedness and to pay dividends on Duke Energy’s common stock.</w:t>
      </w:r>
    </w:p>
    <w:p w:rsidR="00031AA6" w:rsidRDefault="00031AA6">
      <w:bookmarkStart w:id="0" w:name="_GoBack"/>
      <w:bookmarkEnd w:id="0"/>
    </w:p>
    <w:sectPr w:rsidR="00031AA6" w:rsidSect="00AD6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AA6"/>
    <w:rsid w:val="00031AA6"/>
    <w:rsid w:val="005F42F5"/>
    <w:rsid w:val="00AD6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24B4F-C135-1743-83B7-F3A16F5D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057230">
      <w:bodyDiv w:val="1"/>
      <w:marLeft w:val="0"/>
      <w:marRight w:val="0"/>
      <w:marTop w:val="0"/>
      <w:marBottom w:val="0"/>
      <w:divBdr>
        <w:top w:val="none" w:sz="0" w:space="0" w:color="auto"/>
        <w:left w:val="none" w:sz="0" w:space="0" w:color="auto"/>
        <w:bottom w:val="none" w:sz="0" w:space="0" w:color="auto"/>
        <w:right w:val="none" w:sz="0" w:space="0" w:color="auto"/>
      </w:divBdr>
      <w:divsChild>
        <w:div w:id="594679161">
          <w:marLeft w:val="0"/>
          <w:marRight w:val="0"/>
          <w:marTop w:val="0"/>
          <w:marBottom w:val="0"/>
          <w:divBdr>
            <w:top w:val="none" w:sz="0" w:space="0" w:color="auto"/>
            <w:left w:val="none" w:sz="0" w:space="0" w:color="auto"/>
            <w:bottom w:val="none" w:sz="0" w:space="0" w:color="auto"/>
            <w:right w:val="none" w:sz="0" w:space="0" w:color="auto"/>
          </w:divBdr>
          <w:divsChild>
            <w:div w:id="360666022">
              <w:marLeft w:val="0"/>
              <w:marRight w:val="0"/>
              <w:marTop w:val="0"/>
              <w:marBottom w:val="0"/>
              <w:divBdr>
                <w:top w:val="none" w:sz="0" w:space="0" w:color="auto"/>
                <w:left w:val="none" w:sz="0" w:space="0" w:color="auto"/>
                <w:bottom w:val="none" w:sz="0" w:space="0" w:color="auto"/>
                <w:right w:val="none" w:sz="0" w:space="0" w:color="auto"/>
              </w:divBdr>
              <w:divsChild>
                <w:div w:id="1391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3652">
          <w:marLeft w:val="0"/>
          <w:marRight w:val="0"/>
          <w:marTop w:val="0"/>
          <w:marBottom w:val="0"/>
          <w:divBdr>
            <w:top w:val="none" w:sz="0" w:space="0" w:color="auto"/>
            <w:left w:val="none" w:sz="0" w:space="0" w:color="auto"/>
            <w:bottom w:val="none" w:sz="0" w:space="0" w:color="auto"/>
            <w:right w:val="none" w:sz="0" w:space="0" w:color="auto"/>
          </w:divBdr>
        </w:div>
        <w:div w:id="553390854">
          <w:marLeft w:val="0"/>
          <w:marRight w:val="0"/>
          <w:marTop w:val="0"/>
          <w:marBottom w:val="0"/>
          <w:divBdr>
            <w:top w:val="none" w:sz="0" w:space="0" w:color="auto"/>
            <w:left w:val="none" w:sz="0" w:space="0" w:color="auto"/>
            <w:bottom w:val="none" w:sz="0" w:space="0" w:color="auto"/>
            <w:right w:val="none" w:sz="0" w:space="0" w:color="auto"/>
          </w:divBdr>
        </w:div>
        <w:div w:id="212012324">
          <w:marLeft w:val="0"/>
          <w:marRight w:val="0"/>
          <w:marTop w:val="0"/>
          <w:marBottom w:val="0"/>
          <w:divBdr>
            <w:top w:val="none" w:sz="0" w:space="0" w:color="auto"/>
            <w:left w:val="none" w:sz="0" w:space="0" w:color="auto"/>
            <w:bottom w:val="none" w:sz="0" w:space="0" w:color="auto"/>
            <w:right w:val="none" w:sz="0" w:space="0" w:color="auto"/>
          </w:divBdr>
          <w:divsChild>
            <w:div w:id="1508328393">
              <w:marLeft w:val="0"/>
              <w:marRight w:val="0"/>
              <w:marTop w:val="0"/>
              <w:marBottom w:val="0"/>
              <w:divBdr>
                <w:top w:val="none" w:sz="0" w:space="0" w:color="auto"/>
                <w:left w:val="none" w:sz="0" w:space="0" w:color="auto"/>
                <w:bottom w:val="none" w:sz="0" w:space="0" w:color="auto"/>
                <w:right w:val="none" w:sz="0" w:space="0" w:color="auto"/>
              </w:divBdr>
            </w:div>
            <w:div w:id="56320329">
              <w:marLeft w:val="0"/>
              <w:marRight w:val="0"/>
              <w:marTop w:val="0"/>
              <w:marBottom w:val="0"/>
              <w:divBdr>
                <w:top w:val="none" w:sz="0" w:space="0" w:color="auto"/>
                <w:left w:val="none" w:sz="0" w:space="0" w:color="auto"/>
                <w:bottom w:val="none" w:sz="0" w:space="0" w:color="auto"/>
                <w:right w:val="none" w:sz="0" w:space="0" w:color="auto"/>
              </w:divBdr>
            </w:div>
            <w:div w:id="1400635423">
              <w:marLeft w:val="0"/>
              <w:marRight w:val="0"/>
              <w:marTop w:val="0"/>
              <w:marBottom w:val="0"/>
              <w:divBdr>
                <w:top w:val="none" w:sz="0" w:space="0" w:color="auto"/>
                <w:left w:val="none" w:sz="0" w:space="0" w:color="auto"/>
                <w:bottom w:val="none" w:sz="0" w:space="0" w:color="auto"/>
                <w:right w:val="none" w:sz="0" w:space="0" w:color="auto"/>
              </w:divBdr>
            </w:div>
            <w:div w:id="1089158787">
              <w:marLeft w:val="0"/>
              <w:marRight w:val="0"/>
              <w:marTop w:val="0"/>
              <w:marBottom w:val="0"/>
              <w:divBdr>
                <w:top w:val="none" w:sz="0" w:space="0" w:color="auto"/>
                <w:left w:val="none" w:sz="0" w:space="0" w:color="auto"/>
                <w:bottom w:val="none" w:sz="0" w:space="0" w:color="auto"/>
                <w:right w:val="none" w:sz="0" w:space="0" w:color="auto"/>
              </w:divBdr>
              <w:divsChild>
                <w:div w:id="651835868">
                  <w:marLeft w:val="0"/>
                  <w:marRight w:val="0"/>
                  <w:marTop w:val="0"/>
                  <w:marBottom w:val="0"/>
                  <w:divBdr>
                    <w:top w:val="none" w:sz="0" w:space="0" w:color="auto"/>
                    <w:left w:val="none" w:sz="0" w:space="0" w:color="auto"/>
                    <w:bottom w:val="none" w:sz="0" w:space="0" w:color="auto"/>
                    <w:right w:val="none" w:sz="0" w:space="0" w:color="auto"/>
                  </w:divBdr>
                </w:div>
              </w:divsChild>
            </w:div>
            <w:div w:id="1015038918">
              <w:marLeft w:val="0"/>
              <w:marRight w:val="0"/>
              <w:marTop w:val="0"/>
              <w:marBottom w:val="0"/>
              <w:divBdr>
                <w:top w:val="none" w:sz="0" w:space="0" w:color="auto"/>
                <w:left w:val="none" w:sz="0" w:space="0" w:color="auto"/>
                <w:bottom w:val="none" w:sz="0" w:space="0" w:color="auto"/>
                <w:right w:val="none" w:sz="0" w:space="0" w:color="auto"/>
              </w:divBdr>
            </w:div>
          </w:divsChild>
        </w:div>
        <w:div w:id="760948856">
          <w:marLeft w:val="0"/>
          <w:marRight w:val="0"/>
          <w:marTop w:val="0"/>
          <w:marBottom w:val="0"/>
          <w:divBdr>
            <w:top w:val="none" w:sz="0" w:space="0" w:color="auto"/>
            <w:left w:val="none" w:sz="0" w:space="0" w:color="auto"/>
            <w:bottom w:val="none" w:sz="0" w:space="0" w:color="auto"/>
            <w:right w:val="none" w:sz="0" w:space="0" w:color="auto"/>
          </w:divBdr>
        </w:div>
        <w:div w:id="663241932">
          <w:marLeft w:val="0"/>
          <w:marRight w:val="0"/>
          <w:marTop w:val="0"/>
          <w:marBottom w:val="0"/>
          <w:divBdr>
            <w:top w:val="none" w:sz="0" w:space="0" w:color="auto"/>
            <w:left w:val="none" w:sz="0" w:space="0" w:color="auto"/>
            <w:bottom w:val="none" w:sz="0" w:space="0" w:color="auto"/>
            <w:right w:val="none" w:sz="0" w:space="0" w:color="auto"/>
          </w:divBdr>
        </w:div>
        <w:div w:id="1407068327">
          <w:marLeft w:val="0"/>
          <w:marRight w:val="0"/>
          <w:marTop w:val="0"/>
          <w:marBottom w:val="0"/>
          <w:divBdr>
            <w:top w:val="none" w:sz="0" w:space="0" w:color="auto"/>
            <w:left w:val="none" w:sz="0" w:space="0" w:color="auto"/>
            <w:bottom w:val="none" w:sz="0" w:space="0" w:color="auto"/>
            <w:right w:val="none" w:sz="0" w:space="0" w:color="auto"/>
          </w:divBdr>
        </w:div>
        <w:div w:id="929048705">
          <w:marLeft w:val="0"/>
          <w:marRight w:val="0"/>
          <w:marTop w:val="0"/>
          <w:marBottom w:val="0"/>
          <w:divBdr>
            <w:top w:val="none" w:sz="0" w:space="0" w:color="auto"/>
            <w:left w:val="none" w:sz="0" w:space="0" w:color="auto"/>
            <w:bottom w:val="none" w:sz="0" w:space="0" w:color="auto"/>
            <w:right w:val="none" w:sz="0" w:space="0" w:color="auto"/>
          </w:divBdr>
          <w:divsChild>
            <w:div w:id="312103667">
              <w:marLeft w:val="0"/>
              <w:marRight w:val="0"/>
              <w:marTop w:val="0"/>
              <w:marBottom w:val="0"/>
              <w:divBdr>
                <w:top w:val="none" w:sz="0" w:space="0" w:color="auto"/>
                <w:left w:val="none" w:sz="0" w:space="0" w:color="auto"/>
                <w:bottom w:val="none" w:sz="0" w:space="0" w:color="auto"/>
                <w:right w:val="none" w:sz="0" w:space="0" w:color="auto"/>
              </w:divBdr>
            </w:div>
            <w:div w:id="1578905359">
              <w:marLeft w:val="0"/>
              <w:marRight w:val="0"/>
              <w:marTop w:val="0"/>
              <w:marBottom w:val="0"/>
              <w:divBdr>
                <w:top w:val="none" w:sz="0" w:space="0" w:color="auto"/>
                <w:left w:val="none" w:sz="0" w:space="0" w:color="auto"/>
                <w:bottom w:val="none" w:sz="0" w:space="0" w:color="auto"/>
                <w:right w:val="none" w:sz="0" w:space="0" w:color="auto"/>
              </w:divBdr>
            </w:div>
            <w:div w:id="1839928517">
              <w:marLeft w:val="0"/>
              <w:marRight w:val="0"/>
              <w:marTop w:val="0"/>
              <w:marBottom w:val="0"/>
              <w:divBdr>
                <w:top w:val="none" w:sz="0" w:space="0" w:color="auto"/>
                <w:left w:val="none" w:sz="0" w:space="0" w:color="auto"/>
                <w:bottom w:val="none" w:sz="0" w:space="0" w:color="auto"/>
                <w:right w:val="none" w:sz="0" w:space="0" w:color="auto"/>
              </w:divBdr>
            </w:div>
            <w:div w:id="1189217459">
              <w:marLeft w:val="0"/>
              <w:marRight w:val="0"/>
              <w:marTop w:val="0"/>
              <w:marBottom w:val="0"/>
              <w:divBdr>
                <w:top w:val="none" w:sz="0" w:space="0" w:color="auto"/>
                <w:left w:val="none" w:sz="0" w:space="0" w:color="auto"/>
                <w:bottom w:val="none" w:sz="0" w:space="0" w:color="auto"/>
                <w:right w:val="none" w:sz="0" w:space="0" w:color="auto"/>
              </w:divBdr>
              <w:divsChild>
                <w:div w:id="1359045036">
                  <w:marLeft w:val="0"/>
                  <w:marRight w:val="0"/>
                  <w:marTop w:val="0"/>
                  <w:marBottom w:val="0"/>
                  <w:divBdr>
                    <w:top w:val="none" w:sz="0" w:space="0" w:color="auto"/>
                    <w:left w:val="none" w:sz="0" w:space="0" w:color="auto"/>
                    <w:bottom w:val="none" w:sz="0" w:space="0" w:color="auto"/>
                    <w:right w:val="none" w:sz="0" w:space="0" w:color="auto"/>
                  </w:divBdr>
                </w:div>
              </w:divsChild>
            </w:div>
            <w:div w:id="1187789142">
              <w:marLeft w:val="0"/>
              <w:marRight w:val="0"/>
              <w:marTop w:val="0"/>
              <w:marBottom w:val="0"/>
              <w:divBdr>
                <w:top w:val="none" w:sz="0" w:space="0" w:color="auto"/>
                <w:left w:val="none" w:sz="0" w:space="0" w:color="auto"/>
                <w:bottom w:val="none" w:sz="0" w:space="0" w:color="auto"/>
                <w:right w:val="none" w:sz="0" w:space="0" w:color="auto"/>
              </w:divBdr>
            </w:div>
          </w:divsChild>
        </w:div>
        <w:div w:id="2048529985">
          <w:marLeft w:val="0"/>
          <w:marRight w:val="0"/>
          <w:marTop w:val="0"/>
          <w:marBottom w:val="0"/>
          <w:divBdr>
            <w:top w:val="none" w:sz="0" w:space="0" w:color="auto"/>
            <w:left w:val="none" w:sz="0" w:space="0" w:color="auto"/>
            <w:bottom w:val="none" w:sz="0" w:space="0" w:color="auto"/>
            <w:right w:val="none" w:sz="0" w:space="0" w:color="auto"/>
          </w:divBdr>
        </w:div>
        <w:div w:id="1458449960">
          <w:marLeft w:val="0"/>
          <w:marRight w:val="0"/>
          <w:marTop w:val="0"/>
          <w:marBottom w:val="0"/>
          <w:divBdr>
            <w:top w:val="none" w:sz="0" w:space="0" w:color="auto"/>
            <w:left w:val="none" w:sz="0" w:space="0" w:color="auto"/>
            <w:bottom w:val="none" w:sz="0" w:space="0" w:color="auto"/>
            <w:right w:val="none" w:sz="0" w:space="0" w:color="auto"/>
          </w:divBdr>
        </w:div>
        <w:div w:id="1898584564">
          <w:marLeft w:val="0"/>
          <w:marRight w:val="0"/>
          <w:marTop w:val="0"/>
          <w:marBottom w:val="0"/>
          <w:divBdr>
            <w:top w:val="none" w:sz="0" w:space="0" w:color="auto"/>
            <w:left w:val="none" w:sz="0" w:space="0" w:color="auto"/>
            <w:bottom w:val="none" w:sz="0" w:space="0" w:color="auto"/>
            <w:right w:val="none" w:sz="0" w:space="0" w:color="auto"/>
          </w:divBdr>
        </w:div>
        <w:div w:id="63649748">
          <w:marLeft w:val="0"/>
          <w:marRight w:val="0"/>
          <w:marTop w:val="0"/>
          <w:marBottom w:val="0"/>
          <w:divBdr>
            <w:top w:val="none" w:sz="0" w:space="0" w:color="auto"/>
            <w:left w:val="none" w:sz="0" w:space="0" w:color="auto"/>
            <w:bottom w:val="none" w:sz="0" w:space="0" w:color="auto"/>
            <w:right w:val="none" w:sz="0" w:space="0" w:color="auto"/>
          </w:divBdr>
        </w:div>
        <w:div w:id="1562017320">
          <w:marLeft w:val="0"/>
          <w:marRight w:val="0"/>
          <w:marTop w:val="0"/>
          <w:marBottom w:val="0"/>
          <w:divBdr>
            <w:top w:val="none" w:sz="0" w:space="0" w:color="auto"/>
            <w:left w:val="none" w:sz="0" w:space="0" w:color="auto"/>
            <w:bottom w:val="none" w:sz="0" w:space="0" w:color="auto"/>
            <w:right w:val="none" w:sz="0" w:space="0" w:color="auto"/>
          </w:divBdr>
        </w:div>
        <w:div w:id="1657491600">
          <w:marLeft w:val="0"/>
          <w:marRight w:val="0"/>
          <w:marTop w:val="0"/>
          <w:marBottom w:val="0"/>
          <w:divBdr>
            <w:top w:val="none" w:sz="0" w:space="0" w:color="auto"/>
            <w:left w:val="none" w:sz="0" w:space="0" w:color="auto"/>
            <w:bottom w:val="none" w:sz="0" w:space="0" w:color="auto"/>
            <w:right w:val="none" w:sz="0" w:space="0" w:color="auto"/>
          </w:divBdr>
        </w:div>
        <w:div w:id="953250381">
          <w:marLeft w:val="0"/>
          <w:marRight w:val="0"/>
          <w:marTop w:val="0"/>
          <w:marBottom w:val="0"/>
          <w:divBdr>
            <w:top w:val="none" w:sz="0" w:space="0" w:color="auto"/>
            <w:left w:val="none" w:sz="0" w:space="0" w:color="auto"/>
            <w:bottom w:val="none" w:sz="0" w:space="0" w:color="auto"/>
            <w:right w:val="none" w:sz="0" w:space="0" w:color="auto"/>
          </w:divBdr>
          <w:divsChild>
            <w:div w:id="1430273970">
              <w:marLeft w:val="0"/>
              <w:marRight w:val="0"/>
              <w:marTop w:val="0"/>
              <w:marBottom w:val="0"/>
              <w:divBdr>
                <w:top w:val="none" w:sz="0" w:space="0" w:color="auto"/>
                <w:left w:val="none" w:sz="0" w:space="0" w:color="auto"/>
                <w:bottom w:val="none" w:sz="0" w:space="0" w:color="auto"/>
                <w:right w:val="none" w:sz="0" w:space="0" w:color="auto"/>
              </w:divBdr>
            </w:div>
            <w:div w:id="1031145797">
              <w:marLeft w:val="0"/>
              <w:marRight w:val="0"/>
              <w:marTop w:val="0"/>
              <w:marBottom w:val="0"/>
              <w:divBdr>
                <w:top w:val="none" w:sz="0" w:space="0" w:color="auto"/>
                <w:left w:val="none" w:sz="0" w:space="0" w:color="auto"/>
                <w:bottom w:val="none" w:sz="0" w:space="0" w:color="auto"/>
                <w:right w:val="none" w:sz="0" w:space="0" w:color="auto"/>
              </w:divBdr>
            </w:div>
            <w:div w:id="880095555">
              <w:marLeft w:val="0"/>
              <w:marRight w:val="0"/>
              <w:marTop w:val="0"/>
              <w:marBottom w:val="0"/>
              <w:divBdr>
                <w:top w:val="none" w:sz="0" w:space="0" w:color="auto"/>
                <w:left w:val="none" w:sz="0" w:space="0" w:color="auto"/>
                <w:bottom w:val="none" w:sz="0" w:space="0" w:color="auto"/>
                <w:right w:val="none" w:sz="0" w:space="0" w:color="auto"/>
              </w:divBdr>
            </w:div>
            <w:div w:id="1505704642">
              <w:marLeft w:val="0"/>
              <w:marRight w:val="0"/>
              <w:marTop w:val="0"/>
              <w:marBottom w:val="0"/>
              <w:divBdr>
                <w:top w:val="none" w:sz="0" w:space="0" w:color="auto"/>
                <w:left w:val="none" w:sz="0" w:space="0" w:color="auto"/>
                <w:bottom w:val="none" w:sz="0" w:space="0" w:color="auto"/>
                <w:right w:val="none" w:sz="0" w:space="0" w:color="auto"/>
              </w:divBdr>
              <w:divsChild>
                <w:div w:id="2089115740">
                  <w:marLeft w:val="0"/>
                  <w:marRight w:val="0"/>
                  <w:marTop w:val="0"/>
                  <w:marBottom w:val="0"/>
                  <w:divBdr>
                    <w:top w:val="none" w:sz="0" w:space="0" w:color="auto"/>
                    <w:left w:val="none" w:sz="0" w:space="0" w:color="auto"/>
                    <w:bottom w:val="none" w:sz="0" w:space="0" w:color="auto"/>
                    <w:right w:val="none" w:sz="0" w:space="0" w:color="auto"/>
                  </w:divBdr>
                </w:div>
              </w:divsChild>
            </w:div>
            <w:div w:id="778643664">
              <w:marLeft w:val="0"/>
              <w:marRight w:val="0"/>
              <w:marTop w:val="0"/>
              <w:marBottom w:val="0"/>
              <w:divBdr>
                <w:top w:val="none" w:sz="0" w:space="0" w:color="auto"/>
                <w:left w:val="none" w:sz="0" w:space="0" w:color="auto"/>
                <w:bottom w:val="none" w:sz="0" w:space="0" w:color="auto"/>
                <w:right w:val="none" w:sz="0" w:space="0" w:color="auto"/>
              </w:divBdr>
            </w:div>
          </w:divsChild>
        </w:div>
        <w:div w:id="334115206">
          <w:marLeft w:val="0"/>
          <w:marRight w:val="0"/>
          <w:marTop w:val="0"/>
          <w:marBottom w:val="0"/>
          <w:divBdr>
            <w:top w:val="none" w:sz="0" w:space="0" w:color="auto"/>
            <w:left w:val="none" w:sz="0" w:space="0" w:color="auto"/>
            <w:bottom w:val="none" w:sz="0" w:space="0" w:color="auto"/>
            <w:right w:val="none" w:sz="0" w:space="0" w:color="auto"/>
          </w:divBdr>
        </w:div>
        <w:div w:id="1800682260">
          <w:marLeft w:val="0"/>
          <w:marRight w:val="0"/>
          <w:marTop w:val="0"/>
          <w:marBottom w:val="0"/>
          <w:divBdr>
            <w:top w:val="none" w:sz="0" w:space="0" w:color="auto"/>
            <w:left w:val="none" w:sz="0" w:space="0" w:color="auto"/>
            <w:bottom w:val="none" w:sz="0" w:space="0" w:color="auto"/>
            <w:right w:val="none" w:sz="0" w:space="0" w:color="auto"/>
          </w:divBdr>
        </w:div>
        <w:div w:id="188615250">
          <w:marLeft w:val="0"/>
          <w:marRight w:val="0"/>
          <w:marTop w:val="0"/>
          <w:marBottom w:val="0"/>
          <w:divBdr>
            <w:top w:val="none" w:sz="0" w:space="0" w:color="auto"/>
            <w:left w:val="none" w:sz="0" w:space="0" w:color="auto"/>
            <w:bottom w:val="none" w:sz="0" w:space="0" w:color="auto"/>
            <w:right w:val="none" w:sz="0" w:space="0" w:color="auto"/>
          </w:divBdr>
        </w:div>
        <w:div w:id="1276788812">
          <w:marLeft w:val="0"/>
          <w:marRight w:val="0"/>
          <w:marTop w:val="0"/>
          <w:marBottom w:val="0"/>
          <w:divBdr>
            <w:top w:val="none" w:sz="0" w:space="0" w:color="auto"/>
            <w:left w:val="none" w:sz="0" w:space="0" w:color="auto"/>
            <w:bottom w:val="none" w:sz="0" w:space="0" w:color="auto"/>
            <w:right w:val="none" w:sz="0" w:space="0" w:color="auto"/>
          </w:divBdr>
        </w:div>
        <w:div w:id="741217734">
          <w:marLeft w:val="0"/>
          <w:marRight w:val="0"/>
          <w:marTop w:val="0"/>
          <w:marBottom w:val="0"/>
          <w:divBdr>
            <w:top w:val="none" w:sz="0" w:space="0" w:color="auto"/>
            <w:left w:val="none" w:sz="0" w:space="0" w:color="auto"/>
            <w:bottom w:val="none" w:sz="0" w:space="0" w:color="auto"/>
            <w:right w:val="none" w:sz="0" w:space="0" w:color="auto"/>
          </w:divBdr>
        </w:div>
        <w:div w:id="315652709">
          <w:marLeft w:val="0"/>
          <w:marRight w:val="0"/>
          <w:marTop w:val="0"/>
          <w:marBottom w:val="0"/>
          <w:divBdr>
            <w:top w:val="none" w:sz="0" w:space="0" w:color="auto"/>
            <w:left w:val="none" w:sz="0" w:space="0" w:color="auto"/>
            <w:bottom w:val="none" w:sz="0" w:space="0" w:color="auto"/>
            <w:right w:val="none" w:sz="0" w:space="0" w:color="auto"/>
          </w:divBdr>
        </w:div>
        <w:div w:id="679702500">
          <w:marLeft w:val="0"/>
          <w:marRight w:val="0"/>
          <w:marTop w:val="0"/>
          <w:marBottom w:val="0"/>
          <w:divBdr>
            <w:top w:val="none" w:sz="0" w:space="0" w:color="auto"/>
            <w:left w:val="none" w:sz="0" w:space="0" w:color="auto"/>
            <w:bottom w:val="none" w:sz="0" w:space="0" w:color="auto"/>
            <w:right w:val="none" w:sz="0" w:space="0" w:color="auto"/>
          </w:divBdr>
        </w:div>
        <w:div w:id="1377271120">
          <w:marLeft w:val="0"/>
          <w:marRight w:val="0"/>
          <w:marTop w:val="0"/>
          <w:marBottom w:val="0"/>
          <w:divBdr>
            <w:top w:val="none" w:sz="0" w:space="0" w:color="auto"/>
            <w:left w:val="none" w:sz="0" w:space="0" w:color="auto"/>
            <w:bottom w:val="none" w:sz="0" w:space="0" w:color="auto"/>
            <w:right w:val="none" w:sz="0" w:space="0" w:color="auto"/>
          </w:divBdr>
          <w:divsChild>
            <w:div w:id="501701515">
              <w:marLeft w:val="0"/>
              <w:marRight w:val="0"/>
              <w:marTop w:val="0"/>
              <w:marBottom w:val="0"/>
              <w:divBdr>
                <w:top w:val="none" w:sz="0" w:space="0" w:color="auto"/>
                <w:left w:val="none" w:sz="0" w:space="0" w:color="auto"/>
                <w:bottom w:val="none" w:sz="0" w:space="0" w:color="auto"/>
                <w:right w:val="none" w:sz="0" w:space="0" w:color="auto"/>
              </w:divBdr>
            </w:div>
            <w:div w:id="2095933518">
              <w:marLeft w:val="0"/>
              <w:marRight w:val="0"/>
              <w:marTop w:val="0"/>
              <w:marBottom w:val="0"/>
              <w:divBdr>
                <w:top w:val="none" w:sz="0" w:space="0" w:color="auto"/>
                <w:left w:val="none" w:sz="0" w:space="0" w:color="auto"/>
                <w:bottom w:val="none" w:sz="0" w:space="0" w:color="auto"/>
                <w:right w:val="none" w:sz="0" w:space="0" w:color="auto"/>
              </w:divBdr>
            </w:div>
            <w:div w:id="823622344">
              <w:marLeft w:val="0"/>
              <w:marRight w:val="0"/>
              <w:marTop w:val="0"/>
              <w:marBottom w:val="0"/>
              <w:divBdr>
                <w:top w:val="none" w:sz="0" w:space="0" w:color="auto"/>
                <w:left w:val="none" w:sz="0" w:space="0" w:color="auto"/>
                <w:bottom w:val="none" w:sz="0" w:space="0" w:color="auto"/>
                <w:right w:val="none" w:sz="0" w:space="0" w:color="auto"/>
              </w:divBdr>
            </w:div>
            <w:div w:id="1868441906">
              <w:marLeft w:val="0"/>
              <w:marRight w:val="0"/>
              <w:marTop w:val="0"/>
              <w:marBottom w:val="0"/>
              <w:divBdr>
                <w:top w:val="none" w:sz="0" w:space="0" w:color="auto"/>
                <w:left w:val="none" w:sz="0" w:space="0" w:color="auto"/>
                <w:bottom w:val="none" w:sz="0" w:space="0" w:color="auto"/>
                <w:right w:val="none" w:sz="0" w:space="0" w:color="auto"/>
              </w:divBdr>
              <w:divsChild>
                <w:div w:id="162403002">
                  <w:marLeft w:val="0"/>
                  <w:marRight w:val="0"/>
                  <w:marTop w:val="0"/>
                  <w:marBottom w:val="0"/>
                  <w:divBdr>
                    <w:top w:val="none" w:sz="0" w:space="0" w:color="auto"/>
                    <w:left w:val="none" w:sz="0" w:space="0" w:color="auto"/>
                    <w:bottom w:val="none" w:sz="0" w:space="0" w:color="auto"/>
                    <w:right w:val="none" w:sz="0" w:space="0" w:color="auto"/>
                  </w:divBdr>
                </w:div>
              </w:divsChild>
            </w:div>
            <w:div w:id="1847091426">
              <w:marLeft w:val="0"/>
              <w:marRight w:val="0"/>
              <w:marTop w:val="0"/>
              <w:marBottom w:val="0"/>
              <w:divBdr>
                <w:top w:val="none" w:sz="0" w:space="0" w:color="auto"/>
                <w:left w:val="none" w:sz="0" w:space="0" w:color="auto"/>
                <w:bottom w:val="none" w:sz="0" w:space="0" w:color="auto"/>
                <w:right w:val="none" w:sz="0" w:space="0" w:color="auto"/>
              </w:divBdr>
            </w:div>
          </w:divsChild>
        </w:div>
        <w:div w:id="344938670">
          <w:marLeft w:val="0"/>
          <w:marRight w:val="0"/>
          <w:marTop w:val="0"/>
          <w:marBottom w:val="0"/>
          <w:divBdr>
            <w:top w:val="none" w:sz="0" w:space="0" w:color="auto"/>
            <w:left w:val="none" w:sz="0" w:space="0" w:color="auto"/>
            <w:bottom w:val="none" w:sz="0" w:space="0" w:color="auto"/>
            <w:right w:val="none" w:sz="0" w:space="0" w:color="auto"/>
          </w:divBdr>
        </w:div>
        <w:div w:id="534462442">
          <w:marLeft w:val="0"/>
          <w:marRight w:val="0"/>
          <w:marTop w:val="0"/>
          <w:marBottom w:val="0"/>
          <w:divBdr>
            <w:top w:val="none" w:sz="0" w:space="0" w:color="auto"/>
            <w:left w:val="none" w:sz="0" w:space="0" w:color="auto"/>
            <w:bottom w:val="none" w:sz="0" w:space="0" w:color="auto"/>
            <w:right w:val="none" w:sz="0" w:space="0" w:color="auto"/>
          </w:divBdr>
        </w:div>
        <w:div w:id="501432605">
          <w:marLeft w:val="0"/>
          <w:marRight w:val="0"/>
          <w:marTop w:val="0"/>
          <w:marBottom w:val="0"/>
          <w:divBdr>
            <w:top w:val="none" w:sz="0" w:space="0" w:color="auto"/>
            <w:left w:val="none" w:sz="0" w:space="0" w:color="auto"/>
            <w:bottom w:val="none" w:sz="0" w:space="0" w:color="auto"/>
            <w:right w:val="none" w:sz="0" w:space="0" w:color="auto"/>
          </w:divBdr>
        </w:div>
        <w:div w:id="694962567">
          <w:marLeft w:val="0"/>
          <w:marRight w:val="0"/>
          <w:marTop w:val="0"/>
          <w:marBottom w:val="0"/>
          <w:divBdr>
            <w:top w:val="none" w:sz="0" w:space="0" w:color="auto"/>
            <w:left w:val="none" w:sz="0" w:space="0" w:color="auto"/>
            <w:bottom w:val="none" w:sz="0" w:space="0" w:color="auto"/>
            <w:right w:val="none" w:sz="0" w:space="0" w:color="auto"/>
          </w:divBdr>
          <w:divsChild>
            <w:div w:id="441069757">
              <w:marLeft w:val="0"/>
              <w:marRight w:val="0"/>
              <w:marTop w:val="0"/>
              <w:marBottom w:val="0"/>
              <w:divBdr>
                <w:top w:val="none" w:sz="0" w:space="0" w:color="auto"/>
                <w:left w:val="none" w:sz="0" w:space="0" w:color="auto"/>
                <w:bottom w:val="none" w:sz="0" w:space="0" w:color="auto"/>
                <w:right w:val="none" w:sz="0" w:space="0" w:color="auto"/>
              </w:divBdr>
            </w:div>
            <w:div w:id="1597518250">
              <w:marLeft w:val="0"/>
              <w:marRight w:val="0"/>
              <w:marTop w:val="0"/>
              <w:marBottom w:val="0"/>
              <w:divBdr>
                <w:top w:val="none" w:sz="0" w:space="0" w:color="auto"/>
                <w:left w:val="none" w:sz="0" w:space="0" w:color="auto"/>
                <w:bottom w:val="none" w:sz="0" w:space="0" w:color="auto"/>
                <w:right w:val="none" w:sz="0" w:space="0" w:color="auto"/>
              </w:divBdr>
            </w:div>
            <w:div w:id="1883512814">
              <w:marLeft w:val="0"/>
              <w:marRight w:val="0"/>
              <w:marTop w:val="0"/>
              <w:marBottom w:val="0"/>
              <w:divBdr>
                <w:top w:val="none" w:sz="0" w:space="0" w:color="auto"/>
                <w:left w:val="none" w:sz="0" w:space="0" w:color="auto"/>
                <w:bottom w:val="none" w:sz="0" w:space="0" w:color="auto"/>
                <w:right w:val="none" w:sz="0" w:space="0" w:color="auto"/>
              </w:divBdr>
            </w:div>
            <w:div w:id="1832406421">
              <w:marLeft w:val="0"/>
              <w:marRight w:val="0"/>
              <w:marTop w:val="0"/>
              <w:marBottom w:val="0"/>
              <w:divBdr>
                <w:top w:val="none" w:sz="0" w:space="0" w:color="auto"/>
                <w:left w:val="none" w:sz="0" w:space="0" w:color="auto"/>
                <w:bottom w:val="none" w:sz="0" w:space="0" w:color="auto"/>
                <w:right w:val="none" w:sz="0" w:space="0" w:color="auto"/>
              </w:divBdr>
              <w:divsChild>
                <w:div w:id="111706067">
                  <w:marLeft w:val="0"/>
                  <w:marRight w:val="0"/>
                  <w:marTop w:val="0"/>
                  <w:marBottom w:val="0"/>
                  <w:divBdr>
                    <w:top w:val="none" w:sz="0" w:space="0" w:color="auto"/>
                    <w:left w:val="none" w:sz="0" w:space="0" w:color="auto"/>
                    <w:bottom w:val="none" w:sz="0" w:space="0" w:color="auto"/>
                    <w:right w:val="none" w:sz="0" w:space="0" w:color="auto"/>
                  </w:divBdr>
                </w:div>
              </w:divsChild>
            </w:div>
            <w:div w:id="1690372798">
              <w:marLeft w:val="0"/>
              <w:marRight w:val="0"/>
              <w:marTop w:val="0"/>
              <w:marBottom w:val="0"/>
              <w:divBdr>
                <w:top w:val="none" w:sz="0" w:space="0" w:color="auto"/>
                <w:left w:val="none" w:sz="0" w:space="0" w:color="auto"/>
                <w:bottom w:val="none" w:sz="0" w:space="0" w:color="auto"/>
                <w:right w:val="none" w:sz="0" w:space="0" w:color="auto"/>
              </w:divBdr>
            </w:div>
          </w:divsChild>
        </w:div>
        <w:div w:id="1644769879">
          <w:marLeft w:val="0"/>
          <w:marRight w:val="0"/>
          <w:marTop w:val="0"/>
          <w:marBottom w:val="0"/>
          <w:divBdr>
            <w:top w:val="none" w:sz="0" w:space="0" w:color="auto"/>
            <w:left w:val="none" w:sz="0" w:space="0" w:color="auto"/>
            <w:bottom w:val="none" w:sz="0" w:space="0" w:color="auto"/>
            <w:right w:val="none" w:sz="0" w:space="0" w:color="auto"/>
          </w:divBdr>
        </w:div>
        <w:div w:id="1254359808">
          <w:marLeft w:val="0"/>
          <w:marRight w:val="0"/>
          <w:marTop w:val="0"/>
          <w:marBottom w:val="0"/>
          <w:divBdr>
            <w:top w:val="none" w:sz="0" w:space="0" w:color="auto"/>
            <w:left w:val="none" w:sz="0" w:space="0" w:color="auto"/>
            <w:bottom w:val="none" w:sz="0" w:space="0" w:color="auto"/>
            <w:right w:val="none" w:sz="0" w:space="0" w:color="auto"/>
          </w:divBdr>
        </w:div>
        <w:div w:id="653752777">
          <w:marLeft w:val="0"/>
          <w:marRight w:val="0"/>
          <w:marTop w:val="0"/>
          <w:marBottom w:val="0"/>
          <w:divBdr>
            <w:top w:val="none" w:sz="0" w:space="0" w:color="auto"/>
            <w:left w:val="none" w:sz="0" w:space="0" w:color="auto"/>
            <w:bottom w:val="none" w:sz="0" w:space="0" w:color="auto"/>
            <w:right w:val="none" w:sz="0" w:space="0" w:color="auto"/>
          </w:divBdr>
        </w:div>
        <w:div w:id="1370454158">
          <w:marLeft w:val="0"/>
          <w:marRight w:val="0"/>
          <w:marTop w:val="0"/>
          <w:marBottom w:val="0"/>
          <w:divBdr>
            <w:top w:val="none" w:sz="0" w:space="0" w:color="auto"/>
            <w:left w:val="none" w:sz="0" w:space="0" w:color="auto"/>
            <w:bottom w:val="none" w:sz="0" w:space="0" w:color="auto"/>
            <w:right w:val="none" w:sz="0" w:space="0" w:color="auto"/>
          </w:divBdr>
        </w:div>
        <w:div w:id="2039431115">
          <w:marLeft w:val="0"/>
          <w:marRight w:val="0"/>
          <w:marTop w:val="0"/>
          <w:marBottom w:val="0"/>
          <w:divBdr>
            <w:top w:val="none" w:sz="0" w:space="0" w:color="auto"/>
            <w:left w:val="none" w:sz="0" w:space="0" w:color="auto"/>
            <w:bottom w:val="none" w:sz="0" w:space="0" w:color="auto"/>
            <w:right w:val="none" w:sz="0" w:space="0" w:color="auto"/>
          </w:divBdr>
        </w:div>
        <w:div w:id="537551755">
          <w:marLeft w:val="0"/>
          <w:marRight w:val="0"/>
          <w:marTop w:val="0"/>
          <w:marBottom w:val="0"/>
          <w:divBdr>
            <w:top w:val="none" w:sz="0" w:space="0" w:color="auto"/>
            <w:left w:val="none" w:sz="0" w:space="0" w:color="auto"/>
            <w:bottom w:val="none" w:sz="0" w:space="0" w:color="auto"/>
            <w:right w:val="none" w:sz="0" w:space="0" w:color="auto"/>
          </w:divBdr>
          <w:divsChild>
            <w:div w:id="1551720474">
              <w:marLeft w:val="0"/>
              <w:marRight w:val="0"/>
              <w:marTop w:val="0"/>
              <w:marBottom w:val="0"/>
              <w:divBdr>
                <w:top w:val="none" w:sz="0" w:space="0" w:color="auto"/>
                <w:left w:val="none" w:sz="0" w:space="0" w:color="auto"/>
                <w:bottom w:val="none" w:sz="0" w:space="0" w:color="auto"/>
                <w:right w:val="none" w:sz="0" w:space="0" w:color="auto"/>
              </w:divBdr>
            </w:div>
            <w:div w:id="2098549720">
              <w:marLeft w:val="0"/>
              <w:marRight w:val="0"/>
              <w:marTop w:val="0"/>
              <w:marBottom w:val="0"/>
              <w:divBdr>
                <w:top w:val="none" w:sz="0" w:space="0" w:color="auto"/>
                <w:left w:val="none" w:sz="0" w:space="0" w:color="auto"/>
                <w:bottom w:val="none" w:sz="0" w:space="0" w:color="auto"/>
                <w:right w:val="none" w:sz="0" w:space="0" w:color="auto"/>
              </w:divBdr>
            </w:div>
            <w:div w:id="952395154">
              <w:marLeft w:val="0"/>
              <w:marRight w:val="0"/>
              <w:marTop w:val="0"/>
              <w:marBottom w:val="0"/>
              <w:divBdr>
                <w:top w:val="none" w:sz="0" w:space="0" w:color="auto"/>
                <w:left w:val="none" w:sz="0" w:space="0" w:color="auto"/>
                <w:bottom w:val="none" w:sz="0" w:space="0" w:color="auto"/>
                <w:right w:val="none" w:sz="0" w:space="0" w:color="auto"/>
              </w:divBdr>
            </w:div>
            <w:div w:id="1463033088">
              <w:marLeft w:val="0"/>
              <w:marRight w:val="0"/>
              <w:marTop w:val="0"/>
              <w:marBottom w:val="0"/>
              <w:divBdr>
                <w:top w:val="none" w:sz="0" w:space="0" w:color="auto"/>
                <w:left w:val="none" w:sz="0" w:space="0" w:color="auto"/>
                <w:bottom w:val="none" w:sz="0" w:space="0" w:color="auto"/>
                <w:right w:val="none" w:sz="0" w:space="0" w:color="auto"/>
              </w:divBdr>
              <w:divsChild>
                <w:div w:id="750585043">
                  <w:marLeft w:val="0"/>
                  <w:marRight w:val="0"/>
                  <w:marTop w:val="0"/>
                  <w:marBottom w:val="0"/>
                  <w:divBdr>
                    <w:top w:val="none" w:sz="0" w:space="0" w:color="auto"/>
                    <w:left w:val="none" w:sz="0" w:space="0" w:color="auto"/>
                    <w:bottom w:val="none" w:sz="0" w:space="0" w:color="auto"/>
                    <w:right w:val="none" w:sz="0" w:space="0" w:color="auto"/>
                  </w:divBdr>
                </w:div>
              </w:divsChild>
            </w:div>
            <w:div w:id="724329470">
              <w:marLeft w:val="0"/>
              <w:marRight w:val="0"/>
              <w:marTop w:val="0"/>
              <w:marBottom w:val="0"/>
              <w:divBdr>
                <w:top w:val="none" w:sz="0" w:space="0" w:color="auto"/>
                <w:left w:val="none" w:sz="0" w:space="0" w:color="auto"/>
                <w:bottom w:val="none" w:sz="0" w:space="0" w:color="auto"/>
                <w:right w:val="none" w:sz="0" w:space="0" w:color="auto"/>
              </w:divBdr>
            </w:div>
          </w:divsChild>
        </w:div>
        <w:div w:id="1628242524">
          <w:marLeft w:val="0"/>
          <w:marRight w:val="0"/>
          <w:marTop w:val="0"/>
          <w:marBottom w:val="0"/>
          <w:divBdr>
            <w:top w:val="none" w:sz="0" w:space="0" w:color="auto"/>
            <w:left w:val="none" w:sz="0" w:space="0" w:color="auto"/>
            <w:bottom w:val="none" w:sz="0" w:space="0" w:color="auto"/>
            <w:right w:val="none" w:sz="0" w:space="0" w:color="auto"/>
          </w:divBdr>
        </w:div>
        <w:div w:id="326173236">
          <w:marLeft w:val="0"/>
          <w:marRight w:val="0"/>
          <w:marTop w:val="0"/>
          <w:marBottom w:val="0"/>
          <w:divBdr>
            <w:top w:val="none" w:sz="0" w:space="0" w:color="auto"/>
            <w:left w:val="none" w:sz="0" w:space="0" w:color="auto"/>
            <w:bottom w:val="none" w:sz="0" w:space="0" w:color="auto"/>
            <w:right w:val="none" w:sz="0" w:space="0" w:color="auto"/>
          </w:divBdr>
        </w:div>
        <w:div w:id="490366241">
          <w:marLeft w:val="0"/>
          <w:marRight w:val="0"/>
          <w:marTop w:val="0"/>
          <w:marBottom w:val="0"/>
          <w:divBdr>
            <w:top w:val="none" w:sz="0" w:space="0" w:color="auto"/>
            <w:left w:val="none" w:sz="0" w:space="0" w:color="auto"/>
            <w:bottom w:val="none" w:sz="0" w:space="0" w:color="auto"/>
            <w:right w:val="none" w:sz="0" w:space="0" w:color="auto"/>
          </w:divBdr>
        </w:div>
        <w:div w:id="577246566">
          <w:marLeft w:val="0"/>
          <w:marRight w:val="0"/>
          <w:marTop w:val="0"/>
          <w:marBottom w:val="0"/>
          <w:divBdr>
            <w:top w:val="none" w:sz="0" w:space="0" w:color="auto"/>
            <w:left w:val="none" w:sz="0" w:space="0" w:color="auto"/>
            <w:bottom w:val="none" w:sz="0" w:space="0" w:color="auto"/>
            <w:right w:val="none" w:sz="0" w:space="0" w:color="auto"/>
          </w:divBdr>
          <w:divsChild>
            <w:div w:id="1497305068">
              <w:marLeft w:val="0"/>
              <w:marRight w:val="0"/>
              <w:marTop w:val="0"/>
              <w:marBottom w:val="0"/>
              <w:divBdr>
                <w:top w:val="none" w:sz="0" w:space="0" w:color="auto"/>
                <w:left w:val="none" w:sz="0" w:space="0" w:color="auto"/>
                <w:bottom w:val="none" w:sz="0" w:space="0" w:color="auto"/>
                <w:right w:val="none" w:sz="0" w:space="0" w:color="auto"/>
              </w:divBdr>
            </w:div>
            <w:div w:id="1529442082">
              <w:marLeft w:val="0"/>
              <w:marRight w:val="0"/>
              <w:marTop w:val="0"/>
              <w:marBottom w:val="0"/>
              <w:divBdr>
                <w:top w:val="none" w:sz="0" w:space="0" w:color="auto"/>
                <w:left w:val="none" w:sz="0" w:space="0" w:color="auto"/>
                <w:bottom w:val="none" w:sz="0" w:space="0" w:color="auto"/>
                <w:right w:val="none" w:sz="0" w:space="0" w:color="auto"/>
              </w:divBdr>
            </w:div>
            <w:div w:id="349256464">
              <w:marLeft w:val="0"/>
              <w:marRight w:val="0"/>
              <w:marTop w:val="0"/>
              <w:marBottom w:val="0"/>
              <w:divBdr>
                <w:top w:val="none" w:sz="0" w:space="0" w:color="auto"/>
                <w:left w:val="none" w:sz="0" w:space="0" w:color="auto"/>
                <w:bottom w:val="none" w:sz="0" w:space="0" w:color="auto"/>
                <w:right w:val="none" w:sz="0" w:space="0" w:color="auto"/>
              </w:divBdr>
            </w:div>
            <w:div w:id="532960024">
              <w:marLeft w:val="0"/>
              <w:marRight w:val="0"/>
              <w:marTop w:val="0"/>
              <w:marBottom w:val="0"/>
              <w:divBdr>
                <w:top w:val="none" w:sz="0" w:space="0" w:color="auto"/>
                <w:left w:val="none" w:sz="0" w:space="0" w:color="auto"/>
                <w:bottom w:val="none" w:sz="0" w:space="0" w:color="auto"/>
                <w:right w:val="none" w:sz="0" w:space="0" w:color="auto"/>
              </w:divBdr>
              <w:divsChild>
                <w:div w:id="2109617511">
                  <w:marLeft w:val="0"/>
                  <w:marRight w:val="0"/>
                  <w:marTop w:val="0"/>
                  <w:marBottom w:val="0"/>
                  <w:divBdr>
                    <w:top w:val="none" w:sz="0" w:space="0" w:color="auto"/>
                    <w:left w:val="none" w:sz="0" w:space="0" w:color="auto"/>
                    <w:bottom w:val="none" w:sz="0" w:space="0" w:color="auto"/>
                    <w:right w:val="none" w:sz="0" w:space="0" w:color="auto"/>
                  </w:divBdr>
                </w:div>
              </w:divsChild>
            </w:div>
            <w:div w:id="1481190457">
              <w:marLeft w:val="0"/>
              <w:marRight w:val="0"/>
              <w:marTop w:val="0"/>
              <w:marBottom w:val="0"/>
              <w:divBdr>
                <w:top w:val="none" w:sz="0" w:space="0" w:color="auto"/>
                <w:left w:val="none" w:sz="0" w:space="0" w:color="auto"/>
                <w:bottom w:val="none" w:sz="0" w:space="0" w:color="auto"/>
                <w:right w:val="none" w:sz="0" w:space="0" w:color="auto"/>
              </w:divBdr>
            </w:div>
          </w:divsChild>
        </w:div>
        <w:div w:id="3409952">
          <w:marLeft w:val="0"/>
          <w:marRight w:val="0"/>
          <w:marTop w:val="0"/>
          <w:marBottom w:val="0"/>
          <w:divBdr>
            <w:top w:val="none" w:sz="0" w:space="0" w:color="auto"/>
            <w:left w:val="none" w:sz="0" w:space="0" w:color="auto"/>
            <w:bottom w:val="none" w:sz="0" w:space="0" w:color="auto"/>
            <w:right w:val="none" w:sz="0" w:space="0" w:color="auto"/>
          </w:divBdr>
        </w:div>
        <w:div w:id="804540258">
          <w:marLeft w:val="0"/>
          <w:marRight w:val="0"/>
          <w:marTop w:val="0"/>
          <w:marBottom w:val="0"/>
          <w:divBdr>
            <w:top w:val="none" w:sz="0" w:space="0" w:color="auto"/>
            <w:left w:val="none" w:sz="0" w:space="0" w:color="auto"/>
            <w:bottom w:val="none" w:sz="0" w:space="0" w:color="auto"/>
            <w:right w:val="none" w:sz="0" w:space="0" w:color="auto"/>
          </w:divBdr>
        </w:div>
        <w:div w:id="1864318380">
          <w:marLeft w:val="0"/>
          <w:marRight w:val="0"/>
          <w:marTop w:val="0"/>
          <w:marBottom w:val="0"/>
          <w:divBdr>
            <w:top w:val="none" w:sz="0" w:space="0" w:color="auto"/>
            <w:left w:val="none" w:sz="0" w:space="0" w:color="auto"/>
            <w:bottom w:val="none" w:sz="0" w:space="0" w:color="auto"/>
            <w:right w:val="none" w:sz="0" w:space="0" w:color="auto"/>
          </w:divBdr>
        </w:div>
        <w:div w:id="1539658276">
          <w:marLeft w:val="0"/>
          <w:marRight w:val="0"/>
          <w:marTop w:val="0"/>
          <w:marBottom w:val="0"/>
          <w:divBdr>
            <w:top w:val="none" w:sz="0" w:space="0" w:color="auto"/>
            <w:left w:val="none" w:sz="0" w:space="0" w:color="auto"/>
            <w:bottom w:val="none" w:sz="0" w:space="0" w:color="auto"/>
            <w:right w:val="none" w:sz="0" w:space="0" w:color="auto"/>
          </w:divBdr>
          <w:divsChild>
            <w:div w:id="78328172">
              <w:marLeft w:val="0"/>
              <w:marRight w:val="0"/>
              <w:marTop w:val="0"/>
              <w:marBottom w:val="0"/>
              <w:divBdr>
                <w:top w:val="none" w:sz="0" w:space="0" w:color="auto"/>
                <w:left w:val="none" w:sz="0" w:space="0" w:color="auto"/>
                <w:bottom w:val="none" w:sz="0" w:space="0" w:color="auto"/>
                <w:right w:val="none" w:sz="0" w:space="0" w:color="auto"/>
              </w:divBdr>
            </w:div>
            <w:div w:id="362681642">
              <w:marLeft w:val="0"/>
              <w:marRight w:val="0"/>
              <w:marTop w:val="0"/>
              <w:marBottom w:val="0"/>
              <w:divBdr>
                <w:top w:val="none" w:sz="0" w:space="0" w:color="auto"/>
                <w:left w:val="none" w:sz="0" w:space="0" w:color="auto"/>
                <w:bottom w:val="none" w:sz="0" w:space="0" w:color="auto"/>
                <w:right w:val="none" w:sz="0" w:space="0" w:color="auto"/>
              </w:divBdr>
            </w:div>
            <w:div w:id="1881433719">
              <w:marLeft w:val="0"/>
              <w:marRight w:val="0"/>
              <w:marTop w:val="0"/>
              <w:marBottom w:val="0"/>
              <w:divBdr>
                <w:top w:val="none" w:sz="0" w:space="0" w:color="auto"/>
                <w:left w:val="none" w:sz="0" w:space="0" w:color="auto"/>
                <w:bottom w:val="none" w:sz="0" w:space="0" w:color="auto"/>
                <w:right w:val="none" w:sz="0" w:space="0" w:color="auto"/>
              </w:divBdr>
            </w:div>
            <w:div w:id="484056975">
              <w:marLeft w:val="0"/>
              <w:marRight w:val="0"/>
              <w:marTop w:val="0"/>
              <w:marBottom w:val="0"/>
              <w:divBdr>
                <w:top w:val="none" w:sz="0" w:space="0" w:color="auto"/>
                <w:left w:val="none" w:sz="0" w:space="0" w:color="auto"/>
                <w:bottom w:val="none" w:sz="0" w:space="0" w:color="auto"/>
                <w:right w:val="none" w:sz="0" w:space="0" w:color="auto"/>
              </w:divBdr>
              <w:divsChild>
                <w:div w:id="322851908">
                  <w:marLeft w:val="0"/>
                  <w:marRight w:val="0"/>
                  <w:marTop w:val="0"/>
                  <w:marBottom w:val="0"/>
                  <w:divBdr>
                    <w:top w:val="none" w:sz="0" w:space="0" w:color="auto"/>
                    <w:left w:val="none" w:sz="0" w:space="0" w:color="auto"/>
                    <w:bottom w:val="none" w:sz="0" w:space="0" w:color="auto"/>
                    <w:right w:val="none" w:sz="0" w:space="0" w:color="auto"/>
                  </w:divBdr>
                </w:div>
              </w:divsChild>
            </w:div>
            <w:div w:id="1038353667">
              <w:marLeft w:val="0"/>
              <w:marRight w:val="0"/>
              <w:marTop w:val="0"/>
              <w:marBottom w:val="0"/>
              <w:divBdr>
                <w:top w:val="none" w:sz="0" w:space="0" w:color="auto"/>
                <w:left w:val="none" w:sz="0" w:space="0" w:color="auto"/>
                <w:bottom w:val="none" w:sz="0" w:space="0" w:color="auto"/>
                <w:right w:val="none" w:sz="0" w:space="0" w:color="auto"/>
              </w:divBdr>
            </w:div>
          </w:divsChild>
        </w:div>
        <w:div w:id="146473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8053</Words>
  <Characters>45908</Characters>
  <Application>Microsoft Office Word</Application>
  <DocSecurity>0</DocSecurity>
  <Lines>382</Lines>
  <Paragraphs>107</Paragraphs>
  <ScaleCrop>false</ScaleCrop>
  <Company/>
  <LinksUpToDate>false</LinksUpToDate>
  <CharactersWithSpaces>53854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Chiong</dc:creator>
  <cp:keywords/>
  <dc:description/>
  <cp:lastModifiedBy>Christian Chiong</cp:lastModifiedBy>
  <cp:revision>1</cp:revision>
  <dcterms:created xsi:type="dcterms:W3CDTF">2019-11-22T20:28:00Z</dcterms:created>
  <dcterms:modified xsi:type="dcterms:W3CDTF">2019-11-22T20:29:00Z</dcterms:modified>
</cp:coreProperties>
</file>