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936"/>
        <w:gridCol w:w="8424"/>
      </w:tblGrid>
      <w:tr w:rsidR="00CF1F99" w:rsidRPr="00CF1F99" w:rsidTr="00CF1F99">
        <w:tc>
          <w:tcPr>
            <w:tcW w:w="500" w:type="pct"/>
            <w:shd w:val="clear" w:color="auto" w:fill="FFFFFF"/>
            <w:hideMark/>
          </w:tcPr>
          <w:p w:rsidR="00CF1F99" w:rsidRPr="00CF1F99" w:rsidRDefault="00CF1F99" w:rsidP="00CF1F99">
            <w:pPr>
              <w:rPr>
                <w:rFonts w:ascii="Times New Roman" w:eastAsia="Times New Roman" w:hAnsi="Times New Roman" w:cs="Times New Roman"/>
                <w:sz w:val="20"/>
                <w:szCs w:val="20"/>
              </w:rPr>
            </w:pPr>
            <w:r w:rsidRPr="00CF1F99">
              <w:rPr>
                <w:rFonts w:ascii="Times New Roman" w:eastAsia="Times New Roman" w:hAnsi="Times New Roman" w:cs="Times New Roman"/>
                <w:b/>
                <w:bCs/>
                <w:sz w:val="20"/>
                <w:szCs w:val="20"/>
              </w:rPr>
              <w:t>Item 1A.</w:t>
            </w:r>
          </w:p>
        </w:tc>
        <w:tc>
          <w:tcPr>
            <w:tcW w:w="0" w:type="auto"/>
            <w:shd w:val="clear" w:color="auto" w:fill="FFFFFF"/>
            <w:hideMark/>
          </w:tcPr>
          <w:p w:rsidR="00CF1F99" w:rsidRPr="00CF1F99" w:rsidRDefault="00CF1F99" w:rsidP="00CF1F99">
            <w:pPr>
              <w:rPr>
                <w:rFonts w:ascii="Times New Roman" w:eastAsia="Times New Roman" w:hAnsi="Times New Roman" w:cs="Times New Roman"/>
                <w:sz w:val="20"/>
                <w:szCs w:val="20"/>
              </w:rPr>
            </w:pPr>
            <w:r w:rsidRPr="00CF1F99">
              <w:rPr>
                <w:rFonts w:ascii="Times New Roman" w:eastAsia="Times New Roman" w:hAnsi="Times New Roman" w:cs="Times New Roman"/>
                <w:b/>
                <w:bCs/>
                <w:i/>
                <w:iCs/>
                <w:sz w:val="20"/>
                <w:szCs w:val="20"/>
              </w:rPr>
              <w:t>Risk Factors</w:t>
            </w:r>
          </w:p>
        </w:tc>
      </w:tr>
    </w:tbl>
    <w:p w:rsidR="00CF1F99" w:rsidRPr="00CF1F99" w:rsidRDefault="00CF1F99" w:rsidP="00CF1F99">
      <w:pPr>
        <w:shd w:val="clear" w:color="auto" w:fill="FFFFFF"/>
        <w:spacing w:before="120"/>
        <w:ind w:firstLine="490"/>
        <w:rPr>
          <w:rFonts w:ascii="Times New Roman" w:eastAsia="Times New Roman" w:hAnsi="Times New Roman" w:cs="Times New Roman"/>
          <w:color w:val="000000"/>
          <w:sz w:val="20"/>
          <w:szCs w:val="20"/>
        </w:rPr>
      </w:pPr>
      <w:r w:rsidRPr="00CF1F99">
        <w:rPr>
          <w:rFonts w:ascii="Times New Roman" w:eastAsia="Times New Roman" w:hAnsi="Times New Roman" w:cs="Times New Roman"/>
          <w:color w:val="000000"/>
          <w:sz w:val="20"/>
          <w:szCs w:val="20"/>
        </w:rPr>
        <w:t>Information in response to this Item 1A can be found in the 2018 Annual Report on pages 144 to 154 under the heading “Risk Factors.” That information is incorporated into this report by reference.</w:t>
      </w:r>
    </w:p>
    <w:p w:rsidR="00CF1F99" w:rsidRDefault="00CF1F99" w:rsidP="00CF1F99">
      <w:pPr>
        <w:shd w:val="clear" w:color="auto" w:fill="FFFFFF"/>
        <w:spacing w:before="80"/>
        <w:rPr>
          <w:rFonts w:ascii="Arial" w:eastAsia="Times New Roman" w:hAnsi="Arial" w:cs="Arial"/>
          <w:b/>
          <w:bCs/>
          <w:color w:val="000000"/>
          <w:sz w:val="17"/>
          <w:szCs w:val="17"/>
        </w:rPr>
      </w:pP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Risk Factors</w:t>
      </w:r>
      <w:r w:rsidRPr="00CF1F99">
        <w:rPr>
          <w:rFonts w:ascii="Arial" w:eastAsia="Times New Roman" w:hAnsi="Arial" w:cs="Arial"/>
          <w:color w:val="000000"/>
          <w:sz w:val="17"/>
          <w:szCs w:val="17"/>
        </w:rPr>
        <w:t> An investment in the Company involves risk, including the possibility that the value of the investment could fall substantially and that dividends or other distributions on the investment could be reduced or eliminated. Below are risk factors that could adversely affect the Company</w:t>
      </w:r>
      <w:bookmarkStart w:id="0" w:name="_GoBack"/>
      <w:bookmarkEnd w:id="0"/>
      <w:r w:rsidRPr="00CF1F99">
        <w:rPr>
          <w:rFonts w:ascii="Arial" w:eastAsia="Times New Roman" w:hAnsi="Arial" w:cs="Arial"/>
          <w:color w:val="000000"/>
          <w:sz w:val="17"/>
          <w:szCs w:val="17"/>
        </w:rPr>
        <w:t>’s financial results and condition and the value of, and return on, an investment in the Company.</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Regulatory and Legal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is subject to extensive and evolving government regulation and supervision, which can increase the cost of doing business, limit the Company’s ability to make investments and generate revenue, and lead to costly enforcement actions</w:t>
      </w:r>
      <w:r w:rsidRPr="00CF1F99">
        <w:rPr>
          <w:rFonts w:ascii="Arial" w:eastAsia="Times New Roman" w:hAnsi="Arial" w:cs="Arial"/>
          <w:color w:val="000000"/>
          <w:sz w:val="17"/>
          <w:szCs w:val="17"/>
        </w:rPr>
        <w:t> Banking regulations are primarily intended to protect depositors’ funds, the federal Deposit Insurance Fund, and the United States financial system as a whole, and not the Company’s debt holders or shareholders. These regulations, and the Company’s inability to act in certain instances without receiving prior regulatory approval, affect the Company’s lending practices, capital structure, investment practices, dividend policy, ability to repurchase common stock, and ability to pursue strategic acquisitions, among other activities.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Both the scope of the laws and regulations and the intensity of the supervision to which the Company is subject have increased in recent years in response to the financial crisis of 2008 and 2009, as well as other factors such as technological and market changes. Regulatory enforcement and fines have also increased across the banking and financial services sector. While the regulatory environment has entered a period of rebalancing of the post financial crisis framework, the Company expects that its business will remain subject to extensive regulation and supervision. In addition, although an overall reduction in the regulation of the financial services sector could result in some operational and cost benefits, any potential new regulations or modifications to existing regulations and supervisory expectations may necessitate changes to the Company’s existing regulatory compliance and risk management infrastructure and could result in increased competition.</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Changes to statutes, regulations or regulatory policies, or their interpretation or implementation, and/or the continued heightening of regulatory practices, requirements or expectations, could affect the Company in substantial and unpredictable ways. For example, the Guidelines for Heightened Standards of the Office of the Comptroller of the Currency and the Enhanced Prudential Supervision Rules of the Board of Governors of the Federal Reserve System (the “Federal Reserve”) have required</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144</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5"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4"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and will continue to require significant oversight by the Company’s Board of Directors and focus by the Company’s management on governance and risk-management activities.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The financial services industry continues to face scrutiny from bank supervisors in the examination process and stringent enforcement of regulations on both the federal and state levels, particularly with respect to mortgage-related practices, student lending practices, sales practices and related incentive compensation programs, and other consumer compliance matters, as well as compliance with Bank Secrecy Act/anti-money laundering requirements and sanctions compliance requirements as administered by the Office of Foreign Assets Control. This heightened regulatory scrutiny, or the results of an investigation or examination, may lead to additional regulatory investigations or enforcement actions. There is no assurance that those actions will not result in regulatory settlements or other enforcement actions against the Company. Furthermore, a single event involving a potential violation of law or regulation may give rise to numerous and overlapping investigations and proceedings, either by multiple federal and state agencies and officials in the United States or, in some instances, regulators and other governmental officials in foreign jurisdictions.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Federal law grants substantial enforcement powers to federal banking regulators and law enforcement agencies. This enforcement authority includes, among other things, the ability to assess significant civil or criminal monetary penalties, fines, or restitution; to issue cease and desist or removal orders; and to initiate injunctive actions against banking organizations and institution-affiliated parties. These enforcement actions may be initiated for violations of laws and regulations and unsafe or unsound practices. Foreign supervisors also have increased regulatory scrutiny and enforcement in areas related to consumer compliance, money laundering, and information technology systems and controls, among others. Any future enforcement action could have a material adverse impact on the Company.</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In general, the amounts paid by financial institutions in settlement of proceedings or investigations and the severity of other terms of regulatory settlements are likely to remain elevated in the near term. In some cases, governmental authorities have required criminal pleas or other extraordinary terms as part of such settlements, which could have significant consequences for a financial institution, including loss of customers, restrictions on the ability to access the capital markets, and the inability to operate certain businesses or offer certain products for a period of time. In February 2018, the Company </w:t>
      </w:r>
      <w:r w:rsidRPr="00CF1F99">
        <w:rPr>
          <w:rFonts w:ascii="Arial" w:eastAsia="Times New Roman" w:hAnsi="Arial" w:cs="Arial"/>
          <w:color w:val="000000"/>
          <w:sz w:val="17"/>
          <w:szCs w:val="17"/>
        </w:rPr>
        <w:lastRenderedPageBreak/>
        <w:t>entered into a deferred prosecution agreement (the “DPA”) with the United States Attorney’s Office in Manhattan that resolved its investigation of the Company concerning a legacy banking relationship between U.S. Bank National Association and payday lending businesses associated with a former customer and U.S. Bank National Association’s legacy Bank Secrecy Act/anti-money laundering compliance program. If the Company violates the DPA, its term could be extended, or the Company could be subject to a prosecution or civil action based on the matters that are the subject of the DPA, any of which could result in additional fines,</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penalties, settlements, payments or restrictions or other materially adverse impacts on the Company’s business, reputation or brand. In addition, the Company and certain of its affiliates entered into related regulatory settlements with the Financial Crimes Enforcement Network and the Federal Reserve. If the Company and its affiliates fail to satisfy ongoing obligations under these regulatory settlements, the Company and its affiliates may be required to enter into further orders and settlements, pay additional fines or penalties, or modify their business practices, which could increase operating expenses and decrease revenue. Moreover, the DPA and the regulatory orders do not preclude additional enforcement actions by bank regulatory, governmental or law enforcement agencies or private litigation. Violations of laws and regulations or deemed deficiencies in risk management practices also may be incorporated into the Company’s confidential supervisory ratings. A downgrade in these ratings, or these or other regulatory actions and settlements, could limit the Company’s ability to conduct expansionary activities for a period of time and require new or additional regulatory approvals before engaging in certain other business activities.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Compliance with new regulations and supervisory initiatives may continue to increase the Company’s costs. In addition, regulatory changes may reduce the Company’s revenues, limit the types of financial services and products it may offer, alter the investments it makes, affect the manner in which it operates its businesses, increase its litigation and regulatory costs should it fail to appropriately comply with new or modified laws and regulatory requirements, and increase the ability of non-banks to offer competing financial services and products.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Stringent requirements related to capital and liquidity have been adopted by United States banking regulators that may limit the Company’s ability to return earnings to shareholders or operate or invest in its business</w:t>
      </w:r>
      <w:r w:rsidRPr="00CF1F99">
        <w:rPr>
          <w:rFonts w:ascii="Arial" w:eastAsia="Times New Roman" w:hAnsi="Arial" w:cs="Arial"/>
          <w:color w:val="000000"/>
          <w:sz w:val="17"/>
          <w:szCs w:val="17"/>
        </w:rPr>
        <w:t> United States banking regulators have adopted stringent capital- and liquidity-related standards applicable to larger banking organizations, including the Company. The rules require banks to hold more and higher quality capital as well as sufficient unencumbered liquid assets to meet certain stress scenarios defined by regulation. Changes to the implementation of these rules including the common equity tier 1 capital conservation buffer, or additional capital- and liquidity-related rules, could require the Company to take further steps to increase its capital, increase its investment security holdings, divest assets or operations, or otherwise change aspects of its capital and/or liquidity measures, including in ways that may be dilutive to shareholders or could limit the Company’s ability to pay common stock dividends, repurchase its common stock, invest in its businesses or provide loans to its customers. Refer to “Supervision and Regulation” in the Company’s Annual Report on Form 10-K for additional information regarding the Company’s capital and liquidity requirements under the Dodd-Frank Wall Street Reform and Consumer Protection Act and United States Basel III Capital Rules.</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4492"/>
        <w:gridCol w:w="94"/>
        <w:gridCol w:w="4493"/>
        <w:gridCol w:w="94"/>
        <w:gridCol w:w="187"/>
      </w:tblGrid>
      <w:tr w:rsidR="00CF1F99" w:rsidRPr="00CF1F99" w:rsidTr="00CF1F99">
        <w:trPr>
          <w:jc w:val="center"/>
        </w:trPr>
        <w:tc>
          <w:tcPr>
            <w:tcW w:w="24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10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hideMark/>
          </w:tcPr>
          <w:p w:rsidR="00CF1F99" w:rsidRPr="00CF1F99" w:rsidRDefault="00CF1F99" w:rsidP="00CF1F99">
            <w:pPr>
              <w:rPr>
                <w:rFonts w:ascii="Times New Roman" w:eastAsia="Times New Roman" w:hAnsi="Times New Roman" w:cs="Times New Roman"/>
                <w:sz w:val="20"/>
                <w:szCs w:val="20"/>
              </w:rPr>
            </w:pP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jc w:val="right"/>
              <w:rPr>
                <w:rFonts w:ascii="Arial" w:eastAsia="Times New Roman" w:hAnsi="Arial" w:cs="Arial"/>
                <w:sz w:val="9"/>
                <w:szCs w:val="9"/>
              </w:rPr>
            </w:pPr>
            <w:r w:rsidRPr="00CF1F99">
              <w:rPr>
                <w:rFonts w:ascii="Arial" w:eastAsia="Times New Roman" w:hAnsi="Arial" w:cs="Arial"/>
                <w:b/>
                <w:bCs/>
                <w:sz w:val="14"/>
                <w:szCs w:val="14"/>
              </w:rPr>
              <w:t>145</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r>
      <w:tr w:rsidR="00CF1F99" w:rsidRPr="00CF1F99" w:rsidTr="00CF1F99">
        <w:trPr>
          <w:jc w:val="center"/>
        </w:trPr>
        <w:tc>
          <w:tcPr>
            <w:tcW w:w="0" w:type="auto"/>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4"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5"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Additional requirements may be imposed in the future. In December 2017, the Basel Committee finalized a package of revisions to the Basel III framework. The changes are meant to improve the calculation of risk-weighted assets and the comparability of capital ratios. Federal banking regulators are expected to undertake </w:t>
      </w:r>
      <w:proofErr w:type="gramStart"/>
      <w:r w:rsidRPr="00CF1F99">
        <w:rPr>
          <w:rFonts w:ascii="Arial" w:eastAsia="Times New Roman" w:hAnsi="Arial" w:cs="Arial"/>
          <w:color w:val="000000"/>
          <w:sz w:val="17"/>
          <w:szCs w:val="17"/>
        </w:rPr>
        <w:t>rule-makings</w:t>
      </w:r>
      <w:proofErr w:type="gramEnd"/>
      <w:r w:rsidRPr="00CF1F99">
        <w:rPr>
          <w:rFonts w:ascii="Arial" w:eastAsia="Times New Roman" w:hAnsi="Arial" w:cs="Arial"/>
          <w:color w:val="000000"/>
          <w:sz w:val="17"/>
          <w:szCs w:val="17"/>
        </w:rPr>
        <w:t xml:space="preserve"> in future years to implement these revisions in the United States. In addition, in April 2018 the Federal Reserve proposed stress capital buffer requirements that would replace the capital conservation buffer with a stress capital buffer and a stress leverage buffer. Refer to “Supervision and Regulation” in the Company’s Annual Report on Form 10-K for additional information regarding the proposed stress buffer requirements. The ultimate impact of revisions to the Basel III–based framework in the United States and the stress buffer requirements on the Company’s capital and liquidity will depend on the final </w:t>
      </w:r>
      <w:proofErr w:type="gramStart"/>
      <w:r w:rsidRPr="00CF1F99">
        <w:rPr>
          <w:rFonts w:ascii="Arial" w:eastAsia="Times New Roman" w:hAnsi="Arial" w:cs="Arial"/>
          <w:color w:val="000000"/>
          <w:sz w:val="17"/>
          <w:szCs w:val="17"/>
        </w:rPr>
        <w:t>rule-makings</w:t>
      </w:r>
      <w:proofErr w:type="gramEnd"/>
      <w:r w:rsidRPr="00CF1F99">
        <w:rPr>
          <w:rFonts w:ascii="Arial" w:eastAsia="Times New Roman" w:hAnsi="Arial" w:cs="Arial"/>
          <w:color w:val="000000"/>
          <w:sz w:val="17"/>
          <w:szCs w:val="17"/>
        </w:rPr>
        <w:t xml:space="preserve"> and the implementation process thereafter.</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is subject to significant financial and reputational risks from potential legal liability and</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governmental actions</w:t>
      </w:r>
      <w:r w:rsidRPr="00CF1F99">
        <w:rPr>
          <w:rFonts w:ascii="Arial" w:eastAsia="Times New Roman" w:hAnsi="Arial" w:cs="Arial"/>
          <w:color w:val="000000"/>
          <w:sz w:val="17"/>
          <w:szCs w:val="17"/>
        </w:rPr>
        <w:t> The Company faces significant legal risks in its businesses, and the volume of claims and amount of damages and penalties claimed in litigation and governmental proceedings against it and other financial institutions are substantial. Customers, clients and other counterparties are making claims for substantial or indeterminate amounts of damages, while banking regulators and certain other governmental authorities have focused on enforcement. As a participant in the financial services industry, it is likely that the Company will continue to experience a high level of litigation related to its businesses and operations in the future.</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In addition, governmental authorities have, at times, sought criminal penalties against companies in the financial services sector for violations, and, at times, have required an admission of wrongdoing from financial institutions in connection with resolving such matters. Criminal convictions or admissions of wrongdoing in a settlement with the government can lead to greater exposure in civil litigation and reputational harm.</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Substantial legal liability or significant governmental action against the Company could materially impact its financial condition and results of operations or cause significant reputational harm to the Company, which in turn could adversely impact its business prospects. Also, the resolution of a litigation or regulatory matter could result in additional accruals or </w:t>
      </w:r>
      <w:r w:rsidRPr="00CF1F99">
        <w:rPr>
          <w:rFonts w:ascii="Arial" w:eastAsia="Times New Roman" w:hAnsi="Arial" w:cs="Arial"/>
          <w:color w:val="000000"/>
          <w:sz w:val="17"/>
          <w:szCs w:val="17"/>
        </w:rPr>
        <w:lastRenderedPageBreak/>
        <w:t>exceed established accruals for a particular period, which could materially impact the Company’s results from operations for that period.</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may be required to repurchase mortgage</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loans or indemnify mortgage loan purchasers as a result of</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breaches in contractual representations and warranties</w:t>
      </w:r>
      <w:r w:rsidRPr="00CF1F99">
        <w:rPr>
          <w:rFonts w:ascii="Arial" w:eastAsia="Times New Roman" w:hAnsi="Arial" w:cs="Arial"/>
          <w:color w:val="000000"/>
          <w:sz w:val="17"/>
          <w:szCs w:val="17"/>
        </w:rPr>
        <w:t> When the Company sells mortgage loans that it has originated to various parties, including GSEs, it is required to make customary representations and warranties to the purchaser about the mortgage loans and the manner in which they were originated. The Company may be required to repurchase mortgage loans or be subject to indemnification claims in the event of a breach of contractual representations or warranties that is not remedied</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within a certain period. Contracts for residential mortgage loan sales to the GSEs include various types of specific remedies and penalties that could be applied if the Company does not adequately respond to repurchase requests. If economic conditions and the housing market deteriorate or the GSEs increase their claims for breached representations and warranties, the Company could have increased repurchase obligations and increased losses on repurchases, requiring material increases to </w:t>
      </w:r>
      <w:proofErr w:type="gramStart"/>
      <w:r w:rsidRPr="00CF1F99">
        <w:rPr>
          <w:rFonts w:ascii="Arial" w:eastAsia="Times New Roman" w:hAnsi="Arial" w:cs="Arial"/>
          <w:color w:val="000000"/>
          <w:sz w:val="17"/>
          <w:szCs w:val="17"/>
        </w:rPr>
        <w:t>its</w:t>
      </w:r>
      <w:proofErr w:type="gramEnd"/>
      <w:r w:rsidRPr="00CF1F99">
        <w:rPr>
          <w:rFonts w:ascii="Arial" w:eastAsia="Times New Roman" w:hAnsi="Arial" w:cs="Arial"/>
          <w:color w:val="000000"/>
          <w:sz w:val="17"/>
          <w:szCs w:val="17"/>
        </w:rPr>
        <w:t xml:space="preserve"> repurchase reserve.</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is exposed to risk of environmental liability when it takes title to properties</w:t>
      </w:r>
      <w:r w:rsidRPr="00CF1F99">
        <w:rPr>
          <w:rFonts w:ascii="Arial" w:eastAsia="Times New Roman" w:hAnsi="Arial" w:cs="Arial"/>
          <w:color w:val="000000"/>
          <w:sz w:val="17"/>
          <w:szCs w:val="17"/>
        </w:rPr>
        <w:t> </w:t>
      </w:r>
      <w:proofErr w:type="gramStart"/>
      <w:r w:rsidRPr="00CF1F99">
        <w:rPr>
          <w:rFonts w:ascii="Arial" w:eastAsia="Times New Roman" w:hAnsi="Arial" w:cs="Arial"/>
          <w:color w:val="000000"/>
          <w:sz w:val="17"/>
          <w:szCs w:val="17"/>
        </w:rPr>
        <w:t>In</w:t>
      </w:r>
      <w:proofErr w:type="gramEnd"/>
      <w:r w:rsidRPr="00CF1F99">
        <w:rPr>
          <w:rFonts w:ascii="Arial" w:eastAsia="Times New Roman" w:hAnsi="Arial" w:cs="Arial"/>
          <w:color w:val="000000"/>
          <w:sz w:val="17"/>
          <w:szCs w:val="17"/>
        </w:rPr>
        <w:t xml:space="preserve"> the course of the Company’s business, the Company may foreclose on and take title to real estate. As a result, the Company could be subject to environmental liabilities with respect to these properties. The Company may be held liable to a governmental entity or to third parties for property damage, personal injury, investigation and clean-up costs incurred by these parties in connection with environmental contamination or may be required to investigate or clean up hazardous or toxic substances or chemical releases at a property. The costs associated with investigation or remediation activities could be substantial. In addition, if the Company is the owner or former owner of a contaminated site, it may be subject to common law claims by third parties based on damages and costs resulting from environmental contamination emanating from the property. If the Company becomes subject to significant environmental liabilities, its financial condition and results of operations could be adversely affected.</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Economic and Market Conditions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Deterioration in business and economic conditions could adversely affect the Company’s lending business and the value of loans and debt securities it holds </w:t>
      </w:r>
      <w:r w:rsidRPr="00CF1F99">
        <w:rPr>
          <w:rFonts w:ascii="Arial" w:eastAsia="Times New Roman" w:hAnsi="Arial" w:cs="Arial"/>
          <w:color w:val="000000"/>
          <w:sz w:val="17"/>
          <w:szCs w:val="17"/>
        </w:rPr>
        <w:t>The Company’s business activities and earnings are affected by general business conditions in the United States and abroad, including factors such as the level and volatility of short-term and long-term interest rates, inflation, home prices, unemployment and under-employment levels, bankruptcies, household income, consumer spending, fluctuations in both debt and equity capital markets, liquidity of the global financial markets, the availability and cost of capital and credit, investor sentiment and confidence in the financial markets, and the strength of the domestic and global economies in which the Company operates. Changes in any of these conditions can adversely affect the Company’s consumer and commercial businesses and securities portfolios, its level of charge-offs and provision for credit losses, its capital levels and liquidity, and its results of operations.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Given the high percentage of the Company’s assets represented directly or indirectly by loans, and the importance of lending to its overall business, weak economic conditions are likely to have a negative impact on the Company’s business and results of operations. A deterioration in economic conditions could adversely impact new loan origination activity and existing loan utilization rates as well as delinquencies, defaults and the ability of customers to meet obligations under the loans. The</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146</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3"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6"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value to the Company of other assets such as investment securities, most of which are debt securities or other financial instruments supported by loans, similarly would be negatively impacted by widespread decreases in credit quality resulting from a weakening of the economy. Downward valuation of debt securities could also negatively impact the Company’s capital position.</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Stress in the commercial real estate markets, or a downturn in the residential real estate markets, could cause credit losses and deterioration in asset values for the Company and other financial institutions. A downturn in used auto prices from its current levels could result in increased credit losses and impairment of residual lease values for the Company. Any deterioration in global economic conditions, including those that could accompany a withdrawal of the United Kingdom from the European Union and other political trends toward nationalism and isolationism, could damage the domestic economy or negatively impact the Company’s borrowers or other counterparties that have direct or indirect exposure to these regions. Such global disruptions can undermine investor confidence, cause a contraction of available credit, or create market volatility, any of which could have significant adverse effects on the Company’s businesses, results of operations, financial condition and liquidity, even if the Company’s direct exposure to the affected region is limited.</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Any further changes to economic policies could erode consumer confidence levels, cause adverse changes in payment patterns, lead to increases in delinquencies and default rates in certain industries or regions, or have other negative market or customer impacts. Such developments could increase the Company’s loan charge-offs and provision for credit losses. </w:t>
      </w:r>
      <w:r w:rsidRPr="00CF1F99">
        <w:rPr>
          <w:rFonts w:ascii="Arial" w:eastAsia="Times New Roman" w:hAnsi="Arial" w:cs="Arial"/>
          <w:color w:val="000000"/>
          <w:sz w:val="17"/>
          <w:szCs w:val="17"/>
        </w:rPr>
        <w:lastRenderedPageBreak/>
        <w:t>Any future economic deterioration that affects household or corporate incomes could also result in reduced demand for credit or fee-based products and services.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Changes in United States trade policies, including the imposition of tariffs and retaliatory tariffs, may adversely impact the Company’s business, financial condition and results of operations</w:t>
      </w:r>
      <w:r w:rsidRPr="00CF1F99">
        <w:rPr>
          <w:rFonts w:ascii="Arial" w:eastAsia="Times New Roman" w:hAnsi="Arial" w:cs="Arial"/>
          <w:color w:val="000000"/>
          <w:sz w:val="17"/>
          <w:szCs w:val="17"/>
        </w:rPr>
        <w:t> There has been increased discussion and dialogue regarding potential and proposed changes to United States trade policies, legislation, treaties and tariffs, including trade policies and tariffs affecting other countries, including China, the European Union, Canada and Mexico and retaliatory tariffs by such countries. Tariffs and retaliatory tariffs have been imposed, and additional tariffs and retaliation tariffs have been proposed. Such tariffs, retaliatory tariffs or other trade restrictions on products and materials that the Company’s customers import or export could cause the prices of its customers’ products to increase, which could reduce demand for such products, or reduce the Company’s customers’ margins, and adversely impact their revenues, financial results and ability to service debt. This in turn, could adversely affect the Company’s financial condition and results of operations. In addition, to the extent changes in the political environment have a negative impact on the Company or on the markets in which it does business, or otherwise result in sustained deterioration in economic conditions, results of operations and financial condition could be</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materially and adversely impacted in the future. Additionally, if prices of consumer goods increase materially as a result of tariffs, the ability of individual households to service debt may be negatively impacted. In total, these outcomes could adversely affect the Company’s financial condition and results of operations. It remains unclear what the United States government or foreign governments will do with respect to tariffs already imposed, additional tariffs that may be imposed, or international trade agreements and policies.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Changes in interest rates could reduce the Company’s net interest income</w:t>
      </w:r>
      <w:r w:rsidRPr="00CF1F99">
        <w:rPr>
          <w:rFonts w:ascii="Arial" w:eastAsia="Times New Roman" w:hAnsi="Arial" w:cs="Arial"/>
          <w:color w:val="000000"/>
          <w:sz w:val="17"/>
          <w:szCs w:val="17"/>
        </w:rPr>
        <w:t> The Company’s earnings are dependent to a large degree on net interest income, which is the difference between interest income from loans and investments and interest expense on deposits and borrowings. Net interest income is significantly affected by market rates of interest, which in turn are affected by prevailing economic conditions, by the fiscal and monetary policies of the federal government and by the policies of various regulatory agencies. Like all financial institutions, the Company’s financial position is affected by fluctuations in interest rates. Volatility in interest rates can also result in the flow of funds away from financial institutions into direct investments. Direct investments, such as United States government and corporate securities and other investment vehicles (including mutual funds), generally pay higher rates of return than financial institutions, because of the absence of federal insurance premiums and reserve requirements.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transition from LIBOR as an interest rate benchmark will subject the Company to financial, legal, operational and reputational risks.</w:t>
      </w:r>
      <w:r w:rsidRPr="00CF1F99">
        <w:rPr>
          <w:rFonts w:ascii="Arial" w:eastAsia="Times New Roman" w:hAnsi="Arial" w:cs="Arial"/>
          <w:color w:val="000000"/>
          <w:sz w:val="17"/>
          <w:szCs w:val="17"/>
        </w:rPr>
        <w:t> The London Interbank Offered Rate (“LIBOR”) is a widely accepted interest rate benchmark referenced in financial contracts globally. In July 2017, the United Kingdom’s Financial Conduct Authority, which regulates LIBOR, announced that it intends to stop compelling banks to submit LIBOR rates after 2021. In April 2018, the Federal Reserve Bank of New York commenced publication of three reference rates based on overnight United States Treasury repurchase agreement transactions, including the Secured Overnight Financing Rate (“SOFR”), which has been recommended as an alternative to United States dollar LIBOR by the Alternative Reference Rates Committee. Uncertainty exists as to the transition process and broad acceptance of SOFR as the primary alternative to LIBOR, including what effect it would have on the value of LIBOR-based securities, financial contracts, and variable rate loans. The transition from LIBOR to SOFR or another benchmark rate could have adverse impacts on the Company’s assets, liabilities and net income. These impacts could include a potential decrease in the value of certain securities held in the Company’s securities portfolio and a potential increase in the dividends and interest payable on certain of the securities issued by the Company. In addition, the transition will require that many of the Company’s contracts with customers be amended and that significant changes be made to the Company’s systems and processes, which will expose the Company to legal and operational risk. The Company will also be subject to legal and</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4492"/>
        <w:gridCol w:w="94"/>
        <w:gridCol w:w="4493"/>
        <w:gridCol w:w="94"/>
        <w:gridCol w:w="187"/>
      </w:tblGrid>
      <w:tr w:rsidR="00CF1F99" w:rsidRPr="00CF1F99" w:rsidTr="00CF1F99">
        <w:trPr>
          <w:jc w:val="center"/>
        </w:trPr>
        <w:tc>
          <w:tcPr>
            <w:tcW w:w="24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10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hideMark/>
          </w:tcPr>
          <w:p w:rsidR="00CF1F99" w:rsidRPr="00CF1F99" w:rsidRDefault="00CF1F99" w:rsidP="00CF1F99">
            <w:pPr>
              <w:rPr>
                <w:rFonts w:ascii="Times New Roman" w:eastAsia="Times New Roman" w:hAnsi="Times New Roman" w:cs="Times New Roman"/>
                <w:sz w:val="20"/>
                <w:szCs w:val="20"/>
              </w:rPr>
            </w:pP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jc w:val="right"/>
              <w:rPr>
                <w:rFonts w:ascii="Arial" w:eastAsia="Times New Roman" w:hAnsi="Arial" w:cs="Arial"/>
                <w:sz w:val="9"/>
                <w:szCs w:val="9"/>
              </w:rPr>
            </w:pPr>
            <w:r w:rsidRPr="00CF1F99">
              <w:rPr>
                <w:rFonts w:ascii="Arial" w:eastAsia="Times New Roman" w:hAnsi="Arial" w:cs="Arial"/>
                <w:b/>
                <w:bCs/>
                <w:sz w:val="14"/>
                <w:szCs w:val="14"/>
              </w:rPr>
              <w:t>147</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r>
      <w:tr w:rsidR="00CF1F99" w:rsidRPr="00CF1F99" w:rsidTr="00CF1F99">
        <w:trPr>
          <w:jc w:val="center"/>
        </w:trPr>
        <w:tc>
          <w:tcPr>
            <w:tcW w:w="0" w:type="auto"/>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2"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7"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reputational risk as it works with customers to transition loans and financial instruments from LIBOR to other benchmark rates, which might adversely impact certain customers.</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Credit and Mortgage Business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Heightened credit risk could require the Company to increase its provision for credit losses, which could have a material adverse effect on the Company’s results of</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operations and financial condition</w:t>
      </w:r>
      <w:r w:rsidRPr="00CF1F99">
        <w:rPr>
          <w:rFonts w:ascii="Arial" w:eastAsia="Times New Roman" w:hAnsi="Arial" w:cs="Arial"/>
          <w:color w:val="000000"/>
          <w:sz w:val="17"/>
          <w:szCs w:val="17"/>
        </w:rPr>
        <w:t xml:space="preserve"> When the Company lends money, or commits to lend money, it incurs credit risk, or the risk of losses if its borrowers do not repay their loans. As one of the largest lenders in the United States, the credit performance of the Company’s loan portfolios significantly affects its financial results and condition. If the current economic environment were to deteriorate, the Company’s customers may have difficulty in repaying their loans or other obligations, which could result in a higher level of credit losses and higher provisions for credit losses. The Company reserves for credit losses by establishing an allowance through a charge to earnings to provide for loan defaults and nonperformance. The amount of the Company’s allowance for loan losses is based on its </w:t>
      </w:r>
      <w:r w:rsidRPr="00CF1F99">
        <w:rPr>
          <w:rFonts w:ascii="Arial" w:eastAsia="Times New Roman" w:hAnsi="Arial" w:cs="Arial"/>
          <w:color w:val="000000"/>
          <w:sz w:val="17"/>
          <w:szCs w:val="17"/>
        </w:rPr>
        <w:lastRenderedPageBreak/>
        <w:t>historical loss experience as well as an evaluation of the risks associated with its loan portfolio, including the size and composition of the loan portfolio, current economic conditions and geographic concentrations within the portfolio. Unexpected stress on the United States economy or the local economies in which the Company does business may result in, among other things, unexpected deterioration in credit quality of the loan portfolio, or in the value of collateral securing those loans.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In addition, the process the Company uses to estimate losses inherent in its credit exposure requires difficult, subjective, and complex judgments, including forecasts of economic conditions and how these economic predictions might impair the ability of its borrowers to repay their loans. These economic predictions and their impact may not be capable of accurate estimation, which may, in turn, impact the reliability of the process. As with any such assessments, the Company may fail to identify the proper factors or to accurately estimate the impacts of the factors that the Company does identify. The Company also makes loans to borrowers where it does not have or service the loan with the first lien on the property securing its loan. For loans in a junior lien position, the Company may not have access to information on the position or performance of the first lien when it is held and serviced by a third party, which may adversely affect the accuracy of the loss estimates for loans of these types. Increases in the Company’s allowance for loan losses may not be adequate to cover actual loan losses, and future provisions for loan losses could materially and adversely affect its financial results. In addition, the Company’s ability to assess the creditworthiness of its customers may be impaired if the models and approaches it uses to select, manage, and underwrite its customers become less predictive of future behaviors.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A concentration of credit and market risk in the Company’s</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loan portfolio could increase the potential for significant</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b/>
          <w:bCs/>
          <w:color w:val="000000"/>
          <w:sz w:val="17"/>
          <w:szCs w:val="17"/>
        </w:rPr>
        <w:t>losses</w:t>
      </w:r>
      <w:r w:rsidRPr="00CF1F99">
        <w:rPr>
          <w:rFonts w:ascii="Arial" w:eastAsia="Times New Roman" w:hAnsi="Arial" w:cs="Arial"/>
          <w:color w:val="000000"/>
          <w:sz w:val="17"/>
          <w:szCs w:val="17"/>
        </w:rPr>
        <w:t> The Company may have higher credit risk, or experience higher credit losses, to the extent its loans are concentrated by loan type, industry segment, borrower type, or location of the borrower or collateral. For example, the Company’s credit risk and credit losses can increase if borrowers who engage in similar activities are uniquely or disproportionately affected by economic or market conditions, or by regulation, such as regulation related to climate change. Deterioration in economic conditions or real estate values in states or regions where the Company has relatively larger concentrations of residential or commercial real estate could result in higher credit costs. In particular, deterioration in real estate values and underlying economic conditions in California could result in significantly higher credit losses to the Company.</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Changes in interest rates can impact the value of the Company’s mortgage servicing rights and mortgages held for sale, and can make its mortgage banking revenue volatile from quarter to quarter, which can reduce its earnings</w:t>
      </w:r>
      <w:r w:rsidRPr="00CF1F99">
        <w:rPr>
          <w:rFonts w:ascii="Arial" w:eastAsia="Times New Roman" w:hAnsi="Arial" w:cs="Arial"/>
          <w:color w:val="000000"/>
          <w:sz w:val="17"/>
          <w:szCs w:val="17"/>
        </w:rPr>
        <w:t> The Company has a portfolio of MSRs, which is the right to service a mortgage loan—collect principal, interest and escrow amounts—for a fee. The Company initially carries its MSRs using a fair value measurement of the present value of the estimated future net servicing income, which includes assumptions about the likelihood of prepayment by borrowers. Changes in interest rates can affect prepayment assumptions and thus fair value. When interest rates fall, prepayments tend to increase as borrowers refinance, and the fair value of MSRs can decrease, which in turn reduces the Company’s earnings. Further, it is possible that, because of economic conditions and/or a weak or deteriorating housing market, even when interest rates fall or remain low, mortgage originations may fall or any increase in mortgage originations may not be enough to offset the decrease in the MSRs’ value caused by the lower rates.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A decline in the soundness of other financial institutions could adversely affect the Company’s results of operations</w:t>
      </w:r>
      <w:r w:rsidRPr="00CF1F99">
        <w:rPr>
          <w:rFonts w:ascii="Arial" w:eastAsia="Times New Roman" w:hAnsi="Arial" w:cs="Arial"/>
          <w:color w:val="000000"/>
          <w:sz w:val="17"/>
          <w:szCs w:val="17"/>
        </w:rPr>
        <w:t> The Company’s ability to engage in routine funding or settlement transactions could be adversely affected by the actions and commercial soundness of other domestic or foreign financial institutions. Financial services institutions are interrelated as a result of trading, clearing, counterparty or other relationships. The Company has exposure to many different counterparties, and the Company routinely executes and settles transactions with counterparties in the financial services industry, including brokers and dealers, commercial banks, investment banks, mutual and hedge funds, and other institutional clients. As a result, defaults by, or even rumors or questions about, the soundness of one or more financial services institutions, or the financial services industry generally, could lead to losses or defaults by the Company or by other institutions and impact the Company’s predominately United States–based businesses or the less significant merchant processing, corporate trust and fund administration services businesses it operates in foreign countries. Many of these transactions expose the Company to credit risk in the event of a default by a counterparty or client. In</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148</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1"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8"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addition, the Company’s credit risk may be further increased when the collateral held by the Company cannot be realized upon or is liquidated at prices not sufficient to recover the full amount of the financial instrument exposure due the Company. There is no assurance that any such losses would not adversely affect the Company’s results of operations.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Change in residual value of leased assets may have an adverse impact on the Company’s financial results</w:t>
      </w:r>
      <w:r w:rsidRPr="00CF1F99">
        <w:rPr>
          <w:rFonts w:ascii="Arial" w:eastAsia="Times New Roman" w:hAnsi="Arial" w:cs="Arial"/>
          <w:color w:val="000000"/>
          <w:sz w:val="17"/>
          <w:szCs w:val="17"/>
        </w:rPr>
        <w:t xml:space="preserve"> The Company engages in leasing activities and is subject to the risk that the residual value of the property under lease will be less than the Company’s recorded asset value. Adverse changes in the residual value of leased assets can have a negative impact on the Company’s financial results. The risk of changes in the realized value of the leased assets compared to </w:t>
      </w:r>
      <w:r w:rsidRPr="00CF1F99">
        <w:rPr>
          <w:rFonts w:ascii="Arial" w:eastAsia="Times New Roman" w:hAnsi="Arial" w:cs="Arial"/>
          <w:color w:val="000000"/>
          <w:sz w:val="17"/>
          <w:szCs w:val="17"/>
        </w:rPr>
        <w:lastRenderedPageBreak/>
        <w:t>recorded residual values depends on many factors outside of the Company’s control, including supply and demand for the assets, condition of the assets at the end of the lease term, and other economic factors.</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Operations and Business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A breach in the security of the Company’s systems, or the systems of certain third parties, could disrupt the Company’s businesses, result in the disclosure of confidential information, damage its reputation and create significant financial and legal exposure</w:t>
      </w:r>
      <w:r w:rsidRPr="00CF1F99">
        <w:rPr>
          <w:rFonts w:ascii="Arial" w:eastAsia="Times New Roman" w:hAnsi="Arial" w:cs="Arial"/>
          <w:color w:val="000000"/>
          <w:sz w:val="17"/>
          <w:szCs w:val="17"/>
        </w:rPr>
        <w:t xml:space="preserve"> The Company experiences numerous attacks on its computer systems, software, networks and other technology assets daily, and the number of attacks is increasing. Although the Company devotes significant resources to maintain and regularly upgrade its systems and processes that are designed to protect the security of the Company’s computer systems, software, networks and other technology assets, as well as its intellectual property, and to protect the confidentiality, integrity and availability of information belonging to the Company and its customers, the Company’s security measures may not be entirely effective. Adversaries continue to develop more sophisticated </w:t>
      </w:r>
      <w:proofErr w:type="spellStart"/>
      <w:r w:rsidRPr="00CF1F99">
        <w:rPr>
          <w:rFonts w:ascii="Arial" w:eastAsia="Times New Roman" w:hAnsi="Arial" w:cs="Arial"/>
          <w:color w:val="000000"/>
          <w:sz w:val="17"/>
          <w:szCs w:val="17"/>
        </w:rPr>
        <w:t>cyber attacks</w:t>
      </w:r>
      <w:proofErr w:type="spellEnd"/>
      <w:r w:rsidRPr="00CF1F99">
        <w:rPr>
          <w:rFonts w:ascii="Arial" w:eastAsia="Times New Roman" w:hAnsi="Arial" w:cs="Arial"/>
          <w:color w:val="000000"/>
          <w:sz w:val="17"/>
          <w:szCs w:val="17"/>
        </w:rPr>
        <w:t xml:space="preserve"> that could impact the Company. Many financial services institutions, retailers and other companies engaged in data processing have reported breaches in the security of their websites or other systems, some of which have involved sophisticated and targeted attacks intended to obtain unauthorized access to confidential information, destroy data, disable or degrade service, or sabotage systems, often through the introduction of computer viruses or malware, </w:t>
      </w:r>
      <w:proofErr w:type="spellStart"/>
      <w:r w:rsidRPr="00CF1F99">
        <w:rPr>
          <w:rFonts w:ascii="Arial" w:eastAsia="Times New Roman" w:hAnsi="Arial" w:cs="Arial"/>
          <w:color w:val="000000"/>
          <w:sz w:val="17"/>
          <w:szCs w:val="17"/>
        </w:rPr>
        <w:t>cyber attacks</w:t>
      </w:r>
      <w:proofErr w:type="spellEnd"/>
      <w:r w:rsidRPr="00CF1F99">
        <w:rPr>
          <w:rFonts w:ascii="Arial" w:eastAsia="Times New Roman" w:hAnsi="Arial" w:cs="Arial"/>
          <w:color w:val="000000"/>
          <w:sz w:val="17"/>
          <w:szCs w:val="17"/>
        </w:rPr>
        <w:t xml:space="preserve"> and other means.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Attacks on financial or other institutions important to the overall functioning of the financial system could also adversely affect, directly or indirectly, aspects of the Company’s businesses. The increasing consolidation, interdependence and complexity of financial entities and technology systems means that a technology failure, </w:t>
      </w:r>
      <w:proofErr w:type="spellStart"/>
      <w:r w:rsidRPr="00CF1F99">
        <w:rPr>
          <w:rFonts w:ascii="Arial" w:eastAsia="Times New Roman" w:hAnsi="Arial" w:cs="Arial"/>
          <w:color w:val="000000"/>
          <w:sz w:val="17"/>
          <w:szCs w:val="17"/>
        </w:rPr>
        <w:t>cyber attack</w:t>
      </w:r>
      <w:proofErr w:type="spellEnd"/>
      <w:r w:rsidRPr="00CF1F99">
        <w:rPr>
          <w:rFonts w:ascii="Arial" w:eastAsia="Times New Roman" w:hAnsi="Arial" w:cs="Arial"/>
          <w:color w:val="000000"/>
          <w:sz w:val="17"/>
          <w:szCs w:val="17"/>
        </w:rPr>
        <w:t>, or other information or security breach that significantly degrades, deletes or compromises the systems or data of one or more financial entities could have a material impact on counterparties or other market participants, including the Company. This consolidation,</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interconnectivity and complexity </w:t>
      </w:r>
      <w:proofErr w:type="gramStart"/>
      <w:r w:rsidRPr="00CF1F99">
        <w:rPr>
          <w:rFonts w:ascii="Arial" w:eastAsia="Times New Roman" w:hAnsi="Arial" w:cs="Arial"/>
          <w:color w:val="000000"/>
          <w:sz w:val="17"/>
          <w:szCs w:val="17"/>
        </w:rPr>
        <w:t>increases</w:t>
      </w:r>
      <w:proofErr w:type="gramEnd"/>
      <w:r w:rsidRPr="00CF1F99">
        <w:rPr>
          <w:rFonts w:ascii="Arial" w:eastAsia="Times New Roman" w:hAnsi="Arial" w:cs="Arial"/>
          <w:color w:val="000000"/>
          <w:sz w:val="17"/>
          <w:szCs w:val="17"/>
        </w:rPr>
        <w:t xml:space="preserve"> the risk of operational failure, on both an entity-specific and an industry-wide basis.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Third parties that facilitate the Company’s business activities, including exchanges, clearinghouses, payment and ATM networks, financial intermediaries or vendors that provide services or technology solutions for the Company’s operations, could also be sources of operational and security risks to the Company, including with respect to breakdowns or failures of their systems, misconduct by their employees or </w:t>
      </w:r>
      <w:proofErr w:type="spellStart"/>
      <w:r w:rsidRPr="00CF1F99">
        <w:rPr>
          <w:rFonts w:ascii="Arial" w:eastAsia="Times New Roman" w:hAnsi="Arial" w:cs="Arial"/>
          <w:color w:val="000000"/>
          <w:sz w:val="17"/>
          <w:szCs w:val="17"/>
        </w:rPr>
        <w:t>cyber attacks</w:t>
      </w:r>
      <w:proofErr w:type="spellEnd"/>
      <w:r w:rsidRPr="00CF1F99">
        <w:rPr>
          <w:rFonts w:ascii="Arial" w:eastAsia="Times New Roman" w:hAnsi="Arial" w:cs="Arial"/>
          <w:color w:val="000000"/>
          <w:sz w:val="17"/>
          <w:szCs w:val="17"/>
        </w:rPr>
        <w:t xml:space="preserve"> that could affect their ability to deliver a product or service to the Company or result in lost or compromised information of the Company or its customers. The Company’s ability to implement back-up systems or other safeguards with respect to third party systems is limited. Furthermore, an attack on or failure of a third-party system may not be revealed to the Company in a timely manner, which could compromise the Company’s ability to respond effectively. Some of these third parties may engage vendors of their own as they provide services or technology solutions for the Company’s operations, which introduces the risk that these “fourth parties” could be the source of operational and security failures.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In addition, during the past several years a number of retailers and hospitality companies have disclosed substantial cyber security breaches affecting debit and credit card accounts of their customers, some of whom were the Company’s cardholders. These attacks involving Company cards are likely to continue and could, individually or in the aggregate, have a material adverse effect on the Company’s financial condition or results of operations.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It is possible that the Company may not be able to anticipate or to implement effective preventive measures against all security breaches of these types, because the techniques used change frequently, generally increase in sophistication, often are not recognized until launched, sometimes go undetected even when successful, and result in security attacks originating from a wide variety of sources, including organized crime, hackers, terrorists, activists, hostile foreign governments and other external parties. Those parties may also attempt to fraudulently induce employees, customers or other users of the Company’s systems to disclose sensitive information to gain access to the Company’s data or that of its customers or clients, such as through “phishing” schemes. Other types of attacks may include computer viruses, malicious or destructive code, denial-of-service attacks, ransomware or ransom demands to not expose security vulnerabilities in the Company’s systems or the systems of third parties. These risks may increase in the future as the Company continues to increase its mobile and internet-based product offerings and expands its internal usage of web-based products and applications. In addition, the Company’s customers often use their own devices, such as computers, smart phones and tablet computers, to make payments and manage their accounts. The Company has limited ability to assure the safety and security of its customers’ transactions with the Company to the extent they are using their own devices, which could be subject to similar threats.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If the Company’s security systems were penetrated or circumvented, or if an authorized user intentionally or</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4492"/>
        <w:gridCol w:w="94"/>
        <w:gridCol w:w="4493"/>
        <w:gridCol w:w="94"/>
        <w:gridCol w:w="187"/>
      </w:tblGrid>
      <w:tr w:rsidR="00CF1F99" w:rsidRPr="00CF1F99" w:rsidTr="00CF1F99">
        <w:trPr>
          <w:jc w:val="center"/>
        </w:trPr>
        <w:tc>
          <w:tcPr>
            <w:tcW w:w="24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10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hideMark/>
          </w:tcPr>
          <w:p w:rsidR="00CF1F99" w:rsidRPr="00CF1F99" w:rsidRDefault="00CF1F99" w:rsidP="00CF1F99">
            <w:pPr>
              <w:rPr>
                <w:rFonts w:ascii="Times New Roman" w:eastAsia="Times New Roman" w:hAnsi="Times New Roman" w:cs="Times New Roman"/>
                <w:sz w:val="20"/>
                <w:szCs w:val="20"/>
              </w:rPr>
            </w:pP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jc w:val="right"/>
              <w:rPr>
                <w:rFonts w:ascii="Arial" w:eastAsia="Times New Roman" w:hAnsi="Arial" w:cs="Arial"/>
                <w:sz w:val="9"/>
                <w:szCs w:val="9"/>
              </w:rPr>
            </w:pPr>
            <w:r w:rsidRPr="00CF1F99">
              <w:rPr>
                <w:rFonts w:ascii="Arial" w:eastAsia="Times New Roman" w:hAnsi="Arial" w:cs="Arial"/>
                <w:b/>
                <w:bCs/>
                <w:sz w:val="14"/>
                <w:szCs w:val="14"/>
              </w:rPr>
              <w:t>149</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r>
      <w:tr w:rsidR="00CF1F99" w:rsidRPr="00CF1F99" w:rsidTr="00CF1F99">
        <w:trPr>
          <w:jc w:val="center"/>
        </w:trPr>
        <w:tc>
          <w:tcPr>
            <w:tcW w:w="0" w:type="auto"/>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30"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9"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unintentionally removed, lost or destroyed operations data, it could cause serious negative consequences for the Company, including significant disruption of the Company’s operations, misappropriation of confidential information of the Company or that of its customers, or damage to computers or systems of the Company or those of its customers and counterparties. These consequences could result in violations of applicable privacy and other laws; financial loss to the Company or to its </w:t>
      </w:r>
      <w:r w:rsidRPr="00CF1F99">
        <w:rPr>
          <w:rFonts w:ascii="Arial" w:eastAsia="Times New Roman" w:hAnsi="Arial" w:cs="Arial"/>
          <w:color w:val="000000"/>
          <w:sz w:val="17"/>
          <w:szCs w:val="17"/>
        </w:rPr>
        <w:lastRenderedPageBreak/>
        <w:t>customers; loss of confidence in the Company’s security measures; customer dissatisfaction; significant litigation exposure; regulatory fines, penalties or intervention; reimbursement or other compensatory costs; additional compliance costs; and harm to the Company’s reputation, all of which could adversely affect the Company.</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relies on its employees, systems and third parties to conduct its business, and certain failures by systems or misconduct by employees or third parties could adversely affect its operations</w:t>
      </w:r>
      <w:r w:rsidRPr="00CF1F99">
        <w:rPr>
          <w:rFonts w:ascii="Arial" w:eastAsia="Times New Roman" w:hAnsi="Arial" w:cs="Arial"/>
          <w:color w:val="000000"/>
          <w:sz w:val="17"/>
          <w:szCs w:val="17"/>
        </w:rPr>
        <w:t> The Company operates in many different businesses in diverse markets and relies on the ability of its employees and systems to process a high number of transactions. The Company’s business, financial, accounting, data processing, and other operating systems and facilities may stop operating properly or become disabled or damaged as a result of a number of factors, including events that are out of its control. In addition to the risks posed by information security breaches, as discussed above, such systems could be compromised because of spikes in transaction volume, electrical or telecommunications outages, degradation or loss of internet or website availability, natural disasters, political or social unrest, and terrorist acts. The Company’s business operations may be adversely affected by significant disruption to the operating systems that support its businesses and customers.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The Company could also incur losses resulting from the risk of fraud by employees or persons outside of the Company, unauthorized access to its computer systems, the execution of unauthorized transactions by employees, errors relating to transaction processing and technology, breaches of the internal control system and compliance requirements, and business continuation and disaster recovery. This risk of loss also includes the potential legal actions, fines or civil money penalties that could arise as a result of an operational deficiency or as a result of noncompliance with applicable regulatory standards, adverse business decisions or their implementation, and customer attrition due to potential negative publicity.</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Third parties provide key components of the Company’s business infrastructure, such as internet connections, network access and mutual fund distribution. While the Company has selected these third parties carefully, it does not control their actions. Any problems caused by third party service providers, including as a result of not providing the Company their services for any reason or performing their services poorly, could adversely affect the Company’s ability to deliver products and services to the Company’s customers and otherwise to conduct its business. Replacing third party service providers could also entail significant delay and expense. In addition, failure of </w:t>
      </w:r>
      <w:proofErr w:type="gramStart"/>
      <w:r w:rsidRPr="00CF1F99">
        <w:rPr>
          <w:rFonts w:ascii="Arial" w:eastAsia="Times New Roman" w:hAnsi="Arial" w:cs="Arial"/>
          <w:color w:val="000000"/>
          <w:sz w:val="17"/>
          <w:szCs w:val="17"/>
        </w:rPr>
        <w:t>third party</w:t>
      </w:r>
      <w:proofErr w:type="gramEnd"/>
      <w:r w:rsidRPr="00CF1F99">
        <w:rPr>
          <w:rFonts w:ascii="Arial" w:eastAsia="Times New Roman" w:hAnsi="Arial" w:cs="Arial"/>
          <w:color w:val="000000"/>
          <w:sz w:val="17"/>
          <w:szCs w:val="17"/>
        </w:rPr>
        <w:t xml:space="preserve"> service providers to handle current or higher volumes of use</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could adversely affect the Company’s ability to deliver products and services to clients and otherwise to conduct business. Technological or financial difficulties of a </w:t>
      </w:r>
      <w:proofErr w:type="gramStart"/>
      <w:r w:rsidRPr="00CF1F99">
        <w:rPr>
          <w:rFonts w:ascii="Arial" w:eastAsia="Times New Roman" w:hAnsi="Arial" w:cs="Arial"/>
          <w:color w:val="000000"/>
          <w:sz w:val="17"/>
          <w:szCs w:val="17"/>
        </w:rPr>
        <w:t>third party</w:t>
      </w:r>
      <w:proofErr w:type="gramEnd"/>
      <w:r w:rsidRPr="00CF1F99">
        <w:rPr>
          <w:rFonts w:ascii="Arial" w:eastAsia="Times New Roman" w:hAnsi="Arial" w:cs="Arial"/>
          <w:color w:val="000000"/>
          <w:sz w:val="17"/>
          <w:szCs w:val="17"/>
        </w:rPr>
        <w:t xml:space="preserve"> service provider could adversely affect the Company’s businesses to the extent those difficulties result in the interruption or discontinuation of services provided by that party.</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 xml:space="preserve">Operational risks for large institutions such as the Company have generally increased in recent years, in part because of the proliferation of new technologies, the use of internet services and telecommunications technologies to conduct financial transactions, the increased number and complexity of transactions being processed, and the increased sophistication and activities of organized crime, hackers, terrorists, activists, and other external parties. In the event of a breakdown in the internal control system, improper operation of systems or improper employee or </w:t>
      </w:r>
      <w:proofErr w:type="gramStart"/>
      <w:r w:rsidRPr="00CF1F99">
        <w:rPr>
          <w:rFonts w:ascii="Arial" w:eastAsia="Times New Roman" w:hAnsi="Arial" w:cs="Arial"/>
          <w:color w:val="000000"/>
          <w:sz w:val="17"/>
          <w:szCs w:val="17"/>
        </w:rPr>
        <w:t>third party</w:t>
      </w:r>
      <w:proofErr w:type="gramEnd"/>
      <w:r w:rsidRPr="00CF1F99">
        <w:rPr>
          <w:rFonts w:ascii="Arial" w:eastAsia="Times New Roman" w:hAnsi="Arial" w:cs="Arial"/>
          <w:color w:val="000000"/>
          <w:sz w:val="17"/>
          <w:szCs w:val="17"/>
        </w:rPr>
        <w:t xml:space="preserve"> actions, the Company could suffer financial loss, face legal or regulatory action and suffer damage to its reputation.</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could face significant legal and reputational harm if it fails to safeguard personal information </w:t>
      </w:r>
      <w:r w:rsidRPr="00CF1F99">
        <w:rPr>
          <w:rFonts w:ascii="Arial" w:eastAsia="Times New Roman" w:hAnsi="Arial" w:cs="Arial"/>
          <w:color w:val="000000"/>
          <w:sz w:val="17"/>
          <w:szCs w:val="17"/>
        </w:rPr>
        <w:t>The Company is subject to complex and evolving laws and regulations, both inside and outside of the United States, governing the privacy and protection of personal information of individuals. The protected individuals can include the Company’s customers, its employees, and the employees of the Company’s suppliers, counterparties and other third parties. Ensuring that the Company’s collection, use, transfer and storage of personal information comply with applicable laws and regulations in relevant jurisdictions can increase operating costs, impact the development of new products or services, and reduce operational efficiency. Any mishandling or misuse of the personal information of customers, employees or others by the Company or a third party affiliated with the Company could expose the Company to litigation or regulatory fines, penalties or other sanctions.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Additional risks could arise if the Company or third parties do not provide adequate disclosure or transparency to the Company’s customers about the personal information collected from them and its use; any failure to receive, document, and honor the privacy preferences expressed by the Company’s customers; any failure to protect personal information from unauthorized disclosure; or any failure to maintain proper training on privacy practices for all employees or third parties who have access to personal data. Concerns regarding the effectiveness of the Company’s measures to safeguard personal information and abide by privacy preferences, or even the perception that those measures are inadequate, could cause the Company to lose existing or potential customers and thereby reduce its revenues. In addition, any failure or perceived failure by the Company to comply with applicable privacy or data protection laws and regulations could result in requirements to modify or cease certain operations or practices, significant liabilities or regulatory fines, penalties, or other sanctions. Refer to “Supervision and Regulation” in the Company’s Annual Report on Form 10-K for additional information regarding data privacy laws and regulations.</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150</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29"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10"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Any of these outcomes could damage the Company’s reputation and otherwise adversely affect its business.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lastRenderedPageBreak/>
        <w:t>The Company could lose market share and experience increased costs if it does not effectively develop and implement new technology</w:t>
      </w:r>
      <w:r w:rsidRPr="00CF1F99">
        <w:rPr>
          <w:rFonts w:ascii="Arial" w:eastAsia="Times New Roman" w:hAnsi="Arial" w:cs="Arial"/>
          <w:color w:val="000000"/>
          <w:sz w:val="17"/>
          <w:szCs w:val="17"/>
        </w:rPr>
        <w:t xml:space="preserve"> The financial services industry is continually undergoing rapid technological change with frequent introductions of new technology-driven products and services, including innovative ways that customers can make payments or manage their accounts, such as through the use of mobile payments, digital wallets or digital currencies. The Company’s continued success depends, in part, upon its ability to address customer needs by using technology to provide products and services that customers want to </w:t>
      </w:r>
      <w:proofErr w:type="gramStart"/>
      <w:r w:rsidRPr="00CF1F99">
        <w:rPr>
          <w:rFonts w:ascii="Arial" w:eastAsia="Times New Roman" w:hAnsi="Arial" w:cs="Arial"/>
          <w:color w:val="000000"/>
          <w:sz w:val="17"/>
          <w:szCs w:val="17"/>
        </w:rPr>
        <w:t>adopt, and</w:t>
      </w:r>
      <w:proofErr w:type="gramEnd"/>
      <w:r w:rsidRPr="00CF1F99">
        <w:rPr>
          <w:rFonts w:ascii="Arial" w:eastAsia="Times New Roman" w:hAnsi="Arial" w:cs="Arial"/>
          <w:color w:val="000000"/>
          <w:sz w:val="17"/>
          <w:szCs w:val="17"/>
        </w:rPr>
        <w:t xml:space="preserve"> create additional efficiencies in the Company’s operations. Developing and deploying new technology-driven products and services can also involve costs that the Company may not recover and divert resources away from other product development efforts. The Company may not be able to effectively develop and implement profitable new technology-driven products and services or be successful in marketing these products and services to its customers. Failure to successfully keep pace with technological change affecting the financial services industry could harm the Company’s competitive position and negatively affect its revenue and profit.</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Negative publicity could damage the Company’s reputation and adversely impact its business and financial results</w:t>
      </w:r>
      <w:r w:rsidRPr="00CF1F99">
        <w:rPr>
          <w:rFonts w:ascii="Arial" w:eastAsia="Times New Roman" w:hAnsi="Arial" w:cs="Arial"/>
          <w:color w:val="000000"/>
          <w:sz w:val="17"/>
          <w:szCs w:val="17"/>
        </w:rPr>
        <w:t xml:space="preserve"> Reputational risk, or the risk to the Company’s business, earnings and capital from negative public opinion, is inherent in the Company’s business. Negative public opinion about the financial services industry generally or the Company specifically could adversely affect the Company’s ability to keep and attract </w:t>
      </w:r>
      <w:proofErr w:type="gramStart"/>
      <w:r w:rsidRPr="00CF1F99">
        <w:rPr>
          <w:rFonts w:ascii="Arial" w:eastAsia="Times New Roman" w:hAnsi="Arial" w:cs="Arial"/>
          <w:color w:val="000000"/>
          <w:sz w:val="17"/>
          <w:szCs w:val="17"/>
        </w:rPr>
        <w:t>customers, and</w:t>
      </w:r>
      <w:proofErr w:type="gramEnd"/>
      <w:r w:rsidRPr="00CF1F99">
        <w:rPr>
          <w:rFonts w:ascii="Arial" w:eastAsia="Times New Roman" w:hAnsi="Arial" w:cs="Arial"/>
          <w:color w:val="000000"/>
          <w:sz w:val="17"/>
          <w:szCs w:val="17"/>
        </w:rPr>
        <w:t xml:space="preserve"> expose the Company to litigation and regulatory action. Negative public opinion can result from the Company’s actual or alleged conduct in any number of activities, including lending practices, cybersecurity breaches, failures to safeguard personal information, mortgage servicing and foreclosure practices, corporate governance, executive compensation, incentive-based compensation paid to and supervision of sales personnel, regulatory compliance, mergers and acquisitions, and actions taken by government regulators and community organizations in response to that conduct. Because most of the Company’s businesses operate under the “U.S. Bank” brand, actual or alleged conduct by one business can result in negative public opinion about other businesses the Company operates. Although the Company takes steps to minimize reputational risk in dealing with customers and other constituencies, the Company, as a large diversified financial services company with a high industry profile, is inherently exposed to this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Company’s business and financial performance could be adversely affected, directly or indirectly, by natural</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disasters, terrorist activities or international</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hostilities</w:t>
      </w:r>
      <w:r w:rsidRPr="00CF1F99">
        <w:rPr>
          <w:rFonts w:ascii="Arial" w:eastAsia="Times New Roman" w:hAnsi="Arial" w:cs="Arial"/>
          <w:color w:val="000000"/>
          <w:sz w:val="17"/>
          <w:szCs w:val="17"/>
        </w:rPr>
        <w:t> Neither the occurrence nor the potential impact of natural disasters, terrorist activities or international hostilities can be predicted. However, these occurrences could impact the Company directly (for example, by</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interrupting the Company’s systems, which could prevent the Company from obtaining deposits, originating loans and processing and controlling its flow of business; causing significant damage to the Company’s facilities; or otherwise preventing the Company from conducting business in the ordinary course), or indirectly as a result of their impact on the Company’s borrowers, depositors, other customers, suppliers or other counterparties (for example, by damaging properties pledged as collateral for the Company’s loans or impairing the ability of certain borrowers to repay their loans). The Company could also suffer adverse consequences to the extent that natural disasters, terrorist activities or international hostilities affect the financial markets or the economy in general or in any particular region. These types of impacts could lead, for example, to an increase in delinquencies, bankruptcies or defaults that could result in the Company experiencing higher levels of nonperforming assets, net charge-offs and provisions for credit losses.</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The Company’s ability to mitigate the adverse consequences of these occurrences is in part dependent on the quality of the Company’s resiliency planning, and the Company’s ability, if any, to anticipate the nature of any such event that occurs. The adverse impact of natural disasters, terrorist activities or international hostilities also could be increased to the extent that there is a lack of preparedness on the part of national or regional emergency responders or on the part of other organizations and businesses that the Company transacts with, particularly those that it depends upon, but has no control over. Additionally, the force and frequency of natural disasters are increasing as the climate changes.</w:t>
      </w:r>
    </w:p>
    <w:p w:rsidR="00CF1F99" w:rsidRPr="00CF1F99" w:rsidRDefault="00CF1F99" w:rsidP="00CF1F99">
      <w:pPr>
        <w:shd w:val="clear" w:color="auto" w:fill="FFFFFF"/>
        <w:spacing w:before="360"/>
        <w:rPr>
          <w:rFonts w:ascii="Arial" w:eastAsia="Times New Roman" w:hAnsi="Arial" w:cs="Arial"/>
          <w:color w:val="000000"/>
        </w:rPr>
      </w:pPr>
      <w:r w:rsidRPr="00CF1F99">
        <w:rPr>
          <w:rFonts w:ascii="Arial" w:eastAsia="Times New Roman" w:hAnsi="Arial" w:cs="Arial"/>
          <w:b/>
          <w:bCs/>
          <w:color w:val="000000"/>
        </w:rPr>
        <w:t>Liquidity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If the Company does not effectively manage its liquidity, its business could suffer</w:t>
      </w:r>
      <w:r w:rsidRPr="00CF1F99">
        <w:rPr>
          <w:rFonts w:ascii="Arial" w:eastAsia="Times New Roman" w:hAnsi="Arial" w:cs="Arial"/>
          <w:color w:val="000000"/>
          <w:sz w:val="17"/>
          <w:szCs w:val="17"/>
        </w:rPr>
        <w:t> The Company’s liquidity is essential for the operation of its business. Market conditions, unforeseen outflows of funds or other events could negatively affect the Company’s level or cost of funding, affecting its ongoing ability to accommodate liability maturities and deposit withdrawals, meet contractual obligations, and fund asset growth and new business transactions at a reasonable cost and in a timely manner. If the Company’s access to stable and low-cost sources of funding, such as customer deposits, is reduced, the Company might need to use alternative funding, which could be more expensive or of limited availability. Any substantial, unexpected or prolonged changes in the level or cost of liquidity could adversely affect the Company’s business.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Loss of customer deposits could increase the Company’s funding costs</w:t>
      </w:r>
      <w:r w:rsidRPr="00CF1F99">
        <w:rPr>
          <w:rFonts w:ascii="Arial" w:eastAsia="Times New Roman" w:hAnsi="Arial" w:cs="Arial"/>
          <w:color w:val="000000"/>
          <w:sz w:val="17"/>
          <w:szCs w:val="17"/>
        </w:rPr>
        <w:t> The Company relies on bank deposits to be a low-cost and stable source of funding. The Company competes with banks and other financial services companies for deposits. If the Company’s competitors raise the interest rates they pay on deposits, the Company’s funding costs may increase, either because the Company raises the interest rates it pays on deposits to avoid losing deposits to competitors or because the Company loses deposits to competitors and must rely on more expensive sources of funding. Higher funding costs reduce the</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4492"/>
        <w:gridCol w:w="94"/>
        <w:gridCol w:w="4493"/>
        <w:gridCol w:w="94"/>
        <w:gridCol w:w="187"/>
      </w:tblGrid>
      <w:tr w:rsidR="00CF1F99" w:rsidRPr="00CF1F99" w:rsidTr="00CF1F99">
        <w:trPr>
          <w:jc w:val="center"/>
        </w:trPr>
        <w:tc>
          <w:tcPr>
            <w:tcW w:w="24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10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hideMark/>
          </w:tcPr>
          <w:p w:rsidR="00CF1F99" w:rsidRPr="00CF1F99" w:rsidRDefault="00CF1F99" w:rsidP="00CF1F99">
            <w:pPr>
              <w:rPr>
                <w:rFonts w:ascii="Times New Roman" w:eastAsia="Times New Roman" w:hAnsi="Times New Roman" w:cs="Times New Roman"/>
                <w:sz w:val="20"/>
                <w:szCs w:val="20"/>
              </w:rPr>
            </w:pP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jc w:val="right"/>
              <w:rPr>
                <w:rFonts w:ascii="Arial" w:eastAsia="Times New Roman" w:hAnsi="Arial" w:cs="Arial"/>
                <w:sz w:val="9"/>
                <w:szCs w:val="9"/>
              </w:rPr>
            </w:pPr>
            <w:r w:rsidRPr="00CF1F99">
              <w:rPr>
                <w:rFonts w:ascii="Arial" w:eastAsia="Times New Roman" w:hAnsi="Arial" w:cs="Arial"/>
                <w:b/>
                <w:bCs/>
                <w:sz w:val="14"/>
                <w:szCs w:val="14"/>
              </w:rPr>
              <w:t>151</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r>
      <w:tr w:rsidR="00CF1F99" w:rsidRPr="00CF1F99" w:rsidTr="00CF1F99">
        <w:trPr>
          <w:jc w:val="center"/>
        </w:trPr>
        <w:tc>
          <w:tcPr>
            <w:tcW w:w="0" w:type="auto"/>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28"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11"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Company’s net interest margin and net interest income. Checking and savings account balances and other forms of customer deposits may decrease when customers perceive alternative investments, such as the stock market, as providing a better risk/return tradeoff. When customers move money out of bank deposits and into other investments, the Company may lose a relatively low-cost source of funds, increasing the Company’s funding costs and reducing the Company’s net interest income. In addition, the Federal Reserve has continued its plan to reduce the securities holdings on its balance sheet, which will result in a reduction of the supply of reserve balances for the banking system. This reduction could lead to increased competition for deposits, requiring the Company to raise deposit rates or rely on more expensive sources of funding.</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A downgrade in the Company’s credit ratings could have a material adverse effect on its liquidity, funding costs and access to capital markets</w:t>
      </w:r>
      <w:r w:rsidRPr="00CF1F99">
        <w:rPr>
          <w:rFonts w:ascii="Arial" w:eastAsia="Times New Roman" w:hAnsi="Arial" w:cs="Arial"/>
          <w:color w:val="000000"/>
          <w:sz w:val="17"/>
          <w:szCs w:val="17"/>
        </w:rPr>
        <w:t> The Company’s credit ratings are important to its liquidity. A reduction in one or more of the Company’s credit ratings could adversely affect its liquidity, increase its funding costs or limit its access to the capital markets. Further, a downgrade could decrease the number of investors and counterparties willing or able, contractually or otherwise, to do business or lend to the Company, thereby adversely affecting the Company’s competitive position. The Company’s credit ratings and credit rating agencies’ outlooks are subject to ongoing review by the rating agencies, which consider a number of factors, including the Company’s own financial strength, performance, prospects and operations, as well as factors not within the control of the Company, including conditions affecting the financial services industry generally. There can be no assurance that the Company will maintain its current ratings and outlooks.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relies on dividends from its subsidiaries for its liquidity needs, and the payment of those dividends is limited by laws and regulations</w:t>
      </w:r>
      <w:r w:rsidRPr="00CF1F99">
        <w:rPr>
          <w:rFonts w:ascii="Arial" w:eastAsia="Times New Roman" w:hAnsi="Arial" w:cs="Arial"/>
          <w:color w:val="000000"/>
          <w:sz w:val="17"/>
          <w:szCs w:val="17"/>
        </w:rPr>
        <w:t xml:space="preserve"> The Company is a separate and distinct legal entity from U.S. Bank National Association and its non-bank subsidiaries. The Company receives a significant portion of its cash from dividends paid by its subsidiaries. These dividends are the principal source of funds to pay dividends on the Company’s stock and interest and principal on its debt. Various federal and state laws and regulations limit the </w:t>
      </w:r>
      <w:proofErr w:type="gramStart"/>
      <w:r w:rsidRPr="00CF1F99">
        <w:rPr>
          <w:rFonts w:ascii="Arial" w:eastAsia="Times New Roman" w:hAnsi="Arial" w:cs="Arial"/>
          <w:color w:val="000000"/>
          <w:sz w:val="17"/>
          <w:szCs w:val="17"/>
        </w:rPr>
        <w:t>amount</w:t>
      </w:r>
      <w:proofErr w:type="gramEnd"/>
      <w:r w:rsidRPr="00CF1F99">
        <w:rPr>
          <w:rFonts w:ascii="Arial" w:eastAsia="Times New Roman" w:hAnsi="Arial" w:cs="Arial"/>
          <w:color w:val="000000"/>
          <w:sz w:val="17"/>
          <w:szCs w:val="17"/>
        </w:rPr>
        <w:t xml:space="preserve"> of dividends that U.S. Bank National Association and certain of its non-bank subsidiaries may pay to the Company without regulatory approval. Also, the Company’s right to participate in a distribution of assets upon a subsidiary’s liquidation or reorganization is subject to prior claims of the subsidiary’s creditors, except to the extent that any of the Company’s claims as a creditor of that subsidiary may be recognized.</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Competitive and Strategic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financial services industry is highly competitive, and competitive pressures could intensify and adversely affect the Company’s financial results</w:t>
      </w:r>
      <w:r w:rsidRPr="00CF1F99">
        <w:rPr>
          <w:rFonts w:ascii="Arial" w:eastAsia="Times New Roman" w:hAnsi="Arial" w:cs="Arial"/>
          <w:color w:val="000000"/>
          <w:sz w:val="17"/>
          <w:szCs w:val="17"/>
        </w:rPr>
        <w:t> The Company operates in a highly competitive industry that could become even more</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competitive as a result of legislative, regulatory and technological changes, as well as continued industry consolidation, which may increase in connection with current economic and market conditions. This consolidation may produce larger, better-capitalized and more geographically diverse companies that are capable of offering a wider array of financial products and services at more competitive prices. The Company competes with other commercial banks, savings and loan associations, mutual savings banks, finance companies, mortgage banking companies, credit unions, investment companies, credit card companies, and a variety of other financial services and advisory companies. Legislative or regulatory changes also could lead to increased competition in the financial services sector. For example, the Economic Growth Act and, if adopted, the proposals to tailor enhanced prudential standards applicable to certain large bank holding companies could reduce the regulatory burden of large bank holding companies and raise the asset thresholds at which more onerous requirements apply, which could cause certain large bank holding companies with less than $250 billion in total consolidated assets, which were previously subject to more stringent enhanced prudential standards, to become more competitive or to more aggressively pursue expansion.</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In addition, technology has lowered barriers to entry and made it possible for non-banks to offer products and services, such as loans and payment services, that traditionally were banking products, and made it possible for technology companies to compete with financial institutions in providing electronic, internet-based, and mobile phone–based financial solutions. Competition with non-banks, including technology companies, to provide financial products and services is intensifying. Many of the Company’s competitors have fewer regulatory constraints, and some have lower cost structures. Also, the potential need to adapt to industry changes in information technology systems, on which the Company and financial services industry are highly dependent, could present operational issues and require capital spending. The Company’s ability to compete successfully depends on a number of factors, including, among others, its ability to develop and execute strategic plans and initiatives; developing, maintaining and building long-term customer relationships based on quality service, competitive prices, high ethical standards and safe, sound assets; and industry and general economic trends. A failure to compete effectively could contribute to downward price pressure on the Company’s products or services or a loss of market share.</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may need to lower prices on existing products and services and develop and introduce new products and services to maintain market share</w:t>
      </w:r>
      <w:r w:rsidRPr="00CF1F99">
        <w:rPr>
          <w:rFonts w:ascii="Arial" w:eastAsia="Times New Roman" w:hAnsi="Arial" w:cs="Arial"/>
          <w:color w:val="000000"/>
          <w:sz w:val="17"/>
          <w:szCs w:val="17"/>
        </w:rPr>
        <w:t> The Company’s success depends, in part, on its ability to adapt its products and services to evolving industry standards. There is increasing pressure to provide products and services at lower prices. Lower prices can reduce the Company’s net interest margin and revenues from its fee-based products and services. In addition, the adoption of new technologies or further</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lastRenderedPageBreak/>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152</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27"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12"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developments in current technologies, such as mobile phones and tablet computers, require the Company to make substantial expenditures to modify or adapt its existing products and services. Also, these and other capital investments in the Company’s businesses may not produce expected growth in earnings anticipated at the time of the expenditure. The Company might not be successful in developing or introducing new products and services, adapting to changing customer preferences and spending and saving habits, achieving market acceptance of its products and services, or sufficiently developing and maintaining loyal customer relationships.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Company’s business could suffer if it fails to attract and retain skilled employees</w:t>
      </w:r>
      <w:r w:rsidRPr="00CF1F99">
        <w:rPr>
          <w:rFonts w:ascii="Arial" w:eastAsia="Times New Roman" w:hAnsi="Arial" w:cs="Arial"/>
          <w:color w:val="000000"/>
          <w:sz w:val="17"/>
          <w:szCs w:val="17"/>
        </w:rPr>
        <w:t> The Company’s success depends, in large part, on its ability to attract and retain key employees. Competition for the best people in most activities the Company engages in can be intense. The Company may not be able to hire the best people or to keep them. Recent strong scrutiny of compensation practices has resulted in, and may continue to result in, additional regulation and legislation in this area. As a result, the Company may not be able to retain key employees by providing adequate compensation. In addition, there is the potential for changes in immigration policies in multiple jurisdictions and to the extent that immigration policies or work authorization programs were to unduly restrict or otherwise make it more difficult for qualified employees to work in, or transfer among, jurisdictions in which the Company has operations or conducts its business, the Company could be adversely affected. There is no assurance that these developments will not cause increased turnover or impede the Company’s ability to retain and attract the highest caliber employees.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 may not be able to complete future acquisitions, and completed acquisitions may not produce revenue enhancements or cost savings at levels or within timeframes originally anticipated, may result in unforeseen</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integration difficulties, and may dilute existing shareholders’ interests</w:t>
      </w:r>
      <w:r w:rsidRPr="00CF1F99">
        <w:rPr>
          <w:rFonts w:ascii="Arial" w:eastAsia="Times New Roman" w:hAnsi="Arial" w:cs="Arial"/>
          <w:color w:val="000000"/>
          <w:sz w:val="17"/>
          <w:szCs w:val="17"/>
        </w:rPr>
        <w:t> The Company regularly explores opportunities to acquire financial services businesses or assets and may also consider opportunities to acquire other banks or financial institutions. The Company cannot predict the number, size or timing of acquisitions it might pursue.</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The Company must generally receive federal regulatory approval before it can acquire a bank or bank holding company. The Company’s ability to pursue or complete an attractive acquisition could be negatively impacted by regulatory delay or other regulatory issues. The Company cannot be certain when or if, or on what terms and conditions, any required regulatory approvals will be granted. For example, the Company may be required to sell branches as a condition to receiving regulatory approval for bank acquisitions. If the Company commits certain regulatory violations, including those that result in a downgrade in certain of the Company’s bank regulatory ratings, governmental authorities could, as a consequence, preclude it from pursuing future acquisitions for a period of time.</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There can be no assurance that acquisitions the Company completes will have the anticipated positive results, including results related to expected revenue increases, cost savings, increases in geographic or product presence, and/or other projected benefits. Integration efforts could divert management’s attention and resources, which could adversely affect the Company’s operations or results. The integration could result in higher than expected customer loss, deposit attrition, loss of key employees, disruption of the Company’s businesses or the businesses of the acquired company, or otherwise adversely affect the Company’s ability to maintain relationships with customers and employees or achieve the anticipated benefits of the acquisition. Also, the negative effect of any divestitures required by regulatory authorities in acquisitions or business combinations may be greater than expected. In addition, future acquisitions may also expose the Company to increased legal or regulatory risks. Finally, future acquisitions could be material to the Company, and it may issue additional shares of stock to pay for those acquisitions, which would dilute current shareholders’ ownership interests.</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Accounting and Tax Risk</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Company’s reported financial results depend on management’s selection of accounting methods and certain assumptions and estimates, which, if incorrect,</w:t>
      </w:r>
      <w:r w:rsidRPr="00CF1F99">
        <w:rPr>
          <w:rFonts w:ascii="Arial" w:eastAsia="Times New Roman" w:hAnsi="Arial" w:cs="Arial"/>
          <w:color w:val="000000"/>
          <w:sz w:val="17"/>
          <w:szCs w:val="17"/>
        </w:rPr>
        <w:t> </w:t>
      </w:r>
      <w:r w:rsidRPr="00CF1F99">
        <w:rPr>
          <w:rFonts w:ascii="Arial" w:eastAsia="Times New Roman" w:hAnsi="Arial" w:cs="Arial"/>
          <w:b/>
          <w:bCs/>
          <w:color w:val="000000"/>
          <w:sz w:val="17"/>
          <w:szCs w:val="17"/>
        </w:rPr>
        <w:t>could cause unexpected losses in the future</w:t>
      </w:r>
      <w:r w:rsidRPr="00CF1F99">
        <w:rPr>
          <w:rFonts w:ascii="Arial" w:eastAsia="Times New Roman" w:hAnsi="Arial" w:cs="Arial"/>
          <w:color w:val="000000"/>
          <w:sz w:val="17"/>
          <w:szCs w:val="17"/>
        </w:rPr>
        <w:t xml:space="preserve"> The Company’s accounting policies and methods are fundamental to how the Company records and reports its financial condition and results of operations. The Company’s management must exercise judgment in selecting and applying many of these accounting policies and </w:t>
      </w:r>
      <w:proofErr w:type="gramStart"/>
      <w:r w:rsidRPr="00CF1F99">
        <w:rPr>
          <w:rFonts w:ascii="Arial" w:eastAsia="Times New Roman" w:hAnsi="Arial" w:cs="Arial"/>
          <w:color w:val="000000"/>
          <w:sz w:val="17"/>
          <w:szCs w:val="17"/>
        </w:rPr>
        <w:t>methods</w:t>
      </w:r>
      <w:proofErr w:type="gramEnd"/>
      <w:r w:rsidRPr="00CF1F99">
        <w:rPr>
          <w:rFonts w:ascii="Arial" w:eastAsia="Times New Roman" w:hAnsi="Arial" w:cs="Arial"/>
          <w:color w:val="000000"/>
          <w:sz w:val="17"/>
          <w:szCs w:val="17"/>
        </w:rPr>
        <w:t xml:space="preserve"> so they comply with generally accepted accounting principles and reflect management’s judgment regarding the most appropriate manner to report the Company’s financial condition and results of operations. In some cases, management must select the accounting policy or method to apply from two or more alternatives, any of which might be reasonable under the circumstances, yet might result in the Company’s reporting materially different results than would have been reported under a different alternative.</w:t>
      </w:r>
    </w:p>
    <w:p w:rsidR="00CF1F99" w:rsidRPr="00CF1F99" w:rsidRDefault="00CF1F99" w:rsidP="00CF1F99">
      <w:pPr>
        <w:shd w:val="clear" w:color="auto" w:fill="FFFFFF"/>
        <w:ind w:firstLine="240"/>
        <w:rPr>
          <w:rFonts w:ascii="Arial" w:eastAsia="Times New Roman" w:hAnsi="Arial" w:cs="Arial"/>
          <w:color w:val="000000"/>
          <w:sz w:val="17"/>
          <w:szCs w:val="17"/>
        </w:rPr>
      </w:pPr>
      <w:r w:rsidRPr="00CF1F99">
        <w:rPr>
          <w:rFonts w:ascii="Arial" w:eastAsia="Times New Roman" w:hAnsi="Arial" w:cs="Arial"/>
          <w:color w:val="000000"/>
          <w:sz w:val="17"/>
          <w:szCs w:val="17"/>
        </w:rPr>
        <w:t>Certain accounting policies are critical to presenting the Company’s financial condition and results of operations. They require management to make difficult, subjective or complex judgments about matters that are uncertain. Materially different amounts could be reported under different conditions or using different assumptions or estimates. These critical accounting policies include the allowance for credit losses, estimations of fair value, the valuation of MSRs, the valuation of goodwill and other intangible assets, and income taxes. Because of the uncertainty of estimates involved in these matters, the Company may be required to do one or more of the following: significantly increase the allowance for credit losses and/or sustain credit losses that are significantly higher than the reserve provided, recognize significant impairment on its goodwill and other intangible asset balances, or significantly increase its accrued taxes liability. For</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lastRenderedPageBreak/>
        <w:t> </w:t>
      </w:r>
    </w:p>
    <w:tbl>
      <w:tblPr>
        <w:tblW w:w="5000" w:type="pct"/>
        <w:jc w:val="center"/>
        <w:tblCellMar>
          <w:left w:w="0" w:type="dxa"/>
          <w:right w:w="0" w:type="dxa"/>
        </w:tblCellMar>
        <w:tblLook w:val="04A0" w:firstRow="1" w:lastRow="0" w:firstColumn="1" w:lastColumn="0" w:noHBand="0" w:noVBand="1"/>
      </w:tblPr>
      <w:tblGrid>
        <w:gridCol w:w="4492"/>
        <w:gridCol w:w="94"/>
        <w:gridCol w:w="4493"/>
        <w:gridCol w:w="94"/>
        <w:gridCol w:w="187"/>
      </w:tblGrid>
      <w:tr w:rsidR="00CF1F99" w:rsidRPr="00CF1F99" w:rsidTr="00CF1F99">
        <w:trPr>
          <w:jc w:val="center"/>
        </w:trPr>
        <w:tc>
          <w:tcPr>
            <w:tcW w:w="24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10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hideMark/>
          </w:tcPr>
          <w:p w:rsidR="00CF1F99" w:rsidRPr="00CF1F99" w:rsidRDefault="00CF1F99" w:rsidP="00CF1F99">
            <w:pPr>
              <w:rPr>
                <w:rFonts w:ascii="Times New Roman" w:eastAsia="Times New Roman" w:hAnsi="Times New Roman" w:cs="Times New Roman"/>
                <w:sz w:val="20"/>
                <w:szCs w:val="20"/>
              </w:rPr>
            </w:pP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jc w:val="right"/>
              <w:rPr>
                <w:rFonts w:ascii="Arial" w:eastAsia="Times New Roman" w:hAnsi="Arial" w:cs="Arial"/>
                <w:sz w:val="9"/>
                <w:szCs w:val="9"/>
              </w:rPr>
            </w:pPr>
            <w:r w:rsidRPr="00CF1F99">
              <w:rPr>
                <w:rFonts w:ascii="Arial" w:eastAsia="Times New Roman" w:hAnsi="Arial" w:cs="Arial"/>
                <w:b/>
                <w:bCs/>
                <w:sz w:val="14"/>
                <w:szCs w:val="14"/>
              </w:rPr>
              <w:t>153</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r>
      <w:tr w:rsidR="00CF1F99" w:rsidRPr="00CF1F99" w:rsidTr="00CF1F99">
        <w:trPr>
          <w:jc w:val="center"/>
        </w:trPr>
        <w:tc>
          <w:tcPr>
            <w:tcW w:w="0" w:type="auto"/>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26"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13"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17"/>
          <w:szCs w:val="17"/>
        </w:rPr>
      </w:pPr>
      <w:proofErr w:type="gramStart"/>
      <w:r w:rsidRPr="00CF1F99">
        <w:rPr>
          <w:rFonts w:ascii="Arial" w:eastAsia="Times New Roman" w:hAnsi="Arial" w:cs="Arial"/>
          <w:color w:val="000000"/>
          <w:sz w:val="17"/>
          <w:szCs w:val="17"/>
        </w:rPr>
        <w:t>more information,</w:t>
      </w:r>
      <w:proofErr w:type="gramEnd"/>
      <w:r w:rsidRPr="00CF1F99">
        <w:rPr>
          <w:rFonts w:ascii="Arial" w:eastAsia="Times New Roman" w:hAnsi="Arial" w:cs="Arial"/>
          <w:color w:val="000000"/>
          <w:sz w:val="17"/>
          <w:szCs w:val="17"/>
        </w:rPr>
        <w:t xml:space="preserve"> refer to “Critical Accounting Policies” in this Annual Report.</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Changes in accounting standards could materially impact the Company’s financial statements</w:t>
      </w:r>
      <w:r w:rsidRPr="00CF1F99">
        <w:rPr>
          <w:rFonts w:ascii="Arial" w:eastAsia="Times New Roman" w:hAnsi="Arial" w:cs="Arial"/>
          <w:color w:val="000000"/>
          <w:sz w:val="17"/>
          <w:szCs w:val="17"/>
        </w:rPr>
        <w:t> </w:t>
      </w:r>
      <w:proofErr w:type="gramStart"/>
      <w:r w:rsidRPr="00CF1F99">
        <w:rPr>
          <w:rFonts w:ascii="Arial" w:eastAsia="Times New Roman" w:hAnsi="Arial" w:cs="Arial"/>
          <w:color w:val="000000"/>
          <w:sz w:val="17"/>
          <w:szCs w:val="17"/>
        </w:rPr>
        <w:t>From</w:t>
      </w:r>
      <w:proofErr w:type="gramEnd"/>
      <w:r w:rsidRPr="00CF1F99">
        <w:rPr>
          <w:rFonts w:ascii="Arial" w:eastAsia="Times New Roman" w:hAnsi="Arial" w:cs="Arial"/>
          <w:color w:val="000000"/>
          <w:sz w:val="17"/>
          <w:szCs w:val="17"/>
        </w:rPr>
        <w:t xml:space="preserve"> time to time, the Financial Accounting Standards Board and the United States Securities and Exchange Commission change the financial accounting and reporting standards that govern the preparation of the Company’s financial statements. These changes can be hard to predict and can materially impact how the Company records and reports its financial condition and results of operations. The Company could be required to apply a new or revised standard retroactively or apply an existing standard differently, on a retroactive basis, in each case potentially resulting in the Company restating prior period financial statements. As an example, the Financial Accounting Standards Board issued accounting guidance, effective for the Company no later than January 1, 2020, related to the impairment of financial instruments, particularly the allowance for loan losses. This guidance changes existing impairment recognition to a model that is based on expected losses rather than incurred losses, which is intended to result in more timely recognition of credit losses. This guidance will be adopted by way of a cumulative effect adjustment recorded to beginning retained earnings upon the effective date. The Company is currently evaluating the impact of this guidance on its financial statements.</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Company’s investments in certain tax-advantaged projects may not generate returns as anticipated and may have an adverse impact on the Company’s financial results</w:t>
      </w:r>
      <w:r w:rsidRPr="00CF1F99">
        <w:rPr>
          <w:rFonts w:ascii="Arial" w:eastAsia="Times New Roman" w:hAnsi="Arial" w:cs="Arial"/>
          <w:color w:val="000000"/>
          <w:sz w:val="17"/>
          <w:szCs w:val="17"/>
        </w:rPr>
        <w:t> The Company invests in certain tax-advantaged projects promoting affordable housing, community development and renewable energy resources. The Company’s investments in these projects are designed to generate a return primarily through the realization of federal and state income tax credits, and other tax benefits, over specified time periods. The Company is subject to the risk that previously recorded tax credits, which remain subject to recapture by taxing authorities based on compliance</w:t>
      </w:r>
    </w:p>
    <w:p w:rsidR="00CF1F99" w:rsidRPr="00CF1F99" w:rsidRDefault="00CF1F99" w:rsidP="00CF1F99">
      <w:pPr>
        <w:shd w:val="clear" w:color="auto" w:fill="FFFFFF"/>
        <w:rPr>
          <w:rFonts w:ascii="Arial" w:eastAsia="Times New Roman" w:hAnsi="Arial" w:cs="Arial"/>
          <w:color w:val="000000"/>
          <w:sz w:val="17"/>
          <w:szCs w:val="17"/>
        </w:rPr>
      </w:pPr>
      <w:r w:rsidRPr="00CF1F99">
        <w:rPr>
          <w:rFonts w:ascii="Arial" w:eastAsia="Times New Roman" w:hAnsi="Arial" w:cs="Arial"/>
          <w:color w:val="000000"/>
          <w:sz w:val="17"/>
          <w:szCs w:val="17"/>
        </w:rPr>
        <w:t>features required to be met at the project level, will fail to meet certain government compliance requirements and will not be able to be realized. The possible inability to realize these tax credit and other tax benefits can have a negative impact on the Company’s financial results. The risk of not being able to realize the tax credits and other tax benefits depends on many factors outside of the Company’s control, including changes in the applicable tax code and the ability of the projects to be completed.</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b/>
          <w:bCs/>
          <w:color w:val="000000"/>
        </w:rPr>
        <w:t>Risk Management</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b/>
          <w:bCs/>
          <w:color w:val="000000"/>
          <w:sz w:val="17"/>
          <w:szCs w:val="17"/>
        </w:rPr>
        <w:t>The Company’s framework for managing risks may not be effective in mitigating risk and loss to the Company </w:t>
      </w:r>
      <w:proofErr w:type="gramStart"/>
      <w:r w:rsidRPr="00CF1F99">
        <w:rPr>
          <w:rFonts w:ascii="Arial" w:eastAsia="Times New Roman" w:hAnsi="Arial" w:cs="Arial"/>
          <w:color w:val="000000"/>
          <w:sz w:val="17"/>
          <w:szCs w:val="17"/>
        </w:rPr>
        <w:t>The</w:t>
      </w:r>
      <w:proofErr w:type="gramEnd"/>
      <w:r w:rsidRPr="00CF1F99">
        <w:rPr>
          <w:rFonts w:ascii="Arial" w:eastAsia="Times New Roman" w:hAnsi="Arial" w:cs="Arial"/>
          <w:color w:val="000000"/>
          <w:sz w:val="17"/>
          <w:szCs w:val="17"/>
        </w:rPr>
        <w:t xml:space="preserve"> Company’s risk management framework seeks to mitigate risk and loss. The Company has established processes and procedures intended to identify, measure, monitor, report, and analyze the types of risk to which it is subject, including liquidity risk, credit risk, market risk, interest rate risk, compliance risk, strategic risk, reputational risk, and operational risk related to its employees, systems and vendors, among others. However, as with any risk management framework, there are inherent limitations to the Company’s risk management strategies as there may exist, or develop in the future, risks that it has not appropriately anticipated or identified. The Company relies on quantitative models to measure certain risks and to estimate certain financial values, and these models could fail to predict future events or exposures accurately. The financial and credit crises of 2008 and 2009, and the resulting regulatory reform, highlighted both the importance and some of the limitations of managing unanticipated risks, and the Company’s regulators remain focused on ensuring that financial institutions build and maintain robust risk management policies. If the Company’s risk management framework proves ineffective, the Company could incur litigation and negative regulatory consequences, and suffer unexpected losses that could affect its financial condition or results of operations.</w:t>
      </w:r>
    </w:p>
    <w:p w:rsidR="00CF1F99" w:rsidRPr="00CF1F99" w:rsidRDefault="00CF1F99" w:rsidP="00CF1F99">
      <w:pPr>
        <w:shd w:val="clear" w:color="auto" w:fill="FFFFFF"/>
        <w:rPr>
          <w:rFonts w:ascii="Times" w:eastAsia="Times New Roman" w:hAnsi="Times" w:cs="Times New Roman"/>
          <w:color w:val="000000"/>
          <w:sz w:val="2"/>
          <w:szCs w:val="2"/>
        </w:rPr>
      </w:pPr>
      <w:r w:rsidRPr="00CF1F99">
        <w:rPr>
          <w:rFonts w:ascii="Times" w:eastAsia="Times New Roman" w:hAnsi="Times" w:cs="Times New Roman"/>
          <w:color w:val="000000"/>
          <w:sz w:val="2"/>
          <w:szCs w:val="2"/>
        </w:rPr>
        <w:t> </w:t>
      </w:r>
    </w:p>
    <w:p w:rsidR="00CF1F99" w:rsidRPr="00CF1F99" w:rsidRDefault="00CF1F99" w:rsidP="00CF1F99">
      <w:pPr>
        <w:shd w:val="clear" w:color="auto" w:fill="FFFFFF"/>
        <w:rPr>
          <w:rFonts w:ascii="Times" w:eastAsia="Times New Roman" w:hAnsi="Times" w:cs="Times New Roman"/>
          <w:color w:val="000000"/>
          <w:sz w:val="16"/>
          <w:szCs w:val="16"/>
        </w:rPr>
      </w:pPr>
      <w:r w:rsidRPr="00CF1F99">
        <w:rPr>
          <w:rFonts w:ascii="Times" w:eastAsia="Times New Roman" w:hAnsi="Times" w:cs="Times New Roman"/>
          <w:color w:val="000000"/>
          <w:sz w:val="16"/>
          <w:szCs w:val="16"/>
        </w:rPr>
        <w:t> </w:t>
      </w:r>
    </w:p>
    <w:tbl>
      <w:tblPr>
        <w:tblW w:w="5000" w:type="pct"/>
        <w:jc w:val="center"/>
        <w:tblCellMar>
          <w:left w:w="0" w:type="dxa"/>
          <w:right w:w="0" w:type="dxa"/>
        </w:tblCellMar>
        <w:tblLook w:val="04A0" w:firstRow="1" w:lastRow="0" w:firstColumn="1" w:lastColumn="0" w:noHBand="0" w:noVBand="1"/>
      </w:tblPr>
      <w:tblGrid>
        <w:gridCol w:w="186"/>
        <w:gridCol w:w="94"/>
        <w:gridCol w:w="26"/>
        <w:gridCol w:w="94"/>
        <w:gridCol w:w="4480"/>
        <w:gridCol w:w="94"/>
        <w:gridCol w:w="4386"/>
      </w:tblGrid>
      <w:tr w:rsidR="00CF1F99" w:rsidRPr="00CF1F99" w:rsidTr="00CF1F99">
        <w:trPr>
          <w:jc w:val="center"/>
        </w:trPr>
        <w:tc>
          <w:tcPr>
            <w:tcW w:w="100" w:type="pct"/>
            <w:vAlign w:val="center"/>
            <w:hideMark/>
          </w:tcPr>
          <w:p w:rsidR="00CF1F99" w:rsidRPr="00CF1F99" w:rsidRDefault="00CF1F99" w:rsidP="00CF1F99">
            <w:pPr>
              <w:rPr>
                <w:rFonts w:ascii="Times" w:eastAsia="Times New Roman" w:hAnsi="Times" w:cs="Times New Roman"/>
                <w:color w:val="000000"/>
                <w:sz w:val="16"/>
                <w:szCs w:val="16"/>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400" w:type="pct"/>
            <w:vAlign w:val="center"/>
            <w:hideMark/>
          </w:tcPr>
          <w:p w:rsidR="00CF1F99" w:rsidRPr="00CF1F99" w:rsidRDefault="00CF1F99" w:rsidP="00CF1F99">
            <w:pPr>
              <w:rPr>
                <w:rFonts w:ascii="Times New Roman" w:eastAsia="Times New Roman" w:hAnsi="Times New Roman" w:cs="Times New Roman"/>
                <w:sz w:val="20"/>
                <w:szCs w:val="20"/>
              </w:rPr>
            </w:pPr>
          </w:p>
        </w:tc>
        <w:tc>
          <w:tcPr>
            <w:tcW w:w="50" w:type="pct"/>
            <w:vAlign w:val="bottom"/>
            <w:hideMark/>
          </w:tcPr>
          <w:p w:rsidR="00CF1F99" w:rsidRPr="00CF1F99" w:rsidRDefault="00CF1F99" w:rsidP="00CF1F99">
            <w:pPr>
              <w:rPr>
                <w:rFonts w:ascii="Times New Roman" w:eastAsia="Times New Roman" w:hAnsi="Times New Roman" w:cs="Times New Roman"/>
                <w:sz w:val="20"/>
                <w:szCs w:val="20"/>
              </w:rPr>
            </w:pPr>
          </w:p>
        </w:tc>
        <w:tc>
          <w:tcPr>
            <w:tcW w:w="2350" w:type="pct"/>
            <w:vAlign w:val="center"/>
            <w:hideMark/>
          </w:tcPr>
          <w:p w:rsidR="00CF1F99" w:rsidRPr="00CF1F99" w:rsidRDefault="00CF1F99" w:rsidP="00CF1F99">
            <w:pPr>
              <w:rPr>
                <w:rFonts w:ascii="Times New Roman" w:eastAsia="Times New Roman" w:hAnsi="Times New Roman" w:cs="Times New Roman"/>
                <w:sz w:val="20"/>
                <w:szCs w:val="20"/>
              </w:rPr>
            </w:pPr>
          </w:p>
        </w:tc>
      </w:tr>
      <w:tr w:rsidR="00CF1F99" w:rsidRPr="00CF1F99" w:rsidTr="00CF1F99">
        <w:trPr>
          <w:jc w:val="center"/>
        </w:trPr>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tcBorders>
              <w:bottom w:val="single" w:sz="24" w:space="0" w:color="B2B2B2"/>
            </w:tcBorders>
            <w:vAlign w:val="center"/>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Merge w:val="restart"/>
            <w:vAlign w:val="center"/>
            <w:hideMark/>
          </w:tcPr>
          <w:p w:rsidR="00CF1F99" w:rsidRPr="00CF1F99" w:rsidRDefault="00CF1F99" w:rsidP="00CF1F99">
            <w:pPr>
              <w:rPr>
                <w:rFonts w:ascii="Arial" w:eastAsia="Times New Roman" w:hAnsi="Arial" w:cs="Arial"/>
                <w:sz w:val="6"/>
                <w:szCs w:val="6"/>
              </w:rPr>
            </w:pPr>
            <w:r w:rsidRPr="00CF1F99">
              <w:rPr>
                <w:rFonts w:ascii="Arial" w:eastAsia="Times New Roman" w:hAnsi="Arial" w:cs="Arial"/>
                <w:sz w:val="6"/>
                <w:szCs w:val="6"/>
              </w:rPr>
              <w:t> </w:t>
            </w:r>
          </w:p>
          <w:p w:rsidR="00CF1F99" w:rsidRPr="00CF1F99" w:rsidRDefault="00CF1F99" w:rsidP="00CF1F99">
            <w:pPr>
              <w:rPr>
                <w:rFonts w:ascii="Arial" w:eastAsia="Times New Roman" w:hAnsi="Arial" w:cs="Arial"/>
                <w:sz w:val="9"/>
                <w:szCs w:val="9"/>
              </w:rPr>
            </w:pPr>
            <w:r w:rsidRPr="00CF1F99">
              <w:rPr>
                <w:rFonts w:ascii="Arial" w:eastAsia="Times New Roman" w:hAnsi="Arial" w:cs="Arial"/>
                <w:b/>
                <w:bCs/>
                <w:sz w:val="14"/>
                <w:szCs w:val="14"/>
              </w:rPr>
              <w:t>154</w:t>
            </w:r>
            <w:r w:rsidRPr="00CF1F99">
              <w:rPr>
                <w:rFonts w:ascii="Arial" w:eastAsia="Times New Roman" w:hAnsi="Arial" w:cs="Arial"/>
                <w:sz w:val="9"/>
                <w:szCs w:val="9"/>
              </w:rPr>
              <w:t>    </w:t>
            </w:r>
          </w:p>
          <w:p w:rsidR="00CF1F99" w:rsidRPr="00CF1F99" w:rsidRDefault="00CF1F99" w:rsidP="00CF1F99">
            <w:pPr>
              <w:spacing w:after="20"/>
              <w:rPr>
                <w:rFonts w:ascii="Arial" w:eastAsia="Times New Roman" w:hAnsi="Arial" w:cs="Arial"/>
                <w:sz w:val="4"/>
                <w:szCs w:val="4"/>
              </w:rPr>
            </w:pPr>
            <w:r w:rsidRPr="00CF1F99">
              <w:rPr>
                <w:rFonts w:ascii="Arial" w:eastAsia="Times New Roman" w:hAnsi="Arial" w:cs="Arial"/>
                <w:sz w:val="4"/>
                <w:szCs w:val="4"/>
              </w:rPr>
              <w:t> </w:t>
            </w: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r w:rsidR="00CF1F99" w:rsidRPr="00CF1F99" w:rsidTr="00CF1F99">
        <w:trPr>
          <w:jc w:val="center"/>
        </w:trPr>
        <w:tc>
          <w:tcPr>
            <w:tcW w:w="0" w:type="auto"/>
            <w:vAlign w:val="center"/>
            <w:hideMark/>
          </w:tcPr>
          <w:p w:rsidR="00CF1F99" w:rsidRPr="00CF1F99" w:rsidRDefault="00CF1F99" w:rsidP="00CF1F99">
            <w:pPr>
              <w:rPr>
                <w:rFonts w:ascii="Times New Roman" w:eastAsia="Times New Roman" w:hAnsi="Times New Roman" w:cs="Times New Roman"/>
                <w:sz w:val="20"/>
                <w:szCs w:val="20"/>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9"/>
                <w:szCs w:val="9"/>
              </w:rPr>
            </w:pPr>
          </w:p>
        </w:tc>
        <w:tc>
          <w:tcPr>
            <w:tcW w:w="0" w:type="auto"/>
            <w:vMerge/>
            <w:vAlign w:val="center"/>
            <w:hideMark/>
          </w:tcPr>
          <w:p w:rsidR="00CF1F99" w:rsidRPr="00CF1F99" w:rsidRDefault="00CF1F99" w:rsidP="00CF1F99">
            <w:pPr>
              <w:rPr>
                <w:rFonts w:ascii="Arial" w:eastAsia="Times New Roman" w:hAnsi="Arial" w:cs="Arial"/>
                <w:sz w:val="4"/>
                <w:szCs w:val="4"/>
              </w:rPr>
            </w:pPr>
          </w:p>
        </w:tc>
        <w:tc>
          <w:tcPr>
            <w:tcW w:w="0" w:type="auto"/>
            <w:vAlign w:val="bottom"/>
            <w:hideMark/>
          </w:tcPr>
          <w:p w:rsidR="00CF1F99" w:rsidRPr="00CF1F99" w:rsidRDefault="00CF1F99" w:rsidP="00CF1F99">
            <w:pPr>
              <w:rPr>
                <w:rFonts w:ascii="Arial" w:eastAsia="Times New Roman" w:hAnsi="Arial" w:cs="Arial"/>
                <w:sz w:val="9"/>
                <w:szCs w:val="9"/>
              </w:rPr>
            </w:pPr>
            <w:r w:rsidRPr="00CF1F99">
              <w:rPr>
                <w:rFonts w:ascii="Arial" w:eastAsia="Times New Roman" w:hAnsi="Arial" w:cs="Arial"/>
                <w:sz w:val="9"/>
                <w:szCs w:val="9"/>
              </w:rPr>
              <w:t> </w:t>
            </w:r>
          </w:p>
        </w:tc>
        <w:tc>
          <w:tcPr>
            <w:tcW w:w="0" w:type="auto"/>
            <w:hideMark/>
          </w:tcPr>
          <w:p w:rsidR="00CF1F99" w:rsidRPr="00CF1F99" w:rsidRDefault="00CF1F99" w:rsidP="00CF1F99">
            <w:pPr>
              <w:rPr>
                <w:rFonts w:ascii="Arial" w:eastAsia="Times New Roman" w:hAnsi="Arial" w:cs="Arial"/>
                <w:sz w:val="9"/>
                <w:szCs w:val="9"/>
              </w:rPr>
            </w:pPr>
          </w:p>
        </w:tc>
      </w:tr>
    </w:tbl>
    <w:p w:rsidR="00CF1F99" w:rsidRPr="00CF1F99" w:rsidRDefault="005A033C" w:rsidP="00CF1F99">
      <w:pPr>
        <w:rPr>
          <w:rFonts w:ascii="Times New Roman" w:eastAsia="Times New Roman" w:hAnsi="Times New Roman" w:cs="Times New Roman"/>
        </w:rPr>
      </w:pPr>
      <w:r w:rsidRPr="00CF1F99">
        <w:rPr>
          <w:rFonts w:ascii="Times New Roman" w:eastAsia="Times New Roman" w:hAnsi="Times New Roman" w:cs="Times New Roman"/>
          <w:noProof/>
        </w:rPr>
        <w:pict>
          <v:rect id="_x0000_i1025" alt="" style="width:468pt;height:3pt;mso-width-percent:0;mso-height-percent:0;mso-width-percent:0;mso-height-percent:0" o:hralign="center" o:hrstd="t" o:hrnoshade="t" o:hr="t" fillcolor="#999" stroked="f"/>
        </w:pict>
      </w:r>
    </w:p>
    <w:p w:rsidR="00CF1F99" w:rsidRPr="00CF1F99" w:rsidRDefault="00CF1F99" w:rsidP="00CF1F99">
      <w:pPr>
        <w:shd w:val="clear" w:color="auto" w:fill="FFFFFF"/>
        <w:spacing w:before="100" w:beforeAutospacing="1" w:after="100" w:afterAutospacing="1"/>
        <w:outlineLvl w:val="4"/>
        <w:rPr>
          <w:rFonts w:ascii="Times" w:eastAsia="Times New Roman" w:hAnsi="Times" w:cs="Times New Roman"/>
          <w:b/>
          <w:bCs/>
          <w:color w:val="000000"/>
          <w:sz w:val="20"/>
          <w:szCs w:val="20"/>
        </w:rPr>
      </w:pPr>
      <w:hyperlink r:id="rId14" w:anchor="toc" w:history="1">
        <w:r w:rsidRPr="00CF1F99">
          <w:rPr>
            <w:rFonts w:ascii="Times" w:eastAsia="Times New Roman" w:hAnsi="Times" w:cs="Times New Roman"/>
            <w:b/>
            <w:bCs/>
            <w:color w:val="0000FF"/>
            <w:sz w:val="20"/>
            <w:szCs w:val="20"/>
            <w:u w:val="single"/>
          </w:rPr>
          <w:t>Table of Contents</w:t>
        </w:r>
      </w:hyperlink>
    </w:p>
    <w:p w:rsidR="00CF1F99" w:rsidRPr="00CF1F99" w:rsidRDefault="00CF1F99" w:rsidP="00CF1F99">
      <w:pPr>
        <w:shd w:val="clear" w:color="auto" w:fill="FFFFFF"/>
        <w:rPr>
          <w:rFonts w:ascii="Arial" w:eastAsia="Times New Roman" w:hAnsi="Arial" w:cs="Arial"/>
          <w:color w:val="000000"/>
          <w:sz w:val="32"/>
          <w:szCs w:val="32"/>
        </w:rPr>
      </w:pPr>
      <w:r w:rsidRPr="00CF1F99">
        <w:rPr>
          <w:rFonts w:ascii="Arial" w:eastAsia="Times New Roman" w:hAnsi="Arial" w:cs="Arial"/>
          <w:b/>
          <w:bCs/>
          <w:color w:val="000000"/>
          <w:sz w:val="32"/>
          <w:szCs w:val="32"/>
        </w:rPr>
        <w:t>Executive Officers</w:t>
      </w:r>
    </w:p>
    <w:p w:rsidR="00CF1F99" w:rsidRPr="00CF1F99" w:rsidRDefault="00CF1F99" w:rsidP="00CF1F99">
      <w:pPr>
        <w:shd w:val="clear" w:color="auto" w:fill="FFFFFF"/>
        <w:rPr>
          <w:rFonts w:ascii="Times" w:eastAsia="Times New Roman" w:hAnsi="Times" w:cs="Times New Roman"/>
          <w:color w:val="000000"/>
          <w:sz w:val="26"/>
          <w:szCs w:val="26"/>
        </w:rPr>
      </w:pPr>
      <w:r w:rsidRPr="00CF1F99">
        <w:rPr>
          <w:rFonts w:ascii="Times" w:eastAsia="Times New Roman" w:hAnsi="Times" w:cs="Times New Roman"/>
          <w:color w:val="000000"/>
          <w:sz w:val="26"/>
          <w:szCs w:val="26"/>
        </w:rPr>
        <w:t> </w:t>
      </w:r>
    </w:p>
    <w:p w:rsidR="00CF1F99" w:rsidRPr="00CF1F99" w:rsidRDefault="00CF1F99" w:rsidP="00CF1F99">
      <w:pPr>
        <w:shd w:val="clear" w:color="auto" w:fill="FFFFFF"/>
        <w:rPr>
          <w:rFonts w:ascii="Arial" w:eastAsia="Times New Roman" w:hAnsi="Arial" w:cs="Arial"/>
          <w:color w:val="000000"/>
        </w:rPr>
      </w:pPr>
      <w:r w:rsidRPr="00CF1F99">
        <w:rPr>
          <w:rFonts w:ascii="Arial" w:eastAsia="Times New Roman" w:hAnsi="Arial" w:cs="Arial"/>
          <w:color w:val="000000"/>
        </w:rPr>
        <w:t xml:space="preserve">Andrew </w:t>
      </w:r>
      <w:proofErr w:type="spellStart"/>
      <w:r w:rsidRPr="00CF1F99">
        <w:rPr>
          <w:rFonts w:ascii="Arial" w:eastAsia="Times New Roman" w:hAnsi="Arial" w:cs="Arial"/>
          <w:color w:val="000000"/>
        </w:rPr>
        <w:t>Cecere</w:t>
      </w:r>
      <w:proofErr w:type="spellEnd"/>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Mr. </w:t>
      </w:r>
      <w:proofErr w:type="spellStart"/>
      <w:r w:rsidRPr="00CF1F99">
        <w:rPr>
          <w:rFonts w:ascii="Arial" w:eastAsia="Times New Roman" w:hAnsi="Arial" w:cs="Arial"/>
          <w:color w:val="000000"/>
          <w:sz w:val="17"/>
          <w:szCs w:val="17"/>
        </w:rPr>
        <w:t>Cecere</w:t>
      </w:r>
      <w:proofErr w:type="spellEnd"/>
      <w:r w:rsidRPr="00CF1F99">
        <w:rPr>
          <w:rFonts w:ascii="Arial" w:eastAsia="Times New Roman" w:hAnsi="Arial" w:cs="Arial"/>
          <w:color w:val="000000"/>
          <w:sz w:val="17"/>
          <w:szCs w:val="17"/>
        </w:rPr>
        <w:t xml:space="preserve"> is Chairman, President and Chief Executive Officer of U.S. Bancorp. Mr. </w:t>
      </w:r>
      <w:proofErr w:type="spellStart"/>
      <w:r w:rsidRPr="00CF1F99">
        <w:rPr>
          <w:rFonts w:ascii="Arial" w:eastAsia="Times New Roman" w:hAnsi="Arial" w:cs="Arial"/>
          <w:color w:val="000000"/>
          <w:sz w:val="17"/>
          <w:szCs w:val="17"/>
        </w:rPr>
        <w:t>Cecere</w:t>
      </w:r>
      <w:proofErr w:type="spellEnd"/>
      <w:r w:rsidRPr="00CF1F99">
        <w:rPr>
          <w:rFonts w:ascii="Arial" w:eastAsia="Times New Roman" w:hAnsi="Arial" w:cs="Arial"/>
          <w:color w:val="000000"/>
          <w:sz w:val="17"/>
          <w:szCs w:val="17"/>
        </w:rPr>
        <w:t xml:space="preserve">, 58, has served as President of U.S. Bancorp since January 2016, Chief Executive Officer since April 2017 and Chairman since April 2018. He also served as Vice Chairman and Chief Operating Officer from January 2015 to January 2016 and was U.S. Bancorp’s Vice Chairman and Chief Financial Officer from February 2007 until January 2015. Until that time, he served as Vice Chairman, Wealth </w:t>
      </w:r>
      <w:r w:rsidRPr="00CF1F99">
        <w:rPr>
          <w:rFonts w:ascii="Arial" w:eastAsia="Times New Roman" w:hAnsi="Arial" w:cs="Arial"/>
          <w:color w:val="000000"/>
          <w:sz w:val="17"/>
          <w:szCs w:val="17"/>
        </w:rPr>
        <w:lastRenderedPageBreak/>
        <w:t>Management and Investment Services, of U.S. Bancorp since the merger of Firstar Corporation and U.S. Bancorp in February 2001. Previously, he had served as an executive officer of the former U.S. Bancorp, including as Chief Financial Officer from May 2000 through February 2001.</w:t>
      </w:r>
    </w:p>
    <w:p w:rsidR="00CF1F99" w:rsidRPr="00CF1F99" w:rsidRDefault="00CF1F99" w:rsidP="00CF1F99">
      <w:pPr>
        <w:shd w:val="clear" w:color="auto" w:fill="FFFFFF"/>
        <w:spacing w:before="260"/>
        <w:rPr>
          <w:rFonts w:ascii="Arial" w:eastAsia="Times New Roman" w:hAnsi="Arial" w:cs="Arial"/>
          <w:color w:val="000000"/>
        </w:rPr>
      </w:pPr>
      <w:proofErr w:type="spellStart"/>
      <w:r w:rsidRPr="00CF1F99">
        <w:rPr>
          <w:rFonts w:ascii="Arial" w:eastAsia="Times New Roman" w:hAnsi="Arial" w:cs="Arial"/>
          <w:color w:val="000000"/>
        </w:rPr>
        <w:t>Ismat</w:t>
      </w:r>
      <w:proofErr w:type="spellEnd"/>
      <w:r w:rsidRPr="00CF1F99">
        <w:rPr>
          <w:rFonts w:ascii="Arial" w:eastAsia="Times New Roman" w:hAnsi="Arial" w:cs="Arial"/>
          <w:color w:val="000000"/>
        </w:rPr>
        <w:t xml:space="preserve"> Aziz</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Ms. Aziz is Executive Vice President and Chief Human Resources Officer of U.S. Bancorp. Ms. Aziz, 51, has served in this position since joining U.S. Bancorp in September 2018. She served as Chief Human Resources Officer of Sprint Corporation from May 2016 until September 2018. Ms. Aziz served as the Chief Human Resources Officer of Sam’s Club from April 2012 to April 2016, and as the Senior Vice President of Business Capability and Human Resources of Sam’s Club from August 2010 to April 2012. Prior to that time, she served as the Vice President of Business Capability and Human Resources at Sears Canada from June 2009 to August 2010.</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color w:val="000000"/>
        </w:rPr>
        <w:t xml:space="preserve">James L. </w:t>
      </w:r>
      <w:proofErr w:type="spellStart"/>
      <w:r w:rsidRPr="00CF1F99">
        <w:rPr>
          <w:rFonts w:ascii="Arial" w:eastAsia="Times New Roman" w:hAnsi="Arial" w:cs="Arial"/>
          <w:color w:val="000000"/>
        </w:rPr>
        <w:t>Chosy</w:t>
      </w:r>
      <w:proofErr w:type="spellEnd"/>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Mr. </w:t>
      </w:r>
      <w:proofErr w:type="spellStart"/>
      <w:r w:rsidRPr="00CF1F99">
        <w:rPr>
          <w:rFonts w:ascii="Arial" w:eastAsia="Times New Roman" w:hAnsi="Arial" w:cs="Arial"/>
          <w:color w:val="000000"/>
          <w:sz w:val="17"/>
          <w:szCs w:val="17"/>
        </w:rPr>
        <w:t>Chosy</w:t>
      </w:r>
      <w:proofErr w:type="spellEnd"/>
      <w:r w:rsidRPr="00CF1F99">
        <w:rPr>
          <w:rFonts w:ascii="Arial" w:eastAsia="Times New Roman" w:hAnsi="Arial" w:cs="Arial"/>
          <w:color w:val="000000"/>
          <w:sz w:val="17"/>
          <w:szCs w:val="17"/>
        </w:rPr>
        <w:t xml:space="preserve"> is Executive Vice President and General Counsel of U.S. Bancorp. Mr. </w:t>
      </w:r>
      <w:proofErr w:type="spellStart"/>
      <w:r w:rsidRPr="00CF1F99">
        <w:rPr>
          <w:rFonts w:ascii="Arial" w:eastAsia="Times New Roman" w:hAnsi="Arial" w:cs="Arial"/>
          <w:color w:val="000000"/>
          <w:sz w:val="17"/>
          <w:szCs w:val="17"/>
        </w:rPr>
        <w:t>Chosy</w:t>
      </w:r>
      <w:proofErr w:type="spellEnd"/>
      <w:r w:rsidRPr="00CF1F99">
        <w:rPr>
          <w:rFonts w:ascii="Arial" w:eastAsia="Times New Roman" w:hAnsi="Arial" w:cs="Arial"/>
          <w:color w:val="000000"/>
          <w:sz w:val="17"/>
          <w:szCs w:val="17"/>
        </w:rPr>
        <w:t xml:space="preserve">, 55, has served in this position since March 2013. He also served as Corporate Secretary of U.S. Bancorp from March 2013 until April 2016. From 2001 to 2013, he served as the General Counsel and Secretary of Piper </w:t>
      </w:r>
      <w:proofErr w:type="spellStart"/>
      <w:r w:rsidRPr="00CF1F99">
        <w:rPr>
          <w:rFonts w:ascii="Arial" w:eastAsia="Times New Roman" w:hAnsi="Arial" w:cs="Arial"/>
          <w:color w:val="000000"/>
          <w:sz w:val="17"/>
          <w:szCs w:val="17"/>
        </w:rPr>
        <w:t>Jaffray</w:t>
      </w:r>
      <w:proofErr w:type="spellEnd"/>
      <w:r w:rsidRPr="00CF1F99">
        <w:rPr>
          <w:rFonts w:ascii="Arial" w:eastAsia="Times New Roman" w:hAnsi="Arial" w:cs="Arial"/>
          <w:color w:val="000000"/>
          <w:sz w:val="17"/>
          <w:szCs w:val="17"/>
        </w:rPr>
        <w:t xml:space="preserve"> Companies. From 1995 to 2001, Mr. </w:t>
      </w:r>
      <w:proofErr w:type="spellStart"/>
      <w:r w:rsidRPr="00CF1F99">
        <w:rPr>
          <w:rFonts w:ascii="Arial" w:eastAsia="Times New Roman" w:hAnsi="Arial" w:cs="Arial"/>
          <w:color w:val="000000"/>
          <w:sz w:val="17"/>
          <w:szCs w:val="17"/>
        </w:rPr>
        <w:t>Chosy</w:t>
      </w:r>
      <w:proofErr w:type="spellEnd"/>
      <w:r w:rsidRPr="00CF1F99">
        <w:rPr>
          <w:rFonts w:ascii="Arial" w:eastAsia="Times New Roman" w:hAnsi="Arial" w:cs="Arial"/>
          <w:color w:val="000000"/>
          <w:sz w:val="17"/>
          <w:szCs w:val="17"/>
        </w:rPr>
        <w:t xml:space="preserve"> was Vice President and Associate General Counsel of U.S. Bancorp, having also served as Assistant Secretary of U.S. Bancorp from 1995 through 2000 and as Secretary from 2000 until 2001.</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color w:val="000000"/>
        </w:rPr>
        <w:t>Terrance R. Dolan</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Mr. Dolan is Vice Chairman and Chief Financial Officer of U.S. Bancorp. Mr. Dolan, 57, has served in this position since August 2016. From July 2010 to July 2016, he served as Vice Chairman, Wealth Management and Investment Services, of U.S. Bancorp. From September 1998 to July 2010, Mr. Dolan served as U.S. Bancorp’s Controller. He additionally held the title of Executive Vice President from January 2002 until June 2010 and Senior Vice President from September 1998 until January 2002.</w:t>
      </w:r>
    </w:p>
    <w:p w:rsidR="00CF1F99" w:rsidRPr="00CF1F99" w:rsidRDefault="00CF1F99" w:rsidP="00CF1F99">
      <w:pPr>
        <w:shd w:val="clear" w:color="auto" w:fill="FFFFFF"/>
        <w:rPr>
          <w:rFonts w:ascii="Arial" w:eastAsia="Times New Roman" w:hAnsi="Arial" w:cs="Arial"/>
          <w:color w:val="000000"/>
        </w:rPr>
      </w:pPr>
      <w:r w:rsidRPr="00CF1F99">
        <w:rPr>
          <w:rFonts w:ascii="Arial" w:eastAsia="Times New Roman" w:hAnsi="Arial" w:cs="Arial"/>
          <w:color w:val="000000"/>
        </w:rPr>
        <w:t>John R. Elmore</w:t>
      </w:r>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Mr. Elmore is Vice Chairman, Community Banking and Branch Delivery, of U.S. Bancorp. Mr. Elmore, 62, has served in this position since March 2013. From 1999 to 2013, he served as Executive Vice President, Community Banking, of U.S. Bancorp and its predecessor company, Firstar Corporation. Mr. Elmore will retire from U.S. Bancorp on March 1, 2019.</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color w:val="000000"/>
        </w:rPr>
        <w:t xml:space="preserve">Leslie V. </w:t>
      </w:r>
      <w:proofErr w:type="spellStart"/>
      <w:r w:rsidRPr="00CF1F99">
        <w:rPr>
          <w:rFonts w:ascii="Arial" w:eastAsia="Times New Roman" w:hAnsi="Arial" w:cs="Arial"/>
          <w:color w:val="000000"/>
        </w:rPr>
        <w:t>Godridge</w:t>
      </w:r>
      <w:proofErr w:type="spellEnd"/>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Ms. </w:t>
      </w:r>
      <w:proofErr w:type="spellStart"/>
      <w:r w:rsidRPr="00CF1F99">
        <w:rPr>
          <w:rFonts w:ascii="Arial" w:eastAsia="Times New Roman" w:hAnsi="Arial" w:cs="Arial"/>
          <w:color w:val="000000"/>
          <w:sz w:val="17"/>
          <w:szCs w:val="17"/>
        </w:rPr>
        <w:t>Godridge</w:t>
      </w:r>
      <w:proofErr w:type="spellEnd"/>
      <w:r w:rsidRPr="00CF1F99">
        <w:rPr>
          <w:rFonts w:ascii="Arial" w:eastAsia="Times New Roman" w:hAnsi="Arial" w:cs="Arial"/>
          <w:color w:val="000000"/>
          <w:sz w:val="17"/>
          <w:szCs w:val="17"/>
        </w:rPr>
        <w:t xml:space="preserve"> is Vice Chairman, Corporate and Commercial Banking, of U.S. Bancorp. Ms. </w:t>
      </w:r>
      <w:proofErr w:type="spellStart"/>
      <w:r w:rsidRPr="00CF1F99">
        <w:rPr>
          <w:rFonts w:ascii="Arial" w:eastAsia="Times New Roman" w:hAnsi="Arial" w:cs="Arial"/>
          <w:color w:val="000000"/>
          <w:sz w:val="17"/>
          <w:szCs w:val="17"/>
        </w:rPr>
        <w:t>Godridge</w:t>
      </w:r>
      <w:proofErr w:type="spellEnd"/>
      <w:r w:rsidRPr="00CF1F99">
        <w:rPr>
          <w:rFonts w:ascii="Arial" w:eastAsia="Times New Roman" w:hAnsi="Arial" w:cs="Arial"/>
          <w:color w:val="000000"/>
          <w:sz w:val="17"/>
          <w:szCs w:val="17"/>
        </w:rPr>
        <w:t>, 63, has served in this position since January 2016. From February 2013 until December 2015, she served as Executive Vice President, National Corporate Specialized Industries and Global Treasury Management, of U.S. Bancorp. From February 2007, when she joined U.S. Bancorp, until January 2013, Ms. </w:t>
      </w:r>
      <w:proofErr w:type="spellStart"/>
      <w:r w:rsidRPr="00CF1F99">
        <w:rPr>
          <w:rFonts w:ascii="Arial" w:eastAsia="Times New Roman" w:hAnsi="Arial" w:cs="Arial"/>
          <w:color w:val="000000"/>
          <w:sz w:val="17"/>
          <w:szCs w:val="17"/>
        </w:rPr>
        <w:t>Godridge</w:t>
      </w:r>
      <w:proofErr w:type="spellEnd"/>
      <w:r w:rsidRPr="00CF1F99">
        <w:rPr>
          <w:rFonts w:ascii="Arial" w:eastAsia="Times New Roman" w:hAnsi="Arial" w:cs="Arial"/>
          <w:color w:val="000000"/>
          <w:sz w:val="17"/>
          <w:szCs w:val="17"/>
        </w:rPr>
        <w:t xml:space="preserve"> served as Executive Vice President, National Corporate and Institutional Banking, of U.S. Bancorp. Prior to that time, she served as Senior Executive Vice President and a member of the Executive Committee at The Bank of New York, where she was head of BNY Asset Management, Private Banking, Consumer Banking and Regional Commercial Banking from 2004 to 2006.</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color w:val="000000"/>
        </w:rPr>
        <w:t xml:space="preserve">Gunjan </w:t>
      </w:r>
      <w:proofErr w:type="spellStart"/>
      <w:r w:rsidRPr="00CF1F99">
        <w:rPr>
          <w:rFonts w:ascii="Arial" w:eastAsia="Times New Roman" w:hAnsi="Arial" w:cs="Arial"/>
          <w:color w:val="000000"/>
        </w:rPr>
        <w:t>Kedia</w:t>
      </w:r>
      <w:proofErr w:type="spellEnd"/>
    </w:p>
    <w:p w:rsidR="00CF1F99" w:rsidRPr="00CF1F99" w:rsidRDefault="00CF1F99" w:rsidP="00CF1F99">
      <w:pPr>
        <w:shd w:val="clear" w:color="auto" w:fill="FFFFFF"/>
        <w:spacing w:before="80"/>
        <w:rPr>
          <w:rFonts w:ascii="Arial" w:eastAsia="Times New Roman" w:hAnsi="Arial" w:cs="Arial"/>
          <w:color w:val="000000"/>
          <w:sz w:val="17"/>
          <w:szCs w:val="17"/>
        </w:rPr>
      </w:pPr>
      <w:r w:rsidRPr="00CF1F99">
        <w:rPr>
          <w:rFonts w:ascii="Arial" w:eastAsia="Times New Roman" w:hAnsi="Arial" w:cs="Arial"/>
          <w:color w:val="000000"/>
          <w:sz w:val="17"/>
          <w:szCs w:val="17"/>
        </w:rPr>
        <w:t>Ms. </w:t>
      </w:r>
      <w:proofErr w:type="spellStart"/>
      <w:r w:rsidRPr="00CF1F99">
        <w:rPr>
          <w:rFonts w:ascii="Arial" w:eastAsia="Times New Roman" w:hAnsi="Arial" w:cs="Arial"/>
          <w:color w:val="000000"/>
          <w:sz w:val="17"/>
          <w:szCs w:val="17"/>
        </w:rPr>
        <w:t>Kedia</w:t>
      </w:r>
      <w:proofErr w:type="spellEnd"/>
      <w:r w:rsidRPr="00CF1F99">
        <w:rPr>
          <w:rFonts w:ascii="Arial" w:eastAsia="Times New Roman" w:hAnsi="Arial" w:cs="Arial"/>
          <w:color w:val="000000"/>
          <w:sz w:val="17"/>
          <w:szCs w:val="17"/>
        </w:rPr>
        <w:t xml:space="preserve"> is Vice Chairman, Wealth Management and Investment Services, of U.S. Bancorp. Ms. </w:t>
      </w:r>
      <w:proofErr w:type="spellStart"/>
      <w:r w:rsidRPr="00CF1F99">
        <w:rPr>
          <w:rFonts w:ascii="Arial" w:eastAsia="Times New Roman" w:hAnsi="Arial" w:cs="Arial"/>
          <w:color w:val="000000"/>
          <w:sz w:val="17"/>
          <w:szCs w:val="17"/>
        </w:rPr>
        <w:t>Kedia</w:t>
      </w:r>
      <w:proofErr w:type="spellEnd"/>
      <w:r w:rsidRPr="00CF1F99">
        <w:rPr>
          <w:rFonts w:ascii="Arial" w:eastAsia="Times New Roman" w:hAnsi="Arial" w:cs="Arial"/>
          <w:color w:val="000000"/>
          <w:sz w:val="17"/>
          <w:szCs w:val="17"/>
        </w:rPr>
        <w:t>, 48, has served in this position since joining U.S. Bancorp in December 2016. From October 2008 until May 2016, she served as Executive Vice President of State Street Corporation where she led the core investment servicing business in North and South America and served as a member of State Street’s management committee, its senior most strategy and policy committee. Previously, Ms. </w:t>
      </w:r>
      <w:proofErr w:type="spellStart"/>
      <w:r w:rsidRPr="00CF1F99">
        <w:rPr>
          <w:rFonts w:ascii="Arial" w:eastAsia="Times New Roman" w:hAnsi="Arial" w:cs="Arial"/>
          <w:color w:val="000000"/>
          <w:sz w:val="17"/>
          <w:szCs w:val="17"/>
        </w:rPr>
        <w:t>Kedia</w:t>
      </w:r>
      <w:proofErr w:type="spellEnd"/>
      <w:r w:rsidRPr="00CF1F99">
        <w:rPr>
          <w:rFonts w:ascii="Arial" w:eastAsia="Times New Roman" w:hAnsi="Arial" w:cs="Arial"/>
          <w:color w:val="000000"/>
          <w:sz w:val="17"/>
          <w:szCs w:val="17"/>
        </w:rPr>
        <w:t xml:space="preserve"> was an Executive Vice President of global product management at Bank of New York Mellon from 2004 to 2008.</w:t>
      </w:r>
    </w:p>
    <w:p w:rsidR="00CF1F99" w:rsidRPr="00CF1F99" w:rsidRDefault="00CF1F99" w:rsidP="00CF1F99">
      <w:pPr>
        <w:shd w:val="clear" w:color="auto" w:fill="FFFFFF"/>
        <w:spacing w:before="260"/>
        <w:rPr>
          <w:rFonts w:ascii="Arial" w:eastAsia="Times New Roman" w:hAnsi="Arial" w:cs="Arial"/>
          <w:color w:val="000000"/>
        </w:rPr>
      </w:pPr>
      <w:r w:rsidRPr="00CF1F99">
        <w:rPr>
          <w:rFonts w:ascii="Arial" w:eastAsia="Times New Roman" w:hAnsi="Arial" w:cs="Arial"/>
          <w:color w:val="000000"/>
        </w:rPr>
        <w:t>James </w:t>
      </w:r>
    </w:p>
    <w:p w:rsidR="00CF1F99" w:rsidRDefault="00CF1F99"/>
    <w:sectPr w:rsidR="00CF1F99" w:rsidSect="003F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99"/>
    <w:rsid w:val="003F5A0D"/>
    <w:rsid w:val="005A033C"/>
    <w:rsid w:val="00CF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E182"/>
  <w15:chartTrackingRefBased/>
  <w15:docId w15:val="{3B880840-7F7C-F54C-9A3E-68962B4C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F1F9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F9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F1F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1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0328">
      <w:bodyDiv w:val="1"/>
      <w:marLeft w:val="0"/>
      <w:marRight w:val="0"/>
      <w:marTop w:val="0"/>
      <w:marBottom w:val="0"/>
      <w:divBdr>
        <w:top w:val="none" w:sz="0" w:space="0" w:color="auto"/>
        <w:left w:val="none" w:sz="0" w:space="0" w:color="auto"/>
        <w:bottom w:val="none" w:sz="0" w:space="0" w:color="auto"/>
        <w:right w:val="none" w:sz="0" w:space="0" w:color="auto"/>
      </w:divBdr>
    </w:div>
    <w:div w:id="1212573435">
      <w:bodyDiv w:val="1"/>
      <w:marLeft w:val="0"/>
      <w:marRight w:val="0"/>
      <w:marTop w:val="0"/>
      <w:marBottom w:val="0"/>
      <w:divBdr>
        <w:top w:val="none" w:sz="0" w:space="0" w:color="auto"/>
        <w:left w:val="none" w:sz="0" w:space="0" w:color="auto"/>
        <w:bottom w:val="none" w:sz="0" w:space="0" w:color="auto"/>
        <w:right w:val="none" w:sz="0" w:space="0" w:color="auto"/>
      </w:divBdr>
      <w:divsChild>
        <w:div w:id="1990592398">
          <w:marLeft w:val="367"/>
          <w:marRight w:val="0"/>
          <w:marTop w:val="0"/>
          <w:marBottom w:val="0"/>
          <w:divBdr>
            <w:top w:val="none" w:sz="0" w:space="0" w:color="auto"/>
            <w:left w:val="none" w:sz="0" w:space="0" w:color="auto"/>
            <w:bottom w:val="none" w:sz="0" w:space="0" w:color="auto"/>
            <w:right w:val="none" w:sz="0" w:space="0" w:color="auto"/>
          </w:divBdr>
        </w:div>
        <w:div w:id="1272393817">
          <w:marLeft w:val="0"/>
          <w:marRight w:val="0"/>
          <w:marTop w:val="0"/>
          <w:marBottom w:val="0"/>
          <w:divBdr>
            <w:top w:val="none" w:sz="0" w:space="0" w:color="auto"/>
            <w:left w:val="none" w:sz="0" w:space="0" w:color="auto"/>
            <w:bottom w:val="none" w:sz="0" w:space="0" w:color="auto"/>
            <w:right w:val="none" w:sz="0" w:space="0" w:color="auto"/>
          </w:divBdr>
        </w:div>
        <w:div w:id="551619988">
          <w:marLeft w:val="0"/>
          <w:marRight w:val="0"/>
          <w:marTop w:val="0"/>
          <w:marBottom w:val="0"/>
          <w:divBdr>
            <w:top w:val="none" w:sz="0" w:space="0" w:color="auto"/>
            <w:left w:val="none" w:sz="0" w:space="0" w:color="auto"/>
            <w:bottom w:val="none" w:sz="0" w:space="0" w:color="auto"/>
            <w:right w:val="none" w:sz="0" w:space="0" w:color="auto"/>
          </w:divBdr>
        </w:div>
        <w:div w:id="1688559521">
          <w:marLeft w:val="367"/>
          <w:marRight w:val="0"/>
          <w:marTop w:val="0"/>
          <w:marBottom w:val="0"/>
          <w:divBdr>
            <w:top w:val="none" w:sz="0" w:space="0" w:color="auto"/>
            <w:left w:val="none" w:sz="0" w:space="0" w:color="auto"/>
            <w:bottom w:val="none" w:sz="0" w:space="0" w:color="auto"/>
            <w:right w:val="none" w:sz="0" w:space="0" w:color="auto"/>
          </w:divBdr>
        </w:div>
        <w:div w:id="1298687526">
          <w:marLeft w:val="0"/>
          <w:marRight w:val="0"/>
          <w:marTop w:val="0"/>
          <w:marBottom w:val="0"/>
          <w:divBdr>
            <w:top w:val="none" w:sz="0" w:space="0" w:color="auto"/>
            <w:left w:val="none" w:sz="0" w:space="0" w:color="auto"/>
            <w:bottom w:val="none" w:sz="0" w:space="0" w:color="auto"/>
            <w:right w:val="none" w:sz="0" w:space="0" w:color="auto"/>
          </w:divBdr>
        </w:div>
        <w:div w:id="421226372">
          <w:marLeft w:val="0"/>
          <w:marRight w:val="0"/>
          <w:marTop w:val="0"/>
          <w:marBottom w:val="0"/>
          <w:divBdr>
            <w:top w:val="none" w:sz="0" w:space="0" w:color="auto"/>
            <w:left w:val="none" w:sz="0" w:space="0" w:color="auto"/>
            <w:bottom w:val="none" w:sz="0" w:space="0" w:color="auto"/>
            <w:right w:val="none" w:sz="0" w:space="0" w:color="auto"/>
          </w:divBdr>
        </w:div>
        <w:div w:id="1776051083">
          <w:marLeft w:val="367"/>
          <w:marRight w:val="0"/>
          <w:marTop w:val="0"/>
          <w:marBottom w:val="0"/>
          <w:divBdr>
            <w:top w:val="none" w:sz="0" w:space="0" w:color="auto"/>
            <w:left w:val="none" w:sz="0" w:space="0" w:color="auto"/>
            <w:bottom w:val="none" w:sz="0" w:space="0" w:color="auto"/>
            <w:right w:val="none" w:sz="0" w:space="0" w:color="auto"/>
          </w:divBdr>
        </w:div>
        <w:div w:id="26612956">
          <w:marLeft w:val="0"/>
          <w:marRight w:val="0"/>
          <w:marTop w:val="0"/>
          <w:marBottom w:val="0"/>
          <w:divBdr>
            <w:top w:val="none" w:sz="0" w:space="0" w:color="auto"/>
            <w:left w:val="none" w:sz="0" w:space="0" w:color="auto"/>
            <w:bottom w:val="none" w:sz="0" w:space="0" w:color="auto"/>
            <w:right w:val="none" w:sz="0" w:space="0" w:color="auto"/>
          </w:divBdr>
        </w:div>
        <w:div w:id="33887737">
          <w:marLeft w:val="0"/>
          <w:marRight w:val="0"/>
          <w:marTop w:val="0"/>
          <w:marBottom w:val="0"/>
          <w:divBdr>
            <w:top w:val="none" w:sz="0" w:space="0" w:color="auto"/>
            <w:left w:val="none" w:sz="0" w:space="0" w:color="auto"/>
            <w:bottom w:val="none" w:sz="0" w:space="0" w:color="auto"/>
            <w:right w:val="none" w:sz="0" w:space="0" w:color="auto"/>
          </w:divBdr>
        </w:div>
        <w:div w:id="1839536861">
          <w:marLeft w:val="367"/>
          <w:marRight w:val="0"/>
          <w:marTop w:val="0"/>
          <w:marBottom w:val="0"/>
          <w:divBdr>
            <w:top w:val="none" w:sz="0" w:space="0" w:color="auto"/>
            <w:left w:val="none" w:sz="0" w:space="0" w:color="auto"/>
            <w:bottom w:val="none" w:sz="0" w:space="0" w:color="auto"/>
            <w:right w:val="none" w:sz="0" w:space="0" w:color="auto"/>
          </w:divBdr>
        </w:div>
        <w:div w:id="420031726">
          <w:marLeft w:val="0"/>
          <w:marRight w:val="0"/>
          <w:marTop w:val="0"/>
          <w:marBottom w:val="0"/>
          <w:divBdr>
            <w:top w:val="none" w:sz="0" w:space="0" w:color="auto"/>
            <w:left w:val="none" w:sz="0" w:space="0" w:color="auto"/>
            <w:bottom w:val="none" w:sz="0" w:space="0" w:color="auto"/>
            <w:right w:val="none" w:sz="0" w:space="0" w:color="auto"/>
          </w:divBdr>
        </w:div>
        <w:div w:id="356319633">
          <w:marLeft w:val="0"/>
          <w:marRight w:val="0"/>
          <w:marTop w:val="0"/>
          <w:marBottom w:val="0"/>
          <w:divBdr>
            <w:top w:val="none" w:sz="0" w:space="0" w:color="auto"/>
            <w:left w:val="none" w:sz="0" w:space="0" w:color="auto"/>
            <w:bottom w:val="none" w:sz="0" w:space="0" w:color="auto"/>
            <w:right w:val="none" w:sz="0" w:space="0" w:color="auto"/>
          </w:divBdr>
        </w:div>
        <w:div w:id="567347858">
          <w:marLeft w:val="367"/>
          <w:marRight w:val="0"/>
          <w:marTop w:val="0"/>
          <w:marBottom w:val="0"/>
          <w:divBdr>
            <w:top w:val="none" w:sz="0" w:space="0" w:color="auto"/>
            <w:left w:val="none" w:sz="0" w:space="0" w:color="auto"/>
            <w:bottom w:val="none" w:sz="0" w:space="0" w:color="auto"/>
            <w:right w:val="none" w:sz="0" w:space="0" w:color="auto"/>
          </w:divBdr>
        </w:div>
        <w:div w:id="89859279">
          <w:marLeft w:val="0"/>
          <w:marRight w:val="0"/>
          <w:marTop w:val="0"/>
          <w:marBottom w:val="0"/>
          <w:divBdr>
            <w:top w:val="none" w:sz="0" w:space="0" w:color="auto"/>
            <w:left w:val="none" w:sz="0" w:space="0" w:color="auto"/>
            <w:bottom w:val="none" w:sz="0" w:space="0" w:color="auto"/>
            <w:right w:val="none" w:sz="0" w:space="0" w:color="auto"/>
          </w:divBdr>
        </w:div>
        <w:div w:id="1650666302">
          <w:marLeft w:val="0"/>
          <w:marRight w:val="0"/>
          <w:marTop w:val="0"/>
          <w:marBottom w:val="0"/>
          <w:divBdr>
            <w:top w:val="none" w:sz="0" w:space="0" w:color="auto"/>
            <w:left w:val="none" w:sz="0" w:space="0" w:color="auto"/>
            <w:bottom w:val="none" w:sz="0" w:space="0" w:color="auto"/>
            <w:right w:val="none" w:sz="0" w:space="0" w:color="auto"/>
          </w:divBdr>
        </w:div>
        <w:div w:id="250165971">
          <w:marLeft w:val="367"/>
          <w:marRight w:val="0"/>
          <w:marTop w:val="0"/>
          <w:marBottom w:val="0"/>
          <w:divBdr>
            <w:top w:val="none" w:sz="0" w:space="0" w:color="auto"/>
            <w:left w:val="none" w:sz="0" w:space="0" w:color="auto"/>
            <w:bottom w:val="none" w:sz="0" w:space="0" w:color="auto"/>
            <w:right w:val="none" w:sz="0" w:space="0" w:color="auto"/>
          </w:divBdr>
        </w:div>
        <w:div w:id="934631810">
          <w:marLeft w:val="0"/>
          <w:marRight w:val="0"/>
          <w:marTop w:val="0"/>
          <w:marBottom w:val="0"/>
          <w:divBdr>
            <w:top w:val="none" w:sz="0" w:space="0" w:color="auto"/>
            <w:left w:val="none" w:sz="0" w:space="0" w:color="auto"/>
            <w:bottom w:val="none" w:sz="0" w:space="0" w:color="auto"/>
            <w:right w:val="none" w:sz="0" w:space="0" w:color="auto"/>
          </w:divBdr>
        </w:div>
        <w:div w:id="2028824495">
          <w:marLeft w:val="0"/>
          <w:marRight w:val="0"/>
          <w:marTop w:val="0"/>
          <w:marBottom w:val="0"/>
          <w:divBdr>
            <w:top w:val="none" w:sz="0" w:space="0" w:color="auto"/>
            <w:left w:val="none" w:sz="0" w:space="0" w:color="auto"/>
            <w:bottom w:val="none" w:sz="0" w:space="0" w:color="auto"/>
            <w:right w:val="none" w:sz="0" w:space="0" w:color="auto"/>
          </w:divBdr>
        </w:div>
        <w:div w:id="1014502171">
          <w:marLeft w:val="367"/>
          <w:marRight w:val="0"/>
          <w:marTop w:val="0"/>
          <w:marBottom w:val="0"/>
          <w:divBdr>
            <w:top w:val="none" w:sz="0" w:space="0" w:color="auto"/>
            <w:left w:val="none" w:sz="0" w:space="0" w:color="auto"/>
            <w:bottom w:val="none" w:sz="0" w:space="0" w:color="auto"/>
            <w:right w:val="none" w:sz="0" w:space="0" w:color="auto"/>
          </w:divBdr>
        </w:div>
        <w:div w:id="2081831323">
          <w:marLeft w:val="0"/>
          <w:marRight w:val="0"/>
          <w:marTop w:val="0"/>
          <w:marBottom w:val="0"/>
          <w:divBdr>
            <w:top w:val="none" w:sz="0" w:space="0" w:color="auto"/>
            <w:left w:val="none" w:sz="0" w:space="0" w:color="auto"/>
            <w:bottom w:val="none" w:sz="0" w:space="0" w:color="auto"/>
            <w:right w:val="none" w:sz="0" w:space="0" w:color="auto"/>
          </w:divBdr>
        </w:div>
        <w:div w:id="1432821200">
          <w:marLeft w:val="0"/>
          <w:marRight w:val="0"/>
          <w:marTop w:val="0"/>
          <w:marBottom w:val="0"/>
          <w:divBdr>
            <w:top w:val="none" w:sz="0" w:space="0" w:color="auto"/>
            <w:left w:val="none" w:sz="0" w:space="0" w:color="auto"/>
            <w:bottom w:val="none" w:sz="0" w:space="0" w:color="auto"/>
            <w:right w:val="none" w:sz="0" w:space="0" w:color="auto"/>
          </w:divBdr>
        </w:div>
        <w:div w:id="1481341513">
          <w:marLeft w:val="367"/>
          <w:marRight w:val="0"/>
          <w:marTop w:val="0"/>
          <w:marBottom w:val="0"/>
          <w:divBdr>
            <w:top w:val="none" w:sz="0" w:space="0" w:color="auto"/>
            <w:left w:val="none" w:sz="0" w:space="0" w:color="auto"/>
            <w:bottom w:val="none" w:sz="0" w:space="0" w:color="auto"/>
            <w:right w:val="none" w:sz="0" w:space="0" w:color="auto"/>
          </w:divBdr>
        </w:div>
        <w:div w:id="2012053176">
          <w:marLeft w:val="0"/>
          <w:marRight w:val="0"/>
          <w:marTop w:val="0"/>
          <w:marBottom w:val="0"/>
          <w:divBdr>
            <w:top w:val="none" w:sz="0" w:space="0" w:color="auto"/>
            <w:left w:val="none" w:sz="0" w:space="0" w:color="auto"/>
            <w:bottom w:val="none" w:sz="0" w:space="0" w:color="auto"/>
            <w:right w:val="none" w:sz="0" w:space="0" w:color="auto"/>
          </w:divBdr>
        </w:div>
        <w:div w:id="117921271">
          <w:marLeft w:val="0"/>
          <w:marRight w:val="0"/>
          <w:marTop w:val="0"/>
          <w:marBottom w:val="0"/>
          <w:divBdr>
            <w:top w:val="none" w:sz="0" w:space="0" w:color="auto"/>
            <w:left w:val="none" w:sz="0" w:space="0" w:color="auto"/>
            <w:bottom w:val="none" w:sz="0" w:space="0" w:color="auto"/>
            <w:right w:val="none" w:sz="0" w:space="0" w:color="auto"/>
          </w:divBdr>
        </w:div>
        <w:div w:id="272784588">
          <w:marLeft w:val="367"/>
          <w:marRight w:val="0"/>
          <w:marTop w:val="0"/>
          <w:marBottom w:val="0"/>
          <w:divBdr>
            <w:top w:val="none" w:sz="0" w:space="0" w:color="auto"/>
            <w:left w:val="none" w:sz="0" w:space="0" w:color="auto"/>
            <w:bottom w:val="none" w:sz="0" w:space="0" w:color="auto"/>
            <w:right w:val="none" w:sz="0" w:space="0" w:color="auto"/>
          </w:divBdr>
        </w:div>
        <w:div w:id="579801170">
          <w:marLeft w:val="0"/>
          <w:marRight w:val="0"/>
          <w:marTop w:val="0"/>
          <w:marBottom w:val="0"/>
          <w:divBdr>
            <w:top w:val="none" w:sz="0" w:space="0" w:color="auto"/>
            <w:left w:val="none" w:sz="0" w:space="0" w:color="auto"/>
            <w:bottom w:val="none" w:sz="0" w:space="0" w:color="auto"/>
            <w:right w:val="none" w:sz="0" w:space="0" w:color="auto"/>
          </w:divBdr>
        </w:div>
        <w:div w:id="2066563445">
          <w:marLeft w:val="0"/>
          <w:marRight w:val="0"/>
          <w:marTop w:val="0"/>
          <w:marBottom w:val="0"/>
          <w:divBdr>
            <w:top w:val="none" w:sz="0" w:space="0" w:color="auto"/>
            <w:left w:val="none" w:sz="0" w:space="0" w:color="auto"/>
            <w:bottom w:val="none" w:sz="0" w:space="0" w:color="auto"/>
            <w:right w:val="none" w:sz="0" w:space="0" w:color="auto"/>
          </w:divBdr>
        </w:div>
        <w:div w:id="1058430909">
          <w:marLeft w:val="367"/>
          <w:marRight w:val="0"/>
          <w:marTop w:val="0"/>
          <w:marBottom w:val="0"/>
          <w:divBdr>
            <w:top w:val="none" w:sz="0" w:space="0" w:color="auto"/>
            <w:left w:val="none" w:sz="0" w:space="0" w:color="auto"/>
            <w:bottom w:val="none" w:sz="0" w:space="0" w:color="auto"/>
            <w:right w:val="none" w:sz="0" w:space="0" w:color="auto"/>
          </w:divBdr>
        </w:div>
        <w:div w:id="136656144">
          <w:marLeft w:val="0"/>
          <w:marRight w:val="0"/>
          <w:marTop w:val="0"/>
          <w:marBottom w:val="0"/>
          <w:divBdr>
            <w:top w:val="none" w:sz="0" w:space="0" w:color="auto"/>
            <w:left w:val="none" w:sz="0" w:space="0" w:color="auto"/>
            <w:bottom w:val="none" w:sz="0" w:space="0" w:color="auto"/>
            <w:right w:val="none" w:sz="0" w:space="0" w:color="auto"/>
          </w:divBdr>
        </w:div>
        <w:div w:id="237909308">
          <w:marLeft w:val="0"/>
          <w:marRight w:val="0"/>
          <w:marTop w:val="0"/>
          <w:marBottom w:val="0"/>
          <w:divBdr>
            <w:top w:val="none" w:sz="0" w:space="0" w:color="auto"/>
            <w:left w:val="none" w:sz="0" w:space="0" w:color="auto"/>
            <w:bottom w:val="none" w:sz="0" w:space="0" w:color="auto"/>
            <w:right w:val="none" w:sz="0" w:space="0" w:color="auto"/>
          </w:divBdr>
        </w:div>
        <w:div w:id="1559053537">
          <w:marLeft w:val="367"/>
          <w:marRight w:val="0"/>
          <w:marTop w:val="0"/>
          <w:marBottom w:val="0"/>
          <w:divBdr>
            <w:top w:val="none" w:sz="0" w:space="0" w:color="auto"/>
            <w:left w:val="none" w:sz="0" w:space="0" w:color="auto"/>
            <w:bottom w:val="none" w:sz="0" w:space="0" w:color="auto"/>
            <w:right w:val="none" w:sz="0" w:space="0" w:color="auto"/>
          </w:divBdr>
        </w:div>
        <w:div w:id="391389207">
          <w:marLeft w:val="0"/>
          <w:marRight w:val="0"/>
          <w:marTop w:val="0"/>
          <w:marBottom w:val="0"/>
          <w:divBdr>
            <w:top w:val="none" w:sz="0" w:space="0" w:color="auto"/>
            <w:left w:val="none" w:sz="0" w:space="0" w:color="auto"/>
            <w:bottom w:val="none" w:sz="0" w:space="0" w:color="auto"/>
            <w:right w:val="none" w:sz="0" w:space="0" w:color="auto"/>
          </w:divBdr>
        </w:div>
        <w:div w:id="321397097">
          <w:marLeft w:val="0"/>
          <w:marRight w:val="0"/>
          <w:marTop w:val="0"/>
          <w:marBottom w:val="0"/>
          <w:divBdr>
            <w:top w:val="none" w:sz="0" w:space="0" w:color="auto"/>
            <w:left w:val="none" w:sz="0" w:space="0" w:color="auto"/>
            <w:bottom w:val="none" w:sz="0" w:space="0" w:color="auto"/>
            <w:right w:val="none" w:sz="0" w:space="0" w:color="auto"/>
          </w:divBdr>
        </w:div>
        <w:div w:id="1292173514">
          <w:marLeft w:val="3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36104/000119312519047201/d584906dex13.htm" TargetMode="External"/><Relationship Id="rId13" Type="http://schemas.openxmlformats.org/officeDocument/2006/relationships/hyperlink" Target="https://www.sec.gov/Archives/edgar/data/36104/000119312519047201/d584906dex13.htm" TargetMode="External"/><Relationship Id="rId3" Type="http://schemas.openxmlformats.org/officeDocument/2006/relationships/webSettings" Target="webSettings.xml"/><Relationship Id="rId7" Type="http://schemas.openxmlformats.org/officeDocument/2006/relationships/hyperlink" Target="https://www.sec.gov/Archives/edgar/data/36104/000119312519047201/d584906dex13.htm" TargetMode="External"/><Relationship Id="rId12" Type="http://schemas.openxmlformats.org/officeDocument/2006/relationships/hyperlink" Target="https://www.sec.gov/Archives/edgar/data/36104/000119312519047201/d584906dex13.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36104/000119312519047201/d584906dex13.htm" TargetMode="External"/><Relationship Id="rId11" Type="http://schemas.openxmlformats.org/officeDocument/2006/relationships/hyperlink" Target="https://www.sec.gov/Archives/edgar/data/36104/000119312519047201/d584906dex13.htm" TargetMode="External"/><Relationship Id="rId5" Type="http://schemas.openxmlformats.org/officeDocument/2006/relationships/hyperlink" Target="https://www.sec.gov/Archives/edgar/data/36104/000119312519047201/d584906dex13.htm" TargetMode="External"/><Relationship Id="rId15" Type="http://schemas.openxmlformats.org/officeDocument/2006/relationships/fontTable" Target="fontTable.xml"/><Relationship Id="rId10" Type="http://schemas.openxmlformats.org/officeDocument/2006/relationships/hyperlink" Target="https://www.sec.gov/Archives/edgar/data/36104/000119312519047201/d584906dex13.htm" TargetMode="External"/><Relationship Id="rId4" Type="http://schemas.openxmlformats.org/officeDocument/2006/relationships/hyperlink" Target="https://www.sec.gov/Archives/edgar/data/36104/000119312519047201/d584906dex13.htm" TargetMode="External"/><Relationship Id="rId9" Type="http://schemas.openxmlformats.org/officeDocument/2006/relationships/hyperlink" Target="https://www.sec.gov/Archives/edgar/data/36104/000119312519047201/d584906dex13.htm" TargetMode="External"/><Relationship Id="rId14" Type="http://schemas.openxmlformats.org/officeDocument/2006/relationships/hyperlink" Target="https://www.sec.gov/Archives/edgar/data/36104/000119312519047201/d584906dex1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10720</Words>
  <Characters>61107</Characters>
  <Application>Microsoft Office Word</Application>
  <DocSecurity>0</DocSecurity>
  <Lines>509</Lines>
  <Paragraphs>143</Paragraphs>
  <ScaleCrop>false</ScaleCrop>
  <Company/>
  <LinksUpToDate>false</LinksUpToDate>
  <CharactersWithSpaces>71684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2019-11-22T19:39:00Z</dcterms:created>
  <dcterms:modified xsi:type="dcterms:W3CDTF">2019-11-22T19:41:00Z</dcterms:modified>
</cp:coreProperties>
</file>