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Open Sans" w:cs="Open Sans" w:eastAsia="Open Sans" w:hAnsi="Open Sans"/>
        </w:rPr>
      </w:pPr>
      <w:r w:rsidDel="00000000" w:rsidR="00000000" w:rsidRPr="00000000">
        <w:rPr>
          <w:rtl w:val="0"/>
        </w:rPr>
      </w:r>
    </w:p>
    <w:p w:rsidR="00000000" w:rsidDel="00000000" w:rsidP="00000000" w:rsidRDefault="00000000" w:rsidRPr="00000000" w14:paraId="00000002">
      <w:pPr>
        <w:rPr>
          <w:rFonts w:ascii="Open Sans" w:cs="Open Sans" w:eastAsia="Open Sans" w:hAnsi="Open Sans"/>
          <w:color w:val="0b5394"/>
          <w:sz w:val="32"/>
          <w:szCs w:val="32"/>
        </w:rPr>
      </w:pPr>
      <w:r w:rsidDel="00000000" w:rsidR="00000000" w:rsidRPr="00000000">
        <w:rPr>
          <w:rFonts w:ascii="Open Sans" w:cs="Open Sans" w:eastAsia="Open Sans" w:hAnsi="Open Sans"/>
          <w:color w:val="0b5394"/>
          <w:sz w:val="32"/>
          <w:szCs w:val="32"/>
          <w:rtl w:val="0"/>
        </w:rPr>
        <w:t xml:space="preserve">RTG x NORTH ARROW </w:t>
      </w:r>
    </w:p>
    <w:p w:rsidR="00000000" w:rsidDel="00000000" w:rsidP="00000000" w:rsidRDefault="00000000" w:rsidRPr="00000000" w14:paraId="00000003">
      <w:pPr>
        <w:rPr>
          <w:rFonts w:ascii="Open Sans" w:cs="Open Sans" w:eastAsia="Open Sans" w:hAnsi="Open Sans"/>
          <w:b w:val="1"/>
          <w:bCs w:val="1"/>
          <w:color w:val="0b5394"/>
          <w:sz w:val="46"/>
          <w:szCs w:val="46"/>
        </w:rPr>
      </w:pPr>
      <w:r w:rsidDel="00000000" w:rsidR="00000000" w:rsidRPr="00000000">
        <w:rPr>
          <w:rFonts w:ascii="Open Sans" w:cs="Open Sans" w:eastAsia="Open Sans" w:hAnsi="Open Sans"/>
          <w:b w:val="1"/>
          <w:bCs w:val="1"/>
          <w:color w:val="0b5394"/>
          <w:sz w:val="46"/>
          <w:szCs w:val="46"/>
          <w:rtl w:val="0"/>
        </w:rPr>
        <w:t xml:space="preserve">CHILDREN BOOK ACCESS PROJECT</w:t>
        <w:br w:type="textWrapping"/>
        <w:t xml:space="preserve">Methodological Recommendation</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Open Sans" w:cs="Open Sans" w:eastAsia="Open Sans" w:hAnsi="Open Sans"/>
          <w:b w:val="1"/>
          <w:bCs w:val="1"/>
          <w:color w:val="000000"/>
          <w:sz w:val="22"/>
          <w:szCs w:val="22"/>
        </w:rPr>
      </w:pPr>
      <w:bookmarkStart w:colFirst="0" w:colLast="0" w:name="_8rde3w4t80x3" w:id="0"/>
      <w:bookmarkEnd w:id="0"/>
      <w:r w:rsidDel="00000000" w:rsidR="00000000" w:rsidRPr="00000000">
        <w:rPr>
          <w:rFonts w:ascii="Open Sans" w:cs="Open Sans" w:eastAsia="Open Sans" w:hAnsi="Open Sans"/>
          <w:b w:val="1"/>
          <w:bCs w:val="1"/>
          <w:color w:val="000000"/>
          <w:sz w:val="22"/>
          <w:szCs w:val="22"/>
          <w:rtl w:val="0"/>
        </w:rPr>
        <w:t xml:space="preserve">Disclaimer</w:t>
      </w:r>
    </w:p>
    <w:p w:rsidR="00000000" w:rsidDel="00000000" w:rsidP="00000000" w:rsidRDefault="00000000" w:rsidRPr="00000000" w14:paraId="00000005">
      <w:pPr>
        <w:pStyle w:val="Heading3"/>
        <w:keepNext w:val="0"/>
        <w:keepLines w:val="0"/>
        <w:spacing w:after="240" w:before="240" w:lineRule="auto"/>
        <w:rPr>
          <w:rFonts w:ascii="Open Sans" w:cs="Open Sans" w:eastAsia="Open Sans" w:hAnsi="Open Sans"/>
          <w:b w:val="1"/>
          <w:bCs w:val="1"/>
          <w:color w:val="000000"/>
          <w:sz w:val="26"/>
          <w:szCs w:val="26"/>
        </w:rPr>
      </w:pPr>
      <w:bookmarkStart w:colFirst="0" w:colLast="0" w:name="_3uehmmj0gb6y" w:id="1"/>
      <w:bookmarkEnd w:id="1"/>
      <w:r w:rsidDel="00000000" w:rsidR="00000000" w:rsidRPr="00000000">
        <w:rPr>
          <w:rFonts w:ascii="Open Sans" w:cs="Open Sans" w:eastAsia="Open Sans" w:hAnsi="Open Sans"/>
          <w:color w:val="000000"/>
          <w:sz w:val="22"/>
          <w:szCs w:val="22"/>
          <w:rtl w:val="0"/>
        </w:rPr>
        <w:t xml:space="preserve">We</w:t>
      </w:r>
      <w:r w:rsidDel="00000000" w:rsidR="00000000" w:rsidRPr="00000000">
        <w:rPr>
          <w:rFonts w:ascii="Open Sans" w:cs="Open Sans" w:eastAsia="Open Sans" w:hAnsi="Open Sans"/>
          <w:color w:val="000000"/>
          <w:sz w:val="22"/>
          <w:szCs w:val="22"/>
          <w:rtl w:val="0"/>
        </w:rPr>
        <w:t xml:space="preserve"> recognize that every child should have access to books through their school library.</w:t>
        <w:br w:type="textWrapping"/>
        <w:br w:type="textWrapping"/>
        <w:t xml:space="preserve">The current situation in Connecticut is one in which a remarkably low rate of schools have active libraries and/or librarians on staff. We will want to highlight these inequalities in the methodology, in order for this work to be an entry point to book access in and outside of schools, and a measure of how important school libraries can be for all - and even more so for some - communities in our state.</w:t>
        <w:br w:type="textWrapping"/>
        <w:br w:type="textWrapping"/>
      </w:r>
      <w:r w:rsidDel="00000000" w:rsidR="00000000" w:rsidRPr="00000000">
        <w:rPr>
          <w:rFonts w:ascii="Open Sans" w:cs="Open Sans" w:eastAsia="Open Sans" w:hAnsi="Open Sans"/>
          <w:b w:val="1"/>
          <w:bCs w:val="1"/>
          <w:color w:val="000000"/>
          <w:sz w:val="26"/>
          <w:szCs w:val="26"/>
          <w:rtl w:val="0"/>
        </w:rPr>
        <w:t xml:space="preserve">Index Summaries</w:t>
      </w:r>
    </w:p>
    <w:p w:rsidR="00000000" w:rsidDel="00000000" w:rsidP="00000000" w:rsidRDefault="00000000" w:rsidRPr="00000000" w14:paraId="00000006">
      <w:pPr>
        <w:pStyle w:val="Heading3"/>
        <w:keepNext w:val="0"/>
        <w:keepLines w:val="0"/>
        <w:spacing w:after="240" w:before="240" w:lineRule="auto"/>
        <w:rPr>
          <w:rFonts w:ascii="Open Sans" w:cs="Open Sans" w:eastAsia="Open Sans" w:hAnsi="Open Sans"/>
          <w:color w:val="000000"/>
          <w:sz w:val="22"/>
          <w:szCs w:val="22"/>
        </w:rPr>
      </w:pPr>
      <w:bookmarkStart w:colFirst="0" w:colLast="0" w:name="_3uehmmj0gb6y" w:id="1"/>
      <w:bookmarkEnd w:id="1"/>
      <w:r w:rsidDel="00000000" w:rsidR="00000000" w:rsidRPr="00000000">
        <w:rPr>
          <w:rFonts w:ascii="Open Sans" w:cs="Open Sans" w:eastAsia="Open Sans" w:hAnsi="Open Sans"/>
          <w:b w:val="1"/>
          <w:bCs w:val="1"/>
          <w:color w:val="000000"/>
          <w:sz w:val="22"/>
          <w:szCs w:val="22"/>
          <w:rtl w:val="0"/>
        </w:rPr>
        <w:t xml:space="preserve">1. Book-Access Infrastructure Index (BAII)</w:t>
        <w:br w:type="textWrapping"/>
      </w:r>
      <w:r w:rsidDel="00000000" w:rsidR="00000000" w:rsidRPr="00000000">
        <w:rPr>
          <w:rFonts w:ascii="Open Sans" w:cs="Open Sans" w:eastAsia="Open Sans" w:hAnsi="Open Sans"/>
          <w:color w:val="000000"/>
          <w:sz w:val="22"/>
          <w:szCs w:val="22"/>
          <w:rtl w:val="0"/>
        </w:rPr>
        <w:t xml:space="preserve">Measures how easily children and families can reach community spaces that provide books — school libraries, public libraries, children’s or history museums, bookstores, Little Free Libraries, and Read to Grow Book for Kids (BFK) partners. Access is weighted by the type of facility and its travel-time proximity.</w:t>
      </w:r>
    </w:p>
    <w:p w:rsidR="00000000" w:rsidDel="00000000" w:rsidP="00000000" w:rsidRDefault="00000000" w:rsidRPr="00000000" w14:paraId="00000007">
      <w:pPr>
        <w:pStyle w:val="Heading3"/>
        <w:keepNext w:val="0"/>
        <w:keepLines w:val="0"/>
        <w:spacing w:after="240" w:before="240" w:lineRule="auto"/>
        <w:rPr>
          <w:rFonts w:ascii="Open Sans" w:cs="Open Sans" w:eastAsia="Open Sans" w:hAnsi="Open Sans"/>
          <w:b w:val="1"/>
          <w:bCs w:val="1"/>
          <w:color w:val="000000"/>
          <w:sz w:val="26"/>
          <w:szCs w:val="26"/>
        </w:rPr>
      </w:pPr>
      <w:bookmarkStart w:colFirst="0" w:colLast="0" w:name="_9b37o5xrro69" w:id="2"/>
      <w:bookmarkEnd w:id="2"/>
      <w:r w:rsidDel="00000000" w:rsidR="00000000" w:rsidRPr="00000000">
        <w:rPr>
          <w:rFonts w:ascii="Open Sans" w:cs="Open Sans" w:eastAsia="Open Sans" w:hAnsi="Open Sans"/>
          <w:b w:val="1"/>
          <w:bCs w:val="1"/>
          <w:color w:val="000000"/>
          <w:sz w:val="22"/>
          <w:szCs w:val="22"/>
          <w:rtl w:val="0"/>
        </w:rPr>
        <w:t xml:space="preserve">2. Book-Access Constraints Index (BACI)</w:t>
        <w:br w:type="textWrapping"/>
      </w:r>
      <w:r w:rsidDel="00000000" w:rsidR="00000000" w:rsidRPr="00000000">
        <w:rPr>
          <w:rFonts w:ascii="Open Sans" w:cs="Open Sans" w:eastAsia="Open Sans" w:hAnsi="Open Sans"/>
          <w:color w:val="000000"/>
          <w:sz w:val="22"/>
          <w:szCs w:val="22"/>
          <w:rtl w:val="0"/>
        </w:rPr>
        <w:t xml:space="preserve">Captures community-level barriers that limit children’s (and most importantly their parent’s) ability to benefit from book access, such as low adult literacy, low student reading proficiency, and financial hardship. A higher score reflects less constraints to book access.</w:t>
        <w:br w:type="textWrapping"/>
        <w:br w:type="textWrapping"/>
      </w:r>
      <w:r w:rsidDel="00000000" w:rsidR="00000000" w:rsidRPr="00000000">
        <w:rPr>
          <w:rFonts w:ascii="Open Sans" w:cs="Open Sans" w:eastAsia="Open Sans" w:hAnsi="Open Sans"/>
          <w:b w:val="1"/>
          <w:bCs w:val="1"/>
          <w:color w:val="000000"/>
          <w:sz w:val="22"/>
          <w:szCs w:val="22"/>
          <w:rtl w:val="0"/>
        </w:rPr>
        <w:t xml:space="preserve">3. Demand Index</w:t>
        <w:br w:type="textWrapping"/>
      </w:r>
      <w:r w:rsidDel="00000000" w:rsidR="00000000" w:rsidRPr="00000000">
        <w:rPr>
          <w:rFonts w:ascii="Open Sans" w:cs="Open Sans" w:eastAsia="Open Sans" w:hAnsi="Open Sans"/>
          <w:color w:val="000000"/>
          <w:sz w:val="22"/>
          <w:szCs w:val="22"/>
          <w:rtl w:val="0"/>
        </w:rPr>
        <w:t xml:space="preserve">Gauges the level of community engagement with book resources, using library visits and Read to Grow book requests, adjusted for population.</w:t>
        <w:br w:type="textWrapping"/>
        <w:t xml:space="preserve">Higher demand indicates stronger community interest and usage of book access points.</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on02buz6gisv" w:id="3"/>
      <w:bookmarkEnd w:id="3"/>
      <w:r w:rsidDel="00000000" w:rsidR="00000000" w:rsidRPr="00000000">
        <w:rPr>
          <w:rFonts w:ascii="Open Sans" w:cs="Open Sans" w:eastAsia="Open Sans" w:hAnsi="Open Sans"/>
          <w:b w:val="1"/>
          <w:bCs w:val="1"/>
          <w:color w:val="000000"/>
          <w:sz w:val="26"/>
          <w:szCs w:val="26"/>
          <w:rtl w:val="0"/>
        </w:rPr>
        <w:t xml:space="preserve">1 - BAII - Book Access Infrastructure Index</w:t>
      </w:r>
    </w:p>
    <w:p w:rsidR="00000000" w:rsidDel="00000000" w:rsidP="00000000" w:rsidRDefault="00000000" w:rsidRPr="00000000" w14:paraId="00000009">
      <w:pPr>
        <w:numPr>
          <w:ilvl w:val="0"/>
          <w:numId w:val="3"/>
        </w:numPr>
        <w:spacing w:after="0" w:afterAutospacing="0" w:before="240" w:lineRule="auto"/>
        <w:ind w:left="720" w:hanging="360"/>
        <w:rPr>
          <w:sz w:val="14"/>
          <w:szCs w:val="14"/>
        </w:rPr>
      </w:pPr>
      <w:r w:rsidDel="00000000" w:rsidR="00000000" w:rsidRPr="00000000">
        <w:rPr>
          <w:rFonts w:ascii="Open Sans" w:cs="Open Sans" w:eastAsia="Open Sans" w:hAnsi="Open Sans"/>
          <w:b w:val="1"/>
          <w:bCs w:val="1"/>
          <w:rtl w:val="0"/>
        </w:rPr>
        <w:t xml:space="preserve">Scope:</w:t>
      </w:r>
      <w:r w:rsidDel="00000000" w:rsidR="00000000" w:rsidRPr="00000000">
        <w:rPr>
          <w:rFonts w:ascii="Open Sans" w:cs="Open Sans" w:eastAsia="Open Sans" w:hAnsi="Open Sans"/>
          <w:rtl w:val="0"/>
        </w:rPr>
        <w:t xml:space="preserve"> Public libraries, qualifying museums (CMU=, ART/HST=3; NAT/SCI=2), bookstores (0.5), Little Free Libraries (1), RTG BFK partners (2), Reach Out &amp; Read Sites (2). </w:t>
      </w:r>
      <w:r w:rsidDel="00000000" w:rsidR="00000000" w:rsidRPr="00000000">
        <w:rPr>
          <w:rFonts w:ascii="Open Sans" w:cs="Open Sans" w:eastAsia="Open Sans" w:hAnsi="Open Sans"/>
          <w:rtl w:val="0"/>
        </w:rPr>
        <w:t xml:space="preserve">Optionally, public libraries get 5 + </w:t>
      </w:r>
      <w:r w:rsidDel="00000000" w:rsidR="00000000" w:rsidRPr="00000000">
        <w:rPr>
          <w:rFonts w:ascii="Arial Unicode MS" w:cs="Arial Unicode MS" w:eastAsia="Arial Unicode MS" w:hAnsi="Arial Unicode MS"/>
          <w:rtl w:val="0"/>
        </w:rPr>
        <w:t xml:space="preserve">a children book share premium (need to define the premium rule; e.g., z-scored circulation ≥ +1 adds +1).</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rPr>
          <w:sz w:val="14"/>
          <w:szCs w:val="14"/>
        </w:rPr>
      </w:pPr>
      <w:r w:rsidDel="00000000" w:rsidR="00000000" w:rsidRPr="00000000">
        <w:rPr>
          <w:rFonts w:ascii="Open Sans" w:cs="Open Sans" w:eastAsia="Open Sans" w:hAnsi="Open Sans"/>
          <w:b w:val="1"/>
          <w:bCs w:val="1"/>
          <w:rtl w:val="0"/>
        </w:rPr>
        <w:t xml:space="preserve">Method:</w:t>
      </w:r>
      <w:r w:rsidDel="00000000" w:rsidR="00000000" w:rsidRPr="00000000">
        <w:rPr>
          <w:rFonts w:ascii="Open Sans" w:cs="Open Sans" w:eastAsia="Open Sans" w:hAnsi="Open Sans"/>
          <w:rtl w:val="0"/>
        </w:rPr>
        <w:t xml:space="preserve"> Compute travel-time–based accessibility using E2SFCA </w:t>
      </w:r>
      <w:r w:rsidDel="00000000" w:rsidR="00000000" w:rsidRPr="00000000">
        <w:rPr>
          <w:rFonts w:ascii="Open Sans" w:cs="Open Sans" w:eastAsia="Open Sans" w:hAnsi="Open Sans"/>
          <w:i w:val="1"/>
          <w:iCs w:val="1"/>
          <w:rtl w:val="0"/>
        </w:rPr>
        <w:t xml:space="preserve">or</w:t>
      </w:r>
      <w:r w:rsidDel="00000000" w:rsidR="00000000" w:rsidRPr="00000000">
        <w:rPr>
          <w:rFonts w:ascii="Arial Unicode MS" w:cs="Arial Unicode MS" w:eastAsia="Arial Unicode MS" w:hAnsi="Arial Unicode MS"/>
          <w:rtl w:val="0"/>
        </w:rPr>
        <w:t xml:space="preserve"> an exponential gravity model (document chosen β; start at β≈0.08 min⁻¹; free/low-cost venues can also receive higher cost weights).</w:t>
        <w:br w:type="textWrapping"/>
        <w:br w:type="textWrapping"/>
        <w:t xml:space="preserve">This is all site data - used to measure access ease. Access will be measured by two models under two or three transportation modes (walking, car, possibly public transportation). </w:t>
        <w:br w:type="textWrapping"/>
      </w:r>
    </w:p>
    <w:p w:rsidR="00000000" w:rsidDel="00000000" w:rsidP="00000000" w:rsidRDefault="00000000" w:rsidRPr="00000000" w14:paraId="0000000B">
      <w:pPr>
        <w:numPr>
          <w:ilvl w:val="0"/>
          <w:numId w:val="3"/>
        </w:numPr>
        <w:spacing w:after="240" w:before="0" w:beforeAutospacing="0" w:lineRule="auto"/>
        <w:ind w:left="720" w:hanging="360"/>
        <w:rPr>
          <w:sz w:val="14"/>
          <w:szCs w:val="14"/>
        </w:rPr>
      </w:pPr>
      <w:r w:rsidDel="00000000" w:rsidR="00000000" w:rsidRPr="00000000">
        <w:rPr>
          <w:rFonts w:ascii="Open Sans" w:cs="Open Sans" w:eastAsia="Open Sans" w:hAnsi="Open Sans"/>
          <w:b w:val="1"/>
          <w:bCs w:val="1"/>
          <w:rtl w:val="0"/>
        </w:rPr>
        <w:t xml:space="preserve">Output:</w:t>
      </w:r>
      <w:r w:rsidDel="00000000" w:rsidR="00000000" w:rsidRPr="00000000">
        <w:rPr>
          <w:rFonts w:ascii="Open Sans" w:cs="Open Sans" w:eastAsia="Open Sans" w:hAnsi="Open Sans"/>
          <w:rtl w:val="0"/>
        </w:rPr>
        <w:t xml:space="preserve"> H3 grid aggregated in Tract score, 0–100.</w:t>
        <w:br w:type="textWrapping"/>
        <w:br w:type="textWrapping"/>
        <w:t xml:space="preserve">We will use a base grid system using </w:t>
      </w:r>
      <w:hyperlink r:id="rId7">
        <w:r w:rsidDel="00000000" w:rsidR="00000000" w:rsidRPr="00000000">
          <w:rPr>
            <w:rFonts w:ascii="Open Sans" w:cs="Open Sans" w:eastAsia="Open Sans" w:hAnsi="Open Sans"/>
            <w:color w:val="1155cc"/>
            <w:u w:val="single"/>
            <w:rtl w:val="0"/>
          </w:rPr>
          <w:t xml:space="preserve">Uber’s H3 hierarchical grid</w:t>
        </w:r>
      </w:hyperlink>
      <w:r w:rsidDel="00000000" w:rsidR="00000000" w:rsidRPr="00000000">
        <w:rPr>
          <w:rFonts w:ascii="Open Sans" w:cs="Open Sans" w:eastAsia="Open Sans" w:hAnsi="Open Sans"/>
          <w:rtl w:val="0"/>
        </w:rPr>
        <w:t xml:space="preserve">. This system provides a hierarchy of hexagonal grids covering the whole world, plus a set of tools for interacting with it. Unlike rectangular grids, this one provides cells with consistent area across latitudes and serves as a good basis for choropleth maps and spatial aggregation.</w:t>
      </w:r>
    </w:p>
    <w:tbl>
      <w:tblPr>
        <w:tblStyle w:val="Table1"/>
        <w:tblW w:w="169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775"/>
        <w:gridCol w:w="1665"/>
        <w:gridCol w:w="3495"/>
        <w:gridCol w:w="3015"/>
        <w:gridCol w:w="3495"/>
        <w:tblGridChange w:id="0">
          <w:tblGrid>
            <w:gridCol w:w="2520"/>
            <w:gridCol w:w="2775"/>
            <w:gridCol w:w="1665"/>
            <w:gridCol w:w="3495"/>
            <w:gridCol w:w="3015"/>
            <w:gridCol w:w="3495"/>
          </w:tblGrid>
        </w:tblGridChange>
      </w:tblGrid>
      <w:tr>
        <w:trPr>
          <w:cantSplit w:val="0"/>
          <w:trHeight w:val="432.978515625" w:hRule="atLeast"/>
          <w:tblHeader w:val="1"/>
        </w:trPr>
        <w:tc>
          <w:tcPr>
            <w:shd w:fill="0b5394"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Open Sans" w:cs="Open Sans" w:eastAsia="Open Sans" w:hAnsi="Open Sans"/>
                <w:color w:val="ffffff"/>
              </w:rPr>
            </w:pP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Source Data</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Data Updated</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Link</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Filter</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Weight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School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Open Sans" w:cs="Open Sans" w:eastAsia="Open Sans" w:hAnsi="Open Sans"/>
              </w:rPr>
            </w:pPr>
            <w:r w:rsidDel="00000000" w:rsidR="00000000" w:rsidRPr="00000000">
              <w:rPr>
                <w:color w:val="222222"/>
                <w:highlight w:val="white"/>
                <w:rtl w:val="0"/>
              </w:rPr>
              <w:t xml:space="preserve">EDsight website for district level data</w:t>
              <w:br w:type="textWrapping"/>
              <w:t xml:space="preserve">Currently identifying sources for school level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Open Sans" w:cs="Open Sans" w:eastAsia="Open Sans" w:hAnsi="Open Sans"/>
              </w:rPr>
            </w:pPr>
            <w:hyperlink r:id="rId8">
              <w:r w:rsidDel="00000000" w:rsidR="00000000" w:rsidRPr="00000000">
                <w:rPr>
                  <w:rFonts w:ascii="Open Sans" w:cs="Open Sans" w:eastAsia="Open Sans" w:hAnsi="Open Sans"/>
                  <w:color w:val="0000ee"/>
                  <w:u w:val="single"/>
                  <w:rtl w:val="0"/>
                </w:rPr>
                <w:t xml:space="preserve">FY24 State library info by district.xlsx</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5 for library</w:t>
              <w:br w:type="textWrapping"/>
              <w:t xml:space="preserve">+ 1 for library / media specialist</w:t>
              <w:br w:type="textWrapping"/>
              <w:t xml:space="preserve">+ 0.5 for media support staff</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Public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Open Sans" w:cs="Open Sans" w:eastAsia="Open Sans" w:hAnsi="Open Sans"/>
              </w:rPr>
            </w:pPr>
            <w:hyperlink r:id="rId9">
              <w:r w:rsidDel="00000000" w:rsidR="00000000" w:rsidRPr="00000000">
                <w:rPr>
                  <w:rFonts w:ascii="Open Sans" w:cs="Open Sans" w:eastAsia="Open Sans" w:hAnsi="Open Sans"/>
                  <w:color w:val="1155cc"/>
                  <w:u w:val="single"/>
                  <w:rtl w:val="0"/>
                </w:rPr>
                <w:t xml:space="preserve">CT Data - Visits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Open Sans" w:cs="Open Sans" w:eastAsia="Open Sans" w:hAnsi="Open Sans"/>
              </w:rPr>
            </w:pPr>
            <w:hyperlink r:id="rId10">
              <w:r w:rsidDel="00000000" w:rsidR="00000000" w:rsidRPr="00000000">
                <w:rPr>
                  <w:rFonts w:ascii="Open Sans" w:cs="Open Sans" w:eastAsia="Open Sans" w:hAnsi="Open Sans"/>
                  <w:color w:val="0000ee"/>
                  <w:u w:val="single"/>
                  <w:rtl w:val="0"/>
                </w:rPr>
                <w:t xml:space="preserve">Book Access - CTL Libraries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5 + children book annual circulation premium (tbd)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Public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Open Sans" w:cs="Open Sans" w:eastAsia="Open Sans" w:hAnsi="Open Sans"/>
              </w:rPr>
            </w:pPr>
            <w:hyperlink r:id="rId11">
              <w:r w:rsidDel="00000000" w:rsidR="00000000" w:rsidRPr="00000000">
                <w:rPr>
                  <w:rFonts w:ascii="Open Sans" w:cs="Open Sans" w:eastAsia="Open Sans" w:hAnsi="Open Sans"/>
                  <w:color w:val="1155cc"/>
                  <w:u w:val="single"/>
                  <w:rtl w:val="0"/>
                </w:rPr>
                <w:t xml:space="preserve">IMLS - Location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Open Sans" w:cs="Open Sans" w:eastAsia="Open Sans" w:hAnsi="Open Sans"/>
              </w:rPr>
            </w:pPr>
            <w:hyperlink r:id="rId12">
              <w:r w:rsidDel="00000000" w:rsidR="00000000" w:rsidRPr="00000000">
                <w:rPr>
                  <w:rFonts w:ascii="Open Sans" w:cs="Open Sans" w:eastAsia="Open Sans" w:hAnsi="Open Sans"/>
                  <w:color w:val="0000ee"/>
                  <w:u w:val="single"/>
                  <w:rtl w:val="0"/>
                </w:rPr>
                <w:t xml:space="preserve">Book Access - CTL Libraries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5 + children book  annual circulation premium (tbd)</w:t>
            </w:r>
          </w:p>
        </w:tc>
      </w:tr>
      <w:tr>
        <w:trPr>
          <w:cantSplit w:val="0"/>
          <w:trHeight w:val="580.957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Public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Open Sans" w:cs="Open Sans" w:eastAsia="Open Sans" w:hAnsi="Open Sans"/>
              </w:rPr>
            </w:pPr>
            <w:hyperlink r:id="rId13">
              <w:r w:rsidDel="00000000" w:rsidR="00000000" w:rsidRPr="00000000">
                <w:rPr>
                  <w:rFonts w:ascii="Open Sans" w:cs="Open Sans" w:eastAsia="Open Sans" w:hAnsi="Open Sans"/>
                  <w:color w:val="1155cc"/>
                  <w:u w:val="single"/>
                  <w:rtl w:val="0"/>
                </w:rPr>
                <w:t xml:space="preserve">IMLS - Circulation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Open Sans" w:cs="Open Sans" w:eastAsia="Open Sans" w:hAnsi="Open Sans"/>
              </w:rPr>
            </w:pPr>
            <w:hyperlink r:id="rId14">
              <w:r w:rsidDel="00000000" w:rsidR="00000000" w:rsidRPr="00000000">
                <w:rPr>
                  <w:rFonts w:ascii="Open Sans" w:cs="Open Sans" w:eastAsia="Open Sans" w:hAnsi="Open Sans"/>
                  <w:color w:val="0000ee"/>
                  <w:u w:val="single"/>
                  <w:rtl w:val="0"/>
                </w:rPr>
                <w:t xml:space="preserve">Book Access - CTL Libraries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t>
            </w:r>
          </w:p>
        </w:tc>
      </w:tr>
      <w:tr>
        <w:trPr>
          <w:cantSplit w:val="0"/>
          <w:trHeight w:val="580.957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Museums &amp; Cultural Centers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Open Sans" w:cs="Open Sans" w:eastAsia="Open Sans" w:hAnsi="Open Sans"/>
              </w:rPr>
            </w:pPr>
            <w:hyperlink r:id="rId15">
              <w:r w:rsidDel="00000000" w:rsidR="00000000" w:rsidRPr="00000000">
                <w:rPr>
                  <w:rFonts w:ascii="Open Sans" w:cs="Open Sans" w:eastAsia="Open Sans" w:hAnsi="Open Sans"/>
                  <w:color w:val="1155cc"/>
                  <w:u w:val="single"/>
                  <w:rtl w:val="0"/>
                </w:rPr>
                <w:t xml:space="preserve">IMLS - Museum Directory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2018</w:t>
            </w:r>
          </w:p>
          <w:p w:rsidR="00000000" w:rsidDel="00000000" w:rsidP="00000000" w:rsidRDefault="00000000" w:rsidRPr="00000000" w14:paraId="0000002D">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Open Sans" w:cs="Open Sans" w:eastAsia="Open Sans" w:hAnsi="Open Sans"/>
              </w:rPr>
            </w:pPr>
            <w:hyperlink r:id="rId16">
              <w:r w:rsidDel="00000000" w:rsidR="00000000" w:rsidRPr="00000000">
                <w:rPr>
                  <w:rFonts w:ascii="Open Sans" w:cs="Open Sans" w:eastAsia="Open Sans" w:hAnsi="Open Sans"/>
                  <w:color w:val="0000ee"/>
                  <w:u w:val="single"/>
                  <w:rtl w:val="0"/>
                </w:rPr>
                <w:t xml:space="preserve">2018_csv_museum_data_files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Incl. CT</w:t>
              <w:br w:type="textWrapping"/>
              <w:t xml:space="preserve">Excl. BOT &amp; ZAW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r w:rsidDel="00000000" w:rsidR="00000000" w:rsidRPr="00000000">
              <w:rPr>
                <w:rFonts w:ascii="Open Sans" w:cs="Open Sans" w:eastAsia="Open Sans" w:hAnsi="Open Sans"/>
                <w:rtl w:val="0"/>
              </w:rPr>
              <w:t xml:space="preserve"> for CMU </w:t>
              <w:br w:type="textWrapping"/>
              <w:t xml:space="preserve">0.5 for ART, HST, NAT, SCI</w:t>
            </w:r>
            <w:r w:rsidDel="00000000" w:rsidR="00000000" w:rsidRPr="00000000">
              <w:rPr>
                <w:rtl w:val="0"/>
              </w:rPr>
            </w:r>
          </w:p>
        </w:tc>
      </w:tr>
      <w:tr>
        <w:trPr>
          <w:cantSplit w:val="0"/>
          <w:trHeight w:val="375.679841429075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Bookstores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Open Sans" w:cs="Open Sans" w:eastAsia="Open Sans" w:hAnsi="Open Sans"/>
              </w:rPr>
            </w:pPr>
            <w:hyperlink r:id="rId17">
              <w:r w:rsidDel="00000000" w:rsidR="00000000" w:rsidRPr="00000000">
                <w:rPr>
                  <w:rFonts w:ascii="Open Sans" w:cs="Open Sans" w:eastAsia="Open Sans" w:hAnsi="Open Sans"/>
                  <w:color w:val="1155cc"/>
                  <w:u w:val="single"/>
                  <w:rtl w:val="0"/>
                </w:rPr>
                <w:t xml:space="preserve">Overture PLACES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bookstore; [retail,shopping,books_mags_music_and_video,bookstore]</w:t>
            </w:r>
          </w:p>
          <w:p w:rsidR="00000000" w:rsidDel="00000000" w:rsidP="00000000" w:rsidRDefault="00000000" w:rsidRPr="00000000" w14:paraId="0000003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academic_bookstore; [retail,shopping,books_mags_music_and_video,academic_bookstore]</w:t>
            </w:r>
          </w:p>
          <w:p w:rsidR="00000000" w:rsidDel="00000000" w:rsidP="00000000" w:rsidRDefault="00000000" w:rsidRPr="00000000" w14:paraId="0000003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comic_books_store; [retail,shopping,books_mags_music_and_video,comic_books_store]</w:t>
            </w:r>
          </w:p>
          <w:p w:rsidR="00000000" w:rsidDel="00000000" w:rsidP="00000000" w:rsidRDefault="00000000" w:rsidRPr="00000000" w14:paraId="00000038">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0.5</w:t>
            </w:r>
          </w:p>
        </w:tc>
      </w:tr>
      <w:tr>
        <w:trPr>
          <w:cantSplit w:val="0"/>
          <w:trHeight w:val="375.679841429075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Little Free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Open Sans" w:cs="Open Sans" w:eastAsia="Open Sans" w:hAnsi="Open Sans"/>
              </w:rPr>
            </w:pPr>
            <w:hyperlink r:id="rId18">
              <w:r w:rsidDel="00000000" w:rsidR="00000000" w:rsidRPr="00000000">
                <w:rPr>
                  <w:rFonts w:ascii="Open Sans" w:cs="Open Sans" w:eastAsia="Open Sans" w:hAnsi="Open Sans"/>
                  <w:color w:val="1155cc"/>
                  <w:u w:val="single"/>
                  <w:rtl w:val="0"/>
                </w:rPr>
                <w:t xml:space="preserve">LFL Data Sharing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Open Sans" w:cs="Open Sans" w:eastAsia="Open Sans" w:hAnsi="Open Sans"/>
              </w:rPr>
            </w:pPr>
            <w:hyperlink r:id="rId19">
              <w:r w:rsidDel="00000000" w:rsidR="00000000" w:rsidRPr="00000000">
                <w:rPr>
                  <w:rFonts w:ascii="Open Sans" w:cs="Open Sans" w:eastAsia="Open Sans" w:hAnsi="Open Sans"/>
                  <w:color w:val="1155cc"/>
                  <w:u w:val="single"/>
                  <w:rtl w:val="0"/>
                </w:rPr>
                <w:t xml:space="preserve">https://drive.google.com/file/d/1P0WSo_gubLzOHADyuLXBb-9MTdLfyIgI/view?usp=drive_link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0.5</w:t>
            </w:r>
          </w:p>
        </w:tc>
      </w:tr>
      <w:tr>
        <w:trPr>
          <w:cantSplit w:val="0"/>
          <w:trHeight w:val="375.67984142907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Read to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Book for Kids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2023-2025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All Active Organizations (Deduplicated) Actively Requesting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w:t>
            </w:r>
          </w:p>
        </w:tc>
      </w:tr>
      <w:tr>
        <w:trPr>
          <w:cantSplit w:val="0"/>
          <w:trHeight w:val="375.67984142907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Reach Out &amp;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Open Sans" w:cs="Open Sans" w:eastAsia="Open Sans" w:hAnsi="Open Sans"/>
              </w:rPr>
            </w:pPr>
            <w:hyperlink r:id="rId20">
              <w:r w:rsidDel="00000000" w:rsidR="00000000" w:rsidRPr="00000000">
                <w:rPr>
                  <w:rFonts w:ascii="Open Sans" w:cs="Open Sans" w:eastAsia="Open Sans" w:hAnsi="Open Sans"/>
                  <w:color w:val="1155cc"/>
                  <w:u w:val="single"/>
                  <w:rtl w:val="0"/>
                </w:rPr>
                <w:t xml:space="preserve">Connecticut Sites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Open Sans" w:cs="Open Sans" w:eastAsia="Open Sans" w:hAnsi="Open Sans"/>
              </w:rPr>
            </w:pPr>
            <w:commentRangeStart w:id="0"/>
            <w:r w:rsidDel="00000000" w:rsidR="00000000" w:rsidRPr="00000000">
              <w:rPr>
                <w:rFonts w:ascii="Open Sans" w:cs="Open Sans" w:eastAsia="Open Sans" w:hAnsi="Open Sans"/>
                <w:rtl w:val="0"/>
              </w:rPr>
              <w:t xml:space="preserve">2</w:t>
            </w:r>
            <w:commentRangeEnd w:id="0"/>
            <w:r w:rsidDel="00000000" w:rsidR="00000000" w:rsidRPr="00000000">
              <w:commentReference w:id="0"/>
            </w:r>
            <w:r w:rsidDel="00000000" w:rsidR="00000000" w:rsidRPr="00000000">
              <w:rPr>
                <w:rtl w:val="0"/>
              </w:rPr>
            </w:r>
          </w:p>
        </w:tc>
      </w:tr>
      <w:tr>
        <w:trPr>
          <w:cantSplit w:val="0"/>
          <w:trHeight w:val="375.67984142907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Child Care Centers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52">
      <w:pPr>
        <w:rPr>
          <w:rFonts w:ascii="Open Sans" w:cs="Open Sans" w:eastAsia="Open Sans" w:hAnsi="Open Sans"/>
        </w:rPr>
      </w:pPr>
      <w:r w:rsidDel="00000000" w:rsidR="00000000" w:rsidRPr="00000000">
        <w:rPr>
          <w:rtl w:val="0"/>
        </w:rPr>
      </w:r>
    </w:p>
    <w:p w:rsidR="00000000" w:rsidDel="00000000" w:rsidP="00000000" w:rsidRDefault="00000000" w:rsidRPr="00000000" w14:paraId="00000053">
      <w:pPr>
        <w:rPr>
          <w:rFonts w:ascii="Open Sans" w:cs="Open Sans" w:eastAsia="Open Sans" w:hAnsi="Open Sans"/>
          <w:sz w:val="26"/>
          <w:szCs w:val="26"/>
        </w:rPr>
      </w:pPr>
      <w:r w:rsidDel="00000000" w:rsidR="00000000" w:rsidRPr="00000000">
        <w:rPr>
          <w:rFonts w:ascii="Open Sans" w:cs="Open Sans" w:eastAsia="Open Sans" w:hAnsi="Open Sans"/>
          <w:b w:val="1"/>
          <w:bCs w:val="1"/>
          <w:sz w:val="26"/>
          <w:szCs w:val="26"/>
          <w:rtl w:val="0"/>
        </w:rPr>
        <w:t xml:space="preserve">2 - BACI — Book-Access Constraints Index</w:t>
      </w:r>
      <w:r w:rsidDel="00000000" w:rsidR="00000000" w:rsidRPr="00000000">
        <w:rPr>
          <w:rFonts w:ascii="Open Sans" w:cs="Open Sans" w:eastAsia="Open Sans" w:hAnsi="Open Sans"/>
          <w:sz w:val="26"/>
          <w:szCs w:val="26"/>
          <w:rtl w:val="0"/>
        </w:rPr>
        <w:t xml:space="preserve"> (or Reading Barriers Index?)</w:t>
      </w:r>
    </w:p>
    <w:p w:rsidR="00000000" w:rsidDel="00000000" w:rsidP="00000000" w:rsidRDefault="00000000" w:rsidRPr="00000000" w14:paraId="00000054">
      <w:pPr>
        <w:numPr>
          <w:ilvl w:val="0"/>
          <w:numId w:val="1"/>
        </w:numPr>
        <w:spacing w:after="0" w:afterAutospacing="0" w:before="240" w:lineRule="auto"/>
        <w:ind w:left="720" w:hanging="360"/>
        <w:rPr>
          <w:rFonts w:ascii="Open Sans" w:cs="Open Sans" w:eastAsia="Open Sans" w:hAnsi="Open Sans"/>
          <w:sz w:val="14"/>
          <w:szCs w:val="14"/>
        </w:rPr>
      </w:pPr>
      <w:r w:rsidDel="00000000" w:rsidR="00000000" w:rsidRPr="00000000">
        <w:rPr>
          <w:rFonts w:ascii="Open Sans" w:cs="Open Sans" w:eastAsia="Open Sans" w:hAnsi="Open Sans"/>
          <w:b w:val="1"/>
          <w:bCs w:val="1"/>
          <w:rtl w:val="0"/>
        </w:rPr>
        <w:t xml:space="preserve">Components </w:t>
      </w:r>
      <w:r w:rsidDel="00000000" w:rsidR="00000000" w:rsidRPr="00000000">
        <w:rPr>
          <w:rFonts w:ascii="Open Sans" w:cs="Open Sans" w:eastAsia="Open Sans" w:hAnsi="Open Sans"/>
          <w:rtl w:val="0"/>
        </w:rPr>
        <w:t xml:space="preserve">(pick 1-2 per pillar)</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55">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Adult literacy</w:t>
      </w:r>
      <w:r w:rsidDel="00000000" w:rsidR="00000000" w:rsidRPr="00000000">
        <w:rPr>
          <w:rFonts w:ascii="Open Sans" w:cs="Open Sans" w:eastAsia="Open Sans" w:hAnsi="Open Sans"/>
          <w:rtl w:val="0"/>
        </w:rPr>
        <w:t xml:space="preserve"> (tract): no-HS diploma %, Limited-English households %</w:t>
      </w:r>
    </w:p>
    <w:p w:rsidR="00000000" w:rsidDel="00000000" w:rsidP="00000000" w:rsidRDefault="00000000" w:rsidRPr="00000000" w14:paraId="00000056">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Education literacy</w:t>
      </w:r>
      <w:r w:rsidDel="00000000" w:rsidR="00000000" w:rsidRPr="00000000">
        <w:rPr>
          <w:rFonts w:ascii="Arial Unicode MS" w:cs="Arial Unicode MS" w:eastAsia="Arial Unicode MS" w:hAnsi="Arial Unicode MS"/>
          <w:rtl w:val="0"/>
        </w:rPr>
        <w:t xml:space="preserve"> (district→tract):</w:t>
      </w:r>
      <w:commentRangeStart w:id="1"/>
      <w:r w:rsidDel="00000000" w:rsidR="00000000" w:rsidRPr="00000000">
        <w:rPr>
          <w:rFonts w:ascii="Open Sans" w:cs="Open Sans" w:eastAsia="Open Sans" w:hAnsi="Open Sans"/>
          <w:rtl w:val="0"/>
        </w:rPr>
        <w:t xml:space="preserve"> </w:t>
      </w:r>
      <w:commentRangeStart w:id="2"/>
      <w:commentRangeStart w:id="3"/>
      <w:commentRangeStart w:id="4"/>
      <w:r w:rsidDel="00000000" w:rsidR="00000000" w:rsidRPr="00000000">
        <w:rPr>
          <w:rFonts w:ascii="Open Sans" w:cs="Open Sans" w:eastAsia="Open Sans" w:hAnsi="Open Sans"/>
          <w:rtl w:val="0"/>
        </w:rPr>
        <w:t xml:space="preserve">Grade-3 ELA proficiency, % below proficiency (Gr 3–8), </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Fonts w:ascii="Open Sans" w:cs="Open Sans" w:eastAsia="Open Sans" w:hAnsi="Open Sans"/>
          <w:rtl w:val="0"/>
        </w:rPr>
        <w:t xml:space="preserve">chronic absenteeism.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7">
      <w:pPr>
        <w:numPr>
          <w:ilvl w:val="1"/>
          <w:numId w:val="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Financial/wealth</w:t>
      </w:r>
      <w:r w:rsidDel="00000000" w:rsidR="00000000" w:rsidRPr="00000000">
        <w:rPr>
          <w:rFonts w:ascii="Open Sans" w:cs="Open Sans" w:eastAsia="Open Sans" w:hAnsi="Open Sans"/>
          <w:rtl w:val="0"/>
        </w:rPr>
        <w:t xml:space="preserve"> (tract):</w:t>
      </w:r>
      <w:commentRangeStart w:id="5"/>
      <w:r w:rsidDel="00000000" w:rsidR="00000000" w:rsidRPr="00000000">
        <w:rPr>
          <w:rFonts w:ascii="Open Sans" w:cs="Open Sans" w:eastAsia="Open Sans" w:hAnsi="Open Sans"/>
          <w:rtl w:val="0"/>
        </w:rPr>
        <w:t xml:space="preserve"> poverty %, severe rent burden %, unemployment %.</w:t>
        <w:br w:type="textWrapping"/>
      </w:r>
      <w:commentRangeEnd w:id="5"/>
      <w:r w:rsidDel="00000000" w:rsidR="00000000" w:rsidRPr="00000000">
        <w:commentReference w:id="5"/>
      </w:r>
      <w:r w:rsidDel="00000000" w:rsidR="00000000" w:rsidRPr="00000000">
        <w:rPr>
          <w:rFonts w:ascii="Open Sans" w:cs="Open Sans" w:eastAsia="Open Sans" w:hAnsi="Open Sans"/>
          <w:rtl w:val="0"/>
        </w:rPr>
        <w:br w:type="textWrapping"/>
      </w:r>
      <w:r w:rsidDel="00000000" w:rsidR="00000000" w:rsidRPr="00000000">
        <w:rPr>
          <w:rFonts w:ascii="Open Sans" w:cs="Open Sans" w:eastAsia="Open Sans" w:hAnsi="Open Sans"/>
          <w:b w:val="1"/>
          <w:bCs w:val="1"/>
          <w:rtl w:val="0"/>
        </w:rPr>
        <w:t xml:space="preserve">Rationales</w:t>
      </w:r>
      <w:r w:rsidDel="00000000" w:rsidR="00000000" w:rsidRPr="00000000">
        <w:rPr>
          <w:rFonts w:ascii="Open Sans" w:cs="Open Sans" w:eastAsia="Open Sans" w:hAnsi="Open Sans"/>
          <w:rtl w:val="0"/>
        </w:rPr>
        <w:t xml:space="preserve"> </w:t>
        <w:br w:type="textWrapping"/>
        <w:t xml:space="preserve">Adult Literacy</w:t>
      </w:r>
    </w:p>
    <w:p w:rsidR="00000000" w:rsidDel="00000000" w:rsidP="00000000" w:rsidRDefault="00000000" w:rsidRPr="00000000" w14:paraId="00000058">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 adults (25+) without a high school diploma (ACS)</w:t>
      </w:r>
      <w:r w:rsidDel="00000000" w:rsidR="00000000" w:rsidRPr="00000000">
        <w:rPr>
          <w:rFonts w:ascii="Open Sans" w:cs="Open Sans" w:eastAsia="Open Sans" w:hAnsi="Open Sans"/>
          <w:b w:val="1"/>
          <w:bCs w:val="1"/>
          <w:rtl w:val="0"/>
        </w:rPr>
        <w:br w:type="textWrapping"/>
      </w:r>
      <w:r w:rsidDel="00000000" w:rsidR="00000000" w:rsidRPr="00000000">
        <w:rPr>
          <w:rFonts w:ascii="Open Sans" w:cs="Open Sans" w:eastAsia="Open Sans" w:hAnsi="Open Sans"/>
          <w:rtl w:val="0"/>
        </w:rPr>
        <w:t xml:space="preserve">Why? Lower formal schooling is strongly associated with lower functional literacy in PIAAC/NAAL frameworks. It’s a practical tract-level proxy when direct literacy scores aren’t available.</w:t>
      </w:r>
    </w:p>
    <w:p w:rsidR="00000000" w:rsidDel="00000000" w:rsidP="00000000" w:rsidRDefault="00000000" w:rsidRPr="00000000" w14:paraId="00000059">
      <w:pPr>
        <w:numPr>
          <w:ilvl w:val="2"/>
          <w:numId w:val="1"/>
        </w:numPr>
        <w:spacing w:after="24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 Limited-English-Speaking households (ACS)</w:t>
      </w:r>
      <w:r w:rsidDel="00000000" w:rsidR="00000000" w:rsidRPr="00000000">
        <w:rPr>
          <w:rFonts w:ascii="Open Sans" w:cs="Open Sans" w:eastAsia="Open Sans" w:hAnsi="Open Sans"/>
          <w:b w:val="1"/>
          <w:bCs w:val="1"/>
          <w:rtl w:val="0"/>
        </w:rPr>
        <w:br w:type="textWrapping"/>
      </w:r>
      <w:r w:rsidDel="00000000" w:rsidR="00000000" w:rsidRPr="00000000">
        <w:rPr>
          <w:rFonts w:ascii="Open Sans" w:cs="Open Sans" w:eastAsia="Open Sans" w:hAnsi="Open Sans"/>
          <w:rtl w:val="0"/>
        </w:rPr>
        <w:t xml:space="preserve">Why? Language barriers reduce ease of engaging with print resources and library materials (forms, wayfinding, programming), dampening realized access even when infrastructure exists. Framework alignment via PIAAC’s literacy construct.</w:t>
      </w:r>
    </w:p>
    <w:p w:rsidR="00000000" w:rsidDel="00000000" w:rsidP="00000000" w:rsidRDefault="00000000" w:rsidRPr="00000000" w14:paraId="0000005A">
      <w:pPr>
        <w:spacing w:after="240" w:before="240" w:lineRule="auto"/>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Education Literacy</w:t>
      </w:r>
    </w:p>
    <w:p w:rsidR="00000000" w:rsidDel="00000000" w:rsidP="00000000" w:rsidRDefault="00000000" w:rsidRPr="00000000" w14:paraId="0000005B">
      <w:pPr>
        <w:numPr>
          <w:ilvl w:val="2"/>
          <w:numId w:val="1"/>
        </w:numPr>
        <w:spacing w:after="0" w:afterAutospacing="0" w:before="24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Grade 3 ELA proficiency rate (district assessment)</w:t>
        <w:br w:type="textWrapping"/>
        <w:t xml:space="preserve">Why? Third-grade reading is a widely used benchmark; low proficiency strongly predicts weaker long-term outcomes and signals community reading barriers around that cohort.</w:t>
      </w:r>
    </w:p>
    <w:p w:rsidR="00000000" w:rsidDel="00000000" w:rsidP="00000000" w:rsidRDefault="00000000" w:rsidRPr="00000000" w14:paraId="0000005C">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Share of students below proficiency in ELA (Grades 3–5, district)</w:t>
        <w:br w:type="textWrapping"/>
        <w:t xml:space="preserve">Why?  Captures breadth of below-benchmark readers beyond a single grade; complements #1 for cohort coverage. Evidence base same as above.</w:t>
      </w:r>
    </w:p>
    <w:p w:rsidR="00000000" w:rsidDel="00000000" w:rsidP="00000000" w:rsidRDefault="00000000" w:rsidRPr="00000000" w14:paraId="0000005D">
      <w:pPr>
        <w:numPr>
          <w:ilvl w:val="2"/>
          <w:numId w:val="1"/>
        </w:numPr>
        <w:spacing w:after="24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Chronic absenteeism (K–3, district)</w:t>
      </w:r>
      <w:r w:rsidDel="00000000" w:rsidR="00000000" w:rsidRPr="00000000">
        <w:rPr>
          <w:rFonts w:ascii="Open Sans" w:cs="Open Sans" w:eastAsia="Open Sans" w:hAnsi="Open Sans"/>
          <w:i w:val="1"/>
          <w:iCs w:val="1"/>
          <w:rtl w:val="0"/>
        </w:rPr>
        <w:br w:type="textWrapping"/>
      </w:r>
      <w:r w:rsidDel="00000000" w:rsidR="00000000" w:rsidRPr="00000000">
        <w:rPr>
          <w:rFonts w:ascii="Open Sans" w:cs="Open Sans" w:eastAsia="Open Sans" w:hAnsi="Open Sans"/>
          <w:rtl w:val="0"/>
        </w:rPr>
        <w:t xml:space="preserve">Why?  Strong negative relationship with literacy growth and library/school engagement; practical district metric often co-located with low ELA outcomes. (behavior-based vs achievement.</w:t>
      </w:r>
    </w:p>
    <w:p w:rsidR="00000000" w:rsidDel="00000000" w:rsidP="00000000" w:rsidRDefault="00000000" w:rsidRPr="00000000" w14:paraId="0000005E">
      <w:pPr>
        <w:spacing w:after="240" w:before="240" w:lineRule="auto"/>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Financial/wealth</w:t>
      </w:r>
    </w:p>
    <w:p w:rsidR="00000000" w:rsidDel="00000000" w:rsidP="00000000" w:rsidRDefault="00000000" w:rsidRPr="00000000" w14:paraId="0000005F">
      <w:pPr>
        <w:numPr>
          <w:ilvl w:val="2"/>
          <w:numId w:val="1"/>
        </w:numPr>
        <w:spacing w:after="0" w:afterAutospacing="0" w:before="240" w:lineRule="auto"/>
        <w:ind w:left="2160" w:hanging="360"/>
        <w:rPr>
          <w:rFonts w:ascii="Open Sans" w:cs="Open Sans" w:eastAsia="Open Sans" w:hAnsi="Open Sans"/>
        </w:rPr>
      </w:pPr>
      <w:commentRangeStart w:id="6"/>
      <w:r w:rsidDel="00000000" w:rsidR="00000000" w:rsidRPr="00000000">
        <w:rPr>
          <w:rFonts w:ascii="Open Sans" w:cs="Open Sans" w:eastAsia="Open Sans" w:hAnsi="Open Sans"/>
          <w:rtl w:val="0"/>
        </w:rPr>
        <w:t xml:space="preserve">% households in poverty (ACS)</w:t>
      </w:r>
      <w:r w:rsidDel="00000000" w:rsidR="00000000" w:rsidRPr="00000000">
        <w:rPr>
          <w:rFonts w:ascii="Open Sans" w:cs="Open Sans" w:eastAsia="Open Sans" w:hAnsi="Open Sans"/>
          <w:b w:val="1"/>
          <w:bCs w:val="1"/>
          <w:rtl w:val="0"/>
        </w:rPr>
        <w:br w:type="textWrapping"/>
      </w:r>
      <w:commentRangeEnd w:id="6"/>
      <w:r w:rsidDel="00000000" w:rsidR="00000000" w:rsidRPr="00000000">
        <w:commentReference w:id="6"/>
      </w:r>
      <w:r w:rsidDel="00000000" w:rsidR="00000000" w:rsidRPr="00000000">
        <w:rPr>
          <w:rFonts w:ascii="Open Sans" w:cs="Open Sans" w:eastAsia="Open Sans" w:hAnsi="Open Sans"/>
          <w:rtl w:val="0"/>
        </w:rPr>
        <w:t xml:space="preserve">Why? Poverty is tightly linked to “print-poor” environments; families in low-income neighborhoods rely more on public institutions for books and have fewer books at home</w:t>
      </w:r>
      <w:r w:rsidDel="00000000" w:rsidR="00000000" w:rsidRPr="00000000">
        <w:rPr>
          <w:rtl w:val="0"/>
        </w:rPr>
      </w:r>
    </w:p>
    <w:p w:rsidR="00000000" w:rsidDel="00000000" w:rsidP="00000000" w:rsidRDefault="00000000" w:rsidRPr="00000000" w14:paraId="00000060">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Severe rent burden (% households spending  more than 50% income on housing, ACS)</w:t>
      </w:r>
      <w:r w:rsidDel="00000000" w:rsidR="00000000" w:rsidRPr="00000000">
        <w:rPr>
          <w:rFonts w:ascii="Open Sans" w:cs="Open Sans" w:eastAsia="Open Sans" w:hAnsi="Open Sans"/>
          <w:b w:val="1"/>
          <w:bCs w:val="1"/>
          <w:rtl w:val="0"/>
        </w:rPr>
        <w:br w:type="textWrapping"/>
      </w:r>
      <w:r w:rsidDel="00000000" w:rsidR="00000000" w:rsidRPr="00000000">
        <w:rPr>
          <w:rFonts w:ascii="Open Sans" w:cs="Open Sans" w:eastAsia="Open Sans" w:hAnsi="Open Sans"/>
          <w:rtl w:val="0"/>
        </w:rPr>
        <w:t xml:space="preserve">Why ? High cost burden reduces discretionary spending and time bandwidth for book purchase/participation.</w:t>
      </w:r>
    </w:p>
    <w:p w:rsidR="00000000" w:rsidDel="00000000" w:rsidP="00000000" w:rsidRDefault="00000000" w:rsidRPr="00000000" w14:paraId="00000061">
      <w:pPr>
        <w:numPr>
          <w:ilvl w:val="2"/>
          <w:numId w:val="1"/>
        </w:numPr>
        <w:spacing w:after="0" w:afterAutospacing="0" w:before="0" w:beforeAutospacing="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Unemployment rate (ACS)</w:t>
      </w:r>
      <w:r w:rsidDel="00000000" w:rsidR="00000000" w:rsidRPr="00000000">
        <w:rPr>
          <w:rFonts w:ascii="Open Sans" w:cs="Open Sans" w:eastAsia="Open Sans" w:hAnsi="Open Sans"/>
          <w:b w:val="1"/>
          <w:bCs w:val="1"/>
          <w:rtl w:val="0"/>
        </w:rPr>
        <w:br w:type="textWrapping"/>
      </w:r>
      <w:r w:rsidDel="00000000" w:rsidR="00000000" w:rsidRPr="00000000">
        <w:rPr>
          <w:rFonts w:ascii="Open Sans" w:cs="Open Sans" w:eastAsia="Open Sans" w:hAnsi="Open Sans"/>
          <w:rtl w:val="0"/>
        </w:rPr>
        <w:t xml:space="preserve">Why? Economic instability correlates with reduced household spending on learning materials; pairs well with poverty or rent burden to capture different facets of constraint.</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Open Sans" w:cs="Open Sans" w:eastAsia="Open Sans" w:hAnsi="Open Sans"/>
          <w:sz w:val="14"/>
          <w:szCs w:val="14"/>
        </w:rPr>
      </w:pPr>
      <w:r w:rsidDel="00000000" w:rsidR="00000000" w:rsidRPr="00000000">
        <w:rPr>
          <w:rFonts w:ascii="Open Sans" w:cs="Open Sans" w:eastAsia="Open Sans" w:hAnsi="Open Sans"/>
          <w:b w:val="1"/>
          <w:bCs w:val="1"/>
          <w:rtl w:val="0"/>
        </w:rPr>
        <w:t xml:space="preserve">Method</w:t>
      </w:r>
      <w:r w:rsidDel="00000000" w:rsidR="00000000" w:rsidRPr="00000000">
        <w:rPr>
          <w:rFonts w:ascii="Open Sans" w:cs="Open Sans" w:eastAsia="Open Sans" w:hAnsi="Open Sans"/>
          <w:rtl w:val="0"/>
        </w:rPr>
        <w:t xml:space="preserve">: Convert each indicator to z-scores, invert as needed so higher = </w:t>
      </w:r>
      <w:r w:rsidDel="00000000" w:rsidR="00000000" w:rsidRPr="00000000">
        <w:rPr>
          <w:rFonts w:ascii="Open Sans" w:cs="Open Sans" w:eastAsia="Open Sans" w:hAnsi="Open Sans"/>
          <w:i w:val="1"/>
          <w:iCs w:val="1"/>
          <w:rtl w:val="0"/>
        </w:rPr>
        <w:t xml:space="preserve">fewer</w:t>
      </w:r>
      <w:r w:rsidDel="00000000" w:rsidR="00000000" w:rsidRPr="00000000">
        <w:rPr>
          <w:rFonts w:ascii="Arial Unicode MS" w:cs="Arial Unicode MS" w:eastAsia="Arial Unicode MS" w:hAnsi="Arial Unicode MS"/>
          <w:rtl w:val="0"/>
        </w:rPr>
        <w:t xml:space="preserve"> barriers, weight pillars (e.g., Adult 40%, Education 30%, Financial 30%), sum → rescale 0–100 (higher = fewer barriers, or flip to “barrier score”).</w:t>
        <w:br w:type="textWrapping"/>
      </w:r>
    </w:p>
    <w:p w:rsidR="00000000" w:rsidDel="00000000" w:rsidP="00000000" w:rsidRDefault="00000000" w:rsidRPr="00000000" w14:paraId="00000063">
      <w:pPr>
        <w:numPr>
          <w:ilvl w:val="0"/>
          <w:numId w:val="1"/>
        </w:numPr>
        <w:spacing w:after="240" w:before="0" w:beforeAutospacing="0" w:lineRule="auto"/>
        <w:ind w:left="720" w:hanging="360"/>
        <w:rPr>
          <w:rFonts w:ascii="Open Sans" w:cs="Open Sans" w:eastAsia="Open Sans" w:hAnsi="Open Sans"/>
          <w:sz w:val="14"/>
          <w:szCs w:val="14"/>
        </w:rPr>
      </w:pPr>
      <w:r w:rsidDel="00000000" w:rsidR="00000000" w:rsidRPr="00000000">
        <w:rPr>
          <w:rFonts w:ascii="Open Sans" w:cs="Open Sans" w:eastAsia="Open Sans" w:hAnsi="Open Sans"/>
          <w:b w:val="1"/>
          <w:bCs w:val="1"/>
          <w:rtl w:val="0"/>
        </w:rPr>
        <w:t xml:space="preserve">Output</w:t>
      </w:r>
      <w:r w:rsidDel="00000000" w:rsidR="00000000" w:rsidRPr="00000000">
        <w:rPr>
          <w:rFonts w:ascii="Open Sans" w:cs="Open Sans" w:eastAsia="Open Sans" w:hAnsi="Open Sans"/>
          <w:rtl w:val="0"/>
        </w:rPr>
        <w:t xml:space="preserve">: Tract score, 0–100.</w: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i4nt7x2fn739" w:id="4"/>
      <w:bookmarkEnd w:id="4"/>
      <w:r w:rsidDel="00000000" w:rsidR="00000000" w:rsidRPr="00000000">
        <w:rPr>
          <w:rFonts w:ascii="Open Sans" w:cs="Open Sans" w:eastAsia="Open Sans" w:hAnsi="Open Sans"/>
          <w:b w:val="1"/>
          <w:bCs w:val="1"/>
          <w:color w:val="000000"/>
          <w:sz w:val="26"/>
          <w:szCs w:val="26"/>
          <w:rtl w:val="0"/>
        </w:rPr>
        <w:t xml:space="preserve">3.</w:t>
      </w:r>
      <w:commentRangeStart w:id="7"/>
      <w:commentRangeStart w:id="8"/>
      <w:commentRangeStart w:id="9"/>
      <w:commentRangeStart w:id="10"/>
      <w:commentRangeStart w:id="11"/>
      <w:commentRangeStart w:id="12"/>
      <w:r w:rsidDel="00000000" w:rsidR="00000000" w:rsidRPr="00000000">
        <w:rPr>
          <w:rFonts w:ascii="Open Sans" w:cs="Open Sans" w:eastAsia="Open Sans" w:hAnsi="Open Sans"/>
          <w:b w:val="1"/>
          <w:bCs w:val="1"/>
          <w:color w:val="000000"/>
          <w:sz w:val="26"/>
          <w:szCs w:val="26"/>
          <w:rtl w:val="0"/>
        </w:rPr>
        <w:t xml:space="preserve"> Demand Index</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65">
      <w:pPr>
        <w:numPr>
          <w:ilvl w:val="0"/>
          <w:numId w:val="4"/>
        </w:numPr>
        <w:spacing w:after="0" w:afterAutospacing="0" w:before="240" w:lineRule="auto"/>
        <w:ind w:left="720" w:hanging="360"/>
        <w:rPr>
          <w:rFonts w:ascii="Open Sans" w:cs="Open Sans" w:eastAsia="Open Sans" w:hAnsi="Open Sans"/>
          <w:sz w:val="16"/>
          <w:szCs w:val="16"/>
        </w:rPr>
      </w:pPr>
      <w:r w:rsidDel="00000000" w:rsidR="00000000" w:rsidRPr="00000000">
        <w:rPr>
          <w:rFonts w:ascii="Open Sans" w:cs="Open Sans" w:eastAsia="Open Sans" w:hAnsi="Open Sans"/>
          <w:b w:val="1"/>
          <w:bCs w:val="1"/>
          <w:rtl w:val="0"/>
        </w:rPr>
        <w:t xml:space="preserve">Components:</w:t>
      </w:r>
    </w:p>
    <w:p w:rsidR="00000000" w:rsidDel="00000000" w:rsidP="00000000" w:rsidRDefault="00000000" w:rsidRPr="00000000" w14:paraId="00000066">
      <w:pPr>
        <w:numPr>
          <w:ilvl w:val="1"/>
          <w:numId w:val="4"/>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Library visits per capita served</w:t>
      </w:r>
      <w:r w:rsidDel="00000000" w:rsidR="00000000" w:rsidRPr="00000000">
        <w:rPr>
          <w:rFonts w:ascii="Arial Unicode MS" w:cs="Arial Unicode MS" w:eastAsia="Arial Unicode MS" w:hAnsi="Arial Unicode MS"/>
          <w:rtl w:val="0"/>
        </w:rPr>
        <w:t xml:space="preserve"> (county → tract) via population apportionment or 10–20-min drive-time allocation.</w:t>
      </w:r>
    </w:p>
    <w:p w:rsidR="00000000" w:rsidDel="00000000" w:rsidP="00000000" w:rsidRDefault="00000000" w:rsidRPr="00000000" w14:paraId="00000067">
      <w:pPr>
        <w:numPr>
          <w:ilvl w:val="1"/>
          <w:numId w:val="4"/>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RTG individual family BFK requests per capita</w:t>
      </w:r>
      <w:r w:rsidDel="00000000" w:rsidR="00000000" w:rsidRPr="00000000">
        <w:rPr>
          <w:rFonts w:ascii="Arial Unicode MS" w:cs="Arial Unicode MS" w:eastAsia="Arial Unicode MS" w:hAnsi="Arial Unicode MS"/>
          <w:rtl w:val="0"/>
        </w:rPr>
        <w:t xml:space="preserve"> (site → tract) using point aggregation</w:t>
      </w:r>
    </w:p>
    <w:p w:rsidR="00000000" w:rsidDel="00000000" w:rsidP="00000000" w:rsidRDefault="00000000" w:rsidRPr="00000000" w14:paraId="00000068">
      <w:pPr>
        <w:numPr>
          <w:ilvl w:val="1"/>
          <w:numId w:val="4"/>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Book Deserts Map index (tract) by </w:t>
      </w:r>
      <w:hyperlink r:id="rId21">
        <w:r w:rsidDel="00000000" w:rsidR="00000000" w:rsidRPr="00000000">
          <w:rPr>
            <w:rFonts w:ascii="Open Sans" w:cs="Open Sans" w:eastAsia="Open Sans" w:hAnsi="Open Sans"/>
            <w:color w:val="1155cc"/>
            <w:u w:val="single"/>
            <w:rtl w:val="0"/>
          </w:rPr>
          <w:t xml:space="preserve">Unite for Literacy</w:t>
        </w:r>
      </w:hyperlink>
      <w:r w:rsidDel="00000000" w:rsidR="00000000" w:rsidRPr="00000000">
        <w:rPr>
          <w:rFonts w:ascii="Open Sans" w:cs="Open Sans" w:eastAsia="Open Sans" w:hAnsi="Open Sans"/>
          <w:rtl w:val="0"/>
        </w:rPr>
        <w:br w:type="textWrapping"/>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Open Sans" w:cs="Open Sans" w:eastAsia="Open Sans" w:hAnsi="Open Sans"/>
          <w:sz w:val="16"/>
          <w:szCs w:val="16"/>
        </w:rPr>
      </w:pPr>
      <w:r w:rsidDel="00000000" w:rsidR="00000000" w:rsidRPr="00000000">
        <w:rPr>
          <w:rFonts w:ascii="Open Sans" w:cs="Open Sans" w:eastAsia="Open Sans" w:hAnsi="Open Sans"/>
          <w:b w:val="1"/>
          <w:bCs w:val="1"/>
          <w:rtl w:val="0"/>
        </w:rPr>
        <w:t xml:space="preserve">Method:</w:t>
      </w:r>
      <w:r w:rsidDel="00000000" w:rsidR="00000000" w:rsidRPr="00000000">
        <w:rPr>
          <w:rFonts w:ascii="Open Sans" w:cs="Open Sans" w:eastAsia="Open Sans" w:hAnsi="Open Sans"/>
          <w:rtl w:val="0"/>
        </w:rPr>
        <w:t xml:space="preserve"> Normalize to z-scores, average (or weight 60/40 if RTG coverage is sparse), rescale 0–100.</w:t>
        <w:br w:type="textWrapping"/>
      </w:r>
    </w:p>
    <w:p w:rsidR="00000000" w:rsidDel="00000000" w:rsidP="00000000" w:rsidRDefault="00000000" w:rsidRPr="00000000" w14:paraId="0000006A">
      <w:pPr>
        <w:numPr>
          <w:ilvl w:val="0"/>
          <w:numId w:val="4"/>
        </w:numPr>
        <w:spacing w:after="240" w:before="0" w:beforeAutospacing="0" w:lineRule="auto"/>
        <w:ind w:left="720" w:hanging="360"/>
        <w:rPr>
          <w:rFonts w:ascii="Open Sans" w:cs="Open Sans" w:eastAsia="Open Sans" w:hAnsi="Open Sans"/>
          <w:sz w:val="16"/>
          <w:szCs w:val="16"/>
        </w:rPr>
      </w:pPr>
      <w:r w:rsidDel="00000000" w:rsidR="00000000" w:rsidRPr="00000000">
        <w:rPr>
          <w:rFonts w:ascii="Open Sans" w:cs="Open Sans" w:eastAsia="Open Sans" w:hAnsi="Open Sans"/>
          <w:b w:val="1"/>
          <w:bCs w:val="1"/>
          <w:rtl w:val="0"/>
        </w:rPr>
        <w:t xml:space="preserve">Output:</w:t>
      </w:r>
      <w:r w:rsidDel="00000000" w:rsidR="00000000" w:rsidRPr="00000000">
        <w:rPr>
          <w:rFonts w:ascii="Open Sans" w:cs="Open Sans" w:eastAsia="Open Sans" w:hAnsi="Open Sans"/>
          <w:rtl w:val="0"/>
        </w:rPr>
        <w:t xml:space="preserve"> Tract score, 0–100.</w:t>
      </w:r>
    </w:p>
    <w:p w:rsidR="00000000" w:rsidDel="00000000" w:rsidP="00000000" w:rsidRDefault="00000000" w:rsidRPr="00000000" w14:paraId="0000006B">
      <w:pPr>
        <w:pStyle w:val="Heading2"/>
        <w:keepNext w:val="0"/>
        <w:keepLines w:val="0"/>
        <w:spacing w:after="80" w:lineRule="auto"/>
        <w:ind w:left="0" w:firstLine="0"/>
        <w:rPr>
          <w:b w:val="1"/>
          <w:bCs w:val="1"/>
          <w:color w:val="000000"/>
          <w:sz w:val="34"/>
          <w:szCs w:val="34"/>
        </w:rPr>
      </w:pPr>
      <w:bookmarkStart w:colFirst="0" w:colLast="0" w:name="_mv19dm9i6fmf" w:id="5"/>
      <w:bookmarkEnd w:id="5"/>
      <w:r w:rsidDel="00000000" w:rsidR="00000000" w:rsidRPr="00000000">
        <w:rPr>
          <w:b w:val="1"/>
          <w:bCs w:val="1"/>
          <w:color w:val="000000"/>
          <w:sz w:val="34"/>
          <w:szCs w:val="34"/>
          <w:rtl w:val="0"/>
        </w:rPr>
        <w:t xml:space="preserve">Integrations &amp; Reads</w:t>
      </w:r>
    </w:p>
    <w:p w:rsidR="00000000" w:rsidDel="00000000" w:rsidP="00000000" w:rsidRDefault="00000000" w:rsidRPr="00000000" w14:paraId="0000006C">
      <w:pPr>
        <w:numPr>
          <w:ilvl w:val="0"/>
          <w:numId w:val="2"/>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Primary map views:</w:t>
      </w:r>
      <w:r w:rsidDel="00000000" w:rsidR="00000000" w:rsidRPr="00000000">
        <w:rPr>
          <w:rFonts w:ascii="Open Sans" w:cs="Open Sans" w:eastAsia="Open Sans" w:hAnsi="Open Sans"/>
          <w:rtl w:val="0"/>
        </w:rPr>
        <w:t xml:space="preserve"> each index separately (3 layers).</w:t>
        <w:br w:type="textWrapping"/>
      </w:r>
      <w:r w:rsidDel="00000000" w:rsidR="00000000" w:rsidRPr="00000000">
        <w:rPr>
          <w:rtl w:val="0"/>
        </w:rPr>
      </w:r>
    </w:p>
    <w:p w:rsidR="00000000" w:rsidDel="00000000" w:rsidP="00000000" w:rsidRDefault="00000000" w:rsidRPr="00000000" w14:paraId="0000006D">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Comparative reads:</w:t>
      </w:r>
    </w:p>
    <w:p w:rsidR="00000000" w:rsidDel="00000000" w:rsidP="00000000" w:rsidRDefault="00000000" w:rsidRPr="00000000" w14:paraId="0000006E">
      <w:pPr>
        <w:numPr>
          <w:ilvl w:val="1"/>
          <w:numId w:val="2"/>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Low Physical + High BACI (few barriers): likely </w:t>
      </w:r>
      <w:r w:rsidDel="00000000" w:rsidR="00000000" w:rsidRPr="00000000">
        <w:rPr>
          <w:rFonts w:ascii="Open Sans" w:cs="Open Sans" w:eastAsia="Open Sans" w:hAnsi="Open Sans"/>
          <w:i w:val="1"/>
          <w:iCs w:val="1"/>
          <w:rtl w:val="0"/>
        </w:rPr>
        <w:t xml:space="preserve">service deserts</w:t>
      </w:r>
      <w:r w:rsidDel="00000000" w:rsidR="00000000" w:rsidRPr="00000000">
        <w:rPr>
          <w:rFonts w:ascii="Arial Unicode MS" w:cs="Arial Unicode MS" w:eastAsia="Arial Unicode MS" w:hAnsi="Arial Unicode MS"/>
          <w:rtl w:val="0"/>
        </w:rPr>
        <w:t xml:space="preserve"> → prioritize siting/outreach.</w:t>
      </w:r>
    </w:p>
    <w:p w:rsidR="00000000" w:rsidDel="00000000" w:rsidP="00000000" w:rsidRDefault="00000000" w:rsidRPr="00000000" w14:paraId="0000006F">
      <w:pPr>
        <w:numPr>
          <w:ilvl w:val="1"/>
          <w:numId w:val="2"/>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High Physical + Low BACI (many barriers): </w:t>
      </w:r>
      <w:r w:rsidDel="00000000" w:rsidR="00000000" w:rsidRPr="00000000">
        <w:rPr>
          <w:rFonts w:ascii="Open Sans" w:cs="Open Sans" w:eastAsia="Open Sans" w:hAnsi="Open Sans"/>
          <w:i w:val="1"/>
          <w:iCs w:val="1"/>
          <w:rtl w:val="0"/>
        </w:rPr>
        <w:t xml:space="preserve">utilization gap</w:t>
      </w:r>
      <w:r w:rsidDel="00000000" w:rsidR="00000000" w:rsidRPr="00000000">
        <w:rPr>
          <w:rFonts w:ascii="Arial Unicode MS" w:cs="Arial Unicode MS" w:eastAsia="Arial Unicode MS" w:hAnsi="Arial Unicode MS"/>
          <w:rtl w:val="0"/>
        </w:rPr>
        <w:t xml:space="preserve"> → language, programming, affordability, or awareness interventions.</w:t>
      </w:r>
    </w:p>
    <w:p w:rsidR="00000000" w:rsidDel="00000000" w:rsidP="00000000" w:rsidRDefault="00000000" w:rsidRPr="00000000" w14:paraId="00000070">
      <w:pPr>
        <w:numPr>
          <w:ilvl w:val="1"/>
          <w:numId w:val="2"/>
        </w:numPr>
        <w:spacing w:after="24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Demand overlay: highlight where realized demand is high but Physical is low (underserved); or Physical high but Demand low (activation opportunity).</w:t>
      </w:r>
    </w:p>
    <w:p w:rsidR="00000000" w:rsidDel="00000000" w:rsidP="00000000" w:rsidRDefault="00000000" w:rsidRPr="00000000" w14:paraId="00000071">
      <w:pPr>
        <w:rPr>
          <w:rFonts w:ascii="Open Sans" w:cs="Open Sans" w:eastAsia="Open Sans" w:hAnsi="Open Sans"/>
        </w:rPr>
      </w:pPr>
      <w:r w:rsidDel="00000000" w:rsidR="00000000" w:rsidRPr="00000000">
        <w:rPr>
          <w:rtl w:val="0"/>
        </w:rPr>
      </w:r>
    </w:p>
    <w:p w:rsidR="00000000" w:rsidDel="00000000" w:rsidP="00000000" w:rsidRDefault="00000000" w:rsidRPr="00000000" w14:paraId="00000072">
      <w:pPr>
        <w:rPr>
          <w:rFonts w:ascii="Open Sans" w:cs="Open Sans" w:eastAsia="Open Sans" w:hAnsi="Open Sans"/>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a Grimm" w:id="1" w:date="2025-10-17T11:22:35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the data include all students, including students with learning disabilities?  Include a note describing student population?  E.g., 6% of students have learning disabilities?</w:t>
      </w:r>
    </w:p>
  </w:comment>
  <w:comment w:author="Olivia Ildefonso" w:id="2" w:date="2025-10-16T13:23:35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wasnt thinking you would have both. Lets discuss</w:t>
      </w:r>
    </w:p>
  </w:comment>
  <w:comment w:author="Olivia Ildefonso" w:id="3" w:date="2025-10-16T13:25:44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wanted to prioritize grade 3 then i would keep it as its own measure but then make the next measure from grades 4-8 so its not double counted....it will just be a bit more work in the calculation since the state readily reports on 3-8 as its own measure, and 4-8 will need to be calculated based on those grades.</w:t>
      </w:r>
    </w:p>
  </w:comment>
  <w:comment w:author="Olivia Ildefonso" w:id="4" w:date="2025-10-16T13:26:31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pre-k could be another one</w:t>
      </w:r>
    </w:p>
  </w:comment>
  <w:comment w:author="Suzannah Holsenbeck" w:id="0" w:date="2025-10-30T14:46:43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other hyper local book banks, like New Haven Reads, Norwalk Reads, etc?</w:t>
      </w:r>
    </w:p>
  </w:comment>
  <w:comment w:author="Paula Grimm" w:id="6" w:date="2025-10-17T11:33:32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ALICE data is available, might want to include it.</w:t>
      </w:r>
    </w:p>
  </w:comment>
  <w:comment w:author="Paula Grimm" w:id="5" w:date="2025-10-17T11:31:24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difference between poverty and affordability. A family of 4 with an income of 75k would not be considered poor but if they live in a wealthy area they may be struggling. There is an ALICE report (asset limited, income constrained, employed) that identifies this gap.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https://www.unitedforalice.org/introducing-ALICE/connecticut</w:t>
      </w:r>
    </w:p>
  </w:comment>
  <w:comment w:author="Paula Grimm" w:id="7" w:date="2025-10-17T11:41:36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way to include income as part of the demand?  Is there a method that can calculate the demand that confirms the assumption that families who are poor or struggling would have a higher demand for free books?</w:t>
      </w:r>
    </w:p>
  </w:comment>
  <w:comment w:author="Paula Grimm" w:id="8" w:date="2025-10-17T11:43:42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https://rapidsurveyproject.com/article/many-connecticut-families-with-young-children-are-struggling-to-make-ends-meet/</w:t>
      </w:r>
    </w:p>
  </w:comment>
  <w:comment w:author="Paula Grimm" w:id="9" w:date="2025-10-17T11:45:24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https://www.ctdata.org/rapid-survey-1</w:t>
      </w:r>
    </w:p>
  </w:comment>
  <w:comment w:author="Paula Grimm" w:id="10" w:date="2025-10-17T11:58:21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NCES runs a survey every few years - in the Parent and Family Involvement in Education section, under Family Activities, there are questions including how many times you visited a bookstore or library in a month.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https://nces.ed.gov/datalab/powerstats/154-parent-and-family-involvement-in-education-2019</w:t>
      </w:r>
    </w:p>
  </w:comment>
  <w:comment w:author="Paula Grimm" w:id="11" w:date="2025-10-17T12:06:37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Survey of Children's Health also has a ton of data - might not be relevant for Book Access - look at Section G - This Child's Learning and Section H - About You and Your Child.</w:t>
      </w:r>
    </w:p>
  </w:comment>
  <w:comment w:author="Paula Grimm" w:id="12" w:date="2025-10-17T12:06:53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https://www.census.gov/content/dam/Census/programs-surveys/nsch/tech-documentation/questionnaires/2025/2025_NSCH-T1.pdf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Open Sans" w:cs="Open Sans" w:eastAsia="Open Sans" w:hAnsi="Open Sans"/>
      <w:b w:val="1"/>
      <w:bCs w:val="1"/>
      <w:color w:val="0b5394"/>
      <w:sz w:val="36"/>
      <w:szCs w:val="36"/>
    </w:rPr>
  </w:style>
  <w:style w:type="paragraph" w:styleId="Heading2">
    <w:name w:val="heading 2"/>
    <w:basedOn w:val="Normal"/>
    <w:next w:val="Normal"/>
    <w:pPr>
      <w:keepNext w:val="1"/>
      <w:keepLines w:val="1"/>
      <w:spacing w:after="120" w:before="360" w:lineRule="auto"/>
      <w:ind w:left="1440" w:hanging="360"/>
    </w:pPr>
    <w:rPr>
      <w:rFonts w:ascii="Open Sans" w:cs="Open Sans" w:eastAsia="Open Sans" w:hAnsi="Open Sans"/>
      <w:color w:val="0b5394"/>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achoutandread.org/find-a-site/" TargetMode="External"/><Relationship Id="rId11" Type="http://schemas.openxmlformats.org/officeDocument/2006/relationships/hyperlink" Target="https://www.imls.gov/search-compare" TargetMode="External"/><Relationship Id="rId10" Type="http://schemas.openxmlformats.org/officeDocument/2006/relationships/hyperlink" Target="https://docs.google.com/spreadsheets/d/1Uf2kOVlMghoaKLfLWcqPkjlMITTvvEm5MNl7LulQRxE/edit?gid=0#gid=0" TargetMode="External"/><Relationship Id="rId21" Type="http://schemas.openxmlformats.org/officeDocument/2006/relationships/hyperlink" Target="https://www.unitebooks.com/book-deserts/the-book-desert-map" TargetMode="External"/><Relationship Id="rId13" Type="http://schemas.openxmlformats.org/officeDocument/2006/relationships/hyperlink" Target="https://www.imls.gov/search-compare" TargetMode="External"/><Relationship Id="rId12" Type="http://schemas.openxmlformats.org/officeDocument/2006/relationships/hyperlink" Target="https://docs.google.com/spreadsheets/d/1Uf2kOVlMghoaKLfLWcqPkjlMITTvvEm5MNl7LulQRxE/edit?gid=0#gid=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ata.ct.gov/Education/Public-Libraries/kf75-36tt/about_data" TargetMode="External"/><Relationship Id="rId15" Type="http://schemas.openxmlformats.org/officeDocument/2006/relationships/hyperlink" Target="https://www.imls.gov/research-evaluation/data/museum-data-files" TargetMode="External"/><Relationship Id="rId14" Type="http://schemas.openxmlformats.org/officeDocument/2006/relationships/hyperlink" Target="https://docs.google.com/spreadsheets/d/1Uf2kOVlMghoaKLfLWcqPkjlMITTvvEm5MNl7LulQRxE/edit?gid=0#gid=0" TargetMode="External"/><Relationship Id="rId17" Type="http://schemas.openxmlformats.org/officeDocument/2006/relationships/hyperlink" Target="https://docs.overturemaps.org/guides/places/" TargetMode="External"/><Relationship Id="rId16" Type="http://schemas.openxmlformats.org/officeDocument/2006/relationships/hyperlink" Target="https://drive.google.com/drive/folders/17QDj3BIVESXVHm1Jl_oq7jFuMwXV-4ix" TargetMode="External"/><Relationship Id="rId5" Type="http://schemas.openxmlformats.org/officeDocument/2006/relationships/numbering" Target="numbering.xml"/><Relationship Id="rId19" Type="http://schemas.openxmlformats.org/officeDocument/2006/relationships/hyperlink" Target="https://drive.google.com/file/d/1P0WSo_gubLzOHADyuLXBb-9MTdLfyIgI/view?usp=drive_link" TargetMode="External"/><Relationship Id="rId6" Type="http://schemas.openxmlformats.org/officeDocument/2006/relationships/styles" Target="styles.xml"/><Relationship Id="rId18" Type="http://schemas.openxmlformats.org/officeDocument/2006/relationships/hyperlink" Target="https://littlefreelibrary.org/" TargetMode="External"/><Relationship Id="rId7" Type="http://schemas.openxmlformats.org/officeDocument/2006/relationships/hyperlink" Target="https://www.uber.com/en-ES/blog/h3/" TargetMode="External"/><Relationship Id="rId8" Type="http://schemas.openxmlformats.org/officeDocument/2006/relationships/hyperlink" Target="https://docs.google.com/spreadsheets/d/1OVa62fZrm1LaSMnDdesBmy3sPwR8-GTs/edit?gid=1008873140#gid=10088731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