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cc11c7e63fa6545d005a880046f2bd80720d7f"/>
      <w:r>
        <w:t xml:space="preserve">Design Changes from HDR10 Solution based on HDR10+ and China HDR Standard</w:t>
      </w:r>
      <w:bookmarkEnd w:id="20"/>
    </w:p>
    <w:p>
      <w:pPr>
        <w:pStyle w:val="Heading2"/>
      </w:pPr>
      <w:bookmarkStart w:id="21" w:name="hdr10"/>
      <w:r>
        <w:t xml:space="preserve">1. HDR10+</w:t>
      </w:r>
      <w:bookmarkEnd w:id="21"/>
    </w:p>
    <w:p>
      <w:pPr>
        <w:pStyle w:val="FirstParagraph"/>
      </w:pPr>
      <w:r>
        <w:t xml:space="preserve">Note: the design changes are based on SMPTE ST 2094-40:2020.</w:t>
      </w:r>
    </w:p>
    <w:p>
      <w:pPr>
        <w:pStyle w:val="Heading3"/>
      </w:pPr>
      <w:bookmarkStart w:id="22" w:name="processing-windows"/>
      <w:r>
        <w:t xml:space="preserve">1.1 Processing Windows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Multiple processing windows can be defined in ST 2094-1</w:t>
      </w:r>
    </w:p>
    <w:p>
      <w:pPr>
        <w:pStyle w:val="Compact"/>
        <w:numPr>
          <w:numId w:val="1001"/>
          <w:ilvl w:val="0"/>
        </w:numPr>
      </w:pPr>
      <w:r>
        <w:t xml:space="preserve">In ST 2094-40, processing windows can be as large as 3</w:t>
      </w:r>
    </w:p>
    <w:p>
      <w:pPr>
        <w:pStyle w:val="Compact"/>
        <w:numPr>
          <w:numId w:val="1002"/>
          <w:ilvl w:val="1"/>
        </w:numPr>
      </w:pPr>
      <w:r>
        <w:t xml:space="preserve">Window 0 covers all pixels and is always present in the dynamic metadata</w:t>
      </w:r>
    </w:p>
    <w:p>
      <w:pPr>
        <w:pStyle w:val="Compact"/>
        <w:numPr>
          <w:numId w:val="1002"/>
          <w:ilvl w:val="1"/>
        </w:numPr>
      </w:pPr>
      <w:r>
        <w:t xml:space="preserve">Window 1 &amp; 2 can be present, and should be</w:t>
      </w:r>
      <w:r>
        <w:t xml:space="preserve"> </w:t>
      </w:r>
      <w:r>
        <w:rPr>
          <w:b/>
        </w:rPr>
        <w:t xml:space="preserve">eclipse-shaped</w:t>
      </w:r>
      <w:r>
        <w:t xml:space="preserve"> </w:t>
      </w:r>
      <w:r>
        <w:t xml:space="preserve">(exclusive to ST 2094-40)</w:t>
      </w:r>
    </w:p>
    <w:p>
      <w:pPr>
        <w:pStyle w:val="Compact"/>
        <w:numPr>
          <w:numId w:val="1001"/>
          <w:ilvl w:val="0"/>
        </w:numPr>
      </w:pPr>
      <w:r>
        <w:t xml:space="preserve">Design changes</w:t>
      </w:r>
    </w:p>
    <w:p>
      <w:pPr>
        <w:pStyle w:val="Compact"/>
        <w:numPr>
          <w:numId w:val="1003"/>
          <w:ilvl w:val="1"/>
        </w:numPr>
      </w:pPr>
      <w:r>
        <w:t xml:space="preserve">We have to support multiple eclipse-shaped ROI for HDR tone mapping</w:t>
      </w:r>
    </w:p>
    <w:p>
      <w:pPr>
        <w:pStyle w:val="Compact"/>
        <w:numPr>
          <w:numId w:val="1003"/>
          <w:ilvl w:val="1"/>
        </w:numPr>
      </w:pPr>
      <w:r>
        <w:t xml:space="preserve">Otherwise we ignore HDR10+ processing if there are multiple processing windows present</w:t>
      </w:r>
    </w:p>
    <w:p>
      <w:pPr>
        <w:pStyle w:val="Heading3"/>
      </w:pPr>
      <w:bookmarkStart w:id="23" w:name="luminance-parameters"/>
      <w:r>
        <w:t xml:space="preserve">1.2 Luminance Parameters</w:t>
      </w:r>
      <w:bookmarkEnd w:id="23"/>
    </w:p>
    <w:p>
      <w:pPr>
        <w:pStyle w:val="Compact"/>
        <w:numPr>
          <w:numId w:val="1004"/>
          <w:ilvl w:val="0"/>
        </w:numPr>
      </w:pPr>
      <w:r>
        <w:t xml:space="preserve">Several parameters are defined as an alternative to Bezier curve mapping and must be present in the dynamic metadata</w:t>
      </w:r>
    </w:p>
    <w:p>
      <w:pPr>
        <w:pStyle w:val="Compact"/>
        <w:numPr>
          <w:numId w:val="1004"/>
          <w:ilvl w:val="0"/>
        </w:numPr>
      </w:pPr>
      <w:r>
        <w:t xml:space="preserve">The tone mapping method based on the above parameters is</w:t>
      </w:r>
      <w:r>
        <w:t xml:space="preserve"> </w:t>
      </w:r>
      <w:r>
        <w:rPr>
          <w:b/>
        </w:rPr>
        <w:t xml:space="preserve">determined by vendor</w:t>
      </w:r>
    </w:p>
    <w:p>
      <w:pPr>
        <w:pStyle w:val="Compact"/>
        <w:numPr>
          <w:numId w:val="1004"/>
          <w:ilvl w:val="0"/>
        </w:numPr>
      </w:pPr>
      <w:r>
        <w:t xml:space="preserve">Design changes</w:t>
      </w:r>
    </w:p>
    <w:p>
      <w:pPr>
        <w:pStyle w:val="Compact"/>
        <w:numPr>
          <w:numId w:val="1005"/>
          <w:ilvl w:val="1"/>
        </w:numPr>
      </w:pPr>
      <w:r>
        <w:t xml:space="preserve">No change: we can</w:t>
      </w:r>
      <w:r>
        <w:t xml:space="preserve"> </w:t>
      </w:r>
      <w:r>
        <w:rPr>
          <w:b/>
        </w:rPr>
        <w:t xml:space="preserve">ignore these metadata</w:t>
      </w:r>
      <w:r>
        <w:t xml:space="preserve"> </w:t>
      </w:r>
      <w:r>
        <w:t xml:space="preserve">(</w:t>
      </w:r>
      <w:r>
        <w:rPr>
          <w:rStyle w:val="VerbatimChar"/>
        </w:rPr>
        <w:t xml:space="preserve">MaxSCL</w:t>
      </w:r>
      <w:r>
        <w:t xml:space="preserve">,</w:t>
      </w:r>
      <w:r>
        <w:t xml:space="preserve"> </w:t>
      </w:r>
      <w:r>
        <w:rPr>
          <w:rStyle w:val="VerbatimChar"/>
        </w:rPr>
        <w:t xml:space="preserve">AverageMaxRGB</w:t>
      </w:r>
      <w:r>
        <w:t xml:space="preserve">,</w:t>
      </w:r>
      <w:r>
        <w:t xml:space="preserve"> </w:t>
      </w:r>
      <w:r>
        <w:rPr>
          <w:rStyle w:val="VerbatimChar"/>
        </w:rPr>
        <w:t xml:space="preserve">DistributionMaxRGB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FractionBrightPixels</w:t>
      </w:r>
      <w:r>
        <w:t xml:space="preserve">) and only process HDR10+ data if Bezier-curve-related metadata is present</w:t>
      </w:r>
    </w:p>
    <w:p>
      <w:pPr>
        <w:pStyle w:val="Heading3"/>
      </w:pPr>
      <w:bookmarkStart w:id="24" w:name="bezier-curve-mapping"/>
      <w:r>
        <w:t xml:space="preserve">1.3 Bezier Curve Mapping</w:t>
      </w:r>
      <w:bookmarkEnd w:id="24"/>
    </w:p>
    <w:p>
      <w:pPr>
        <w:pStyle w:val="Compact"/>
        <w:numPr>
          <w:numId w:val="1006"/>
          <w:ilvl w:val="0"/>
        </w:numPr>
      </w:pPr>
      <w:r>
        <w:t xml:space="preserve">No design change, but we have to use more general precision settings for 1D-LUTs related to PQ EOTF + tone mapper combination</w:t>
      </w:r>
    </w:p>
    <w:p>
      <w:pPr>
        <w:pStyle w:val="Compact"/>
        <w:numPr>
          <w:numId w:val="1007"/>
          <w:ilvl w:val="1"/>
        </w:numPr>
      </w:pPr>
      <w:r>
        <w:t xml:space="preserve">Input LUT (X-axis of the tone mapping curve): consider uniform sampling on log scale linear RGB values (0 +</w:t>
      </w:r>
      <w:r>
        <w:t xml:space="preserve"> </w:t>
      </w:r>
      <m:oMath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</m:oMath>
      <w:r>
        <w:t xml:space="preserve"> </w:t>
      </w:r>
      <w:r>
        <w:t xml:space="preserve">~</w:t>
      </w:r>
      <w:r>
        <w:t xml:space="preserve"> </w:t>
      </w:r>
      <m:oMath>
        <m:sSup>
          <m:e>
            <m:r>
              <m:t>10</m:t>
            </m:r>
          </m:e>
          <m:sup>
            <m:r>
              <m:t>4</m:t>
            </m:r>
          </m:sup>
        </m:sSup>
      </m:oMath>
      <w:r>
        <w:t xml:space="preserve">), and use their inverse EOTF values as input</w:t>
      </w:r>
    </w:p>
    <w:p>
      <w:pPr>
        <w:pStyle w:val="Heading3"/>
      </w:pPr>
      <w:bookmarkStart w:id="25" w:name="color-saturation-mapping"/>
      <w:r>
        <w:t xml:space="preserve">1.4 Color Saturation Mapping</w:t>
      </w:r>
      <w:bookmarkEnd w:id="25"/>
    </w:p>
    <w:p>
      <w:pPr>
        <w:pStyle w:val="Compact"/>
        <w:numPr>
          <w:numId w:val="1008"/>
          <w:ilvl w:val="0"/>
        </w:numPr>
      </w:pPr>
      <w:r>
        <w:t xml:space="preserve">Design changes</w:t>
      </w:r>
    </w:p>
    <w:p>
      <w:pPr>
        <w:pStyle w:val="Compact"/>
        <w:numPr>
          <w:numId w:val="1009"/>
          <w:ilvl w:val="1"/>
        </w:numPr>
      </w:pPr>
      <w:r>
        <w:t xml:space="preserve">We need to support conversion between linear RGB and Y’CbCr as the mapping is done on Cb &amp; Cr channels</w:t>
      </w:r>
    </w:p>
    <w:p>
      <w:pPr>
        <w:pStyle w:val="Compact"/>
        <w:numPr>
          <w:numId w:val="1009"/>
          <w:ilvl w:val="1"/>
        </w:numPr>
      </w:pPr>
      <w:r>
        <w:t xml:space="preserve">We need to support the computation (</w:t>
      </w:r>
      <w:r>
        <w:rPr>
          <w:rStyle w:val="VerbatimChar"/>
        </w:rPr>
        <w:t xml:space="preserve">log</w:t>
      </w:r>
      <w:r>
        <w:t xml:space="preserve">) of color saturation gain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for each pixel:</w:t>
      </w:r>
      <w:r>
        <w:t xml:space="preserve"> </w:t>
      </w:r>
      <m:oMath>
        <m:r>
          <m:t>s</m:t>
        </m:r>
        <m:r>
          <m:t>=</m:t>
        </m:r>
        <m:r>
          <m:rPr>
            <m:sty m:val="p"/>
          </m:rPr>
          <m:t>m</m:t>
        </m:r>
        <m:r>
          <m:rPr>
            <m:sty m:val="p"/>
          </m:rPr>
          <m:t>i</m:t>
        </m:r>
        <m:r>
          <m:rPr>
            <m:sty m:val="p"/>
          </m:rPr>
          <m:t>n</m:t>
        </m:r>
        <m:r>
          <m:t>(</m:t>
        </m:r>
        <m:r>
          <m:t>1</m:t>
        </m:r>
        <m:r>
          <m:t>+</m:t>
        </m:r>
        <m:r>
          <m:t>w</m:t>
        </m:r>
        <m:r>
          <m:t>⋅</m:t>
        </m:r>
        <m:r>
          <m:rPr>
            <m:sty m:val="p"/>
          </m:rPr>
          <m:t>m</m:t>
        </m:r>
        <m:r>
          <m:rPr>
            <m:sty m:val="p"/>
          </m:rPr>
          <m:t>a</m:t>
        </m:r>
        <m:r>
          <m:rPr>
            <m:sty m:val="p"/>
          </m:rPr>
          <m:t>x</m:t>
        </m:r>
        <m:r>
          <m:t>(</m:t>
        </m:r>
        <m:r>
          <m:t>0</m:t>
        </m:r>
        <m:r>
          <m:t>,</m:t>
        </m:r>
        <m:f>
          <m:fPr>
            <m:type m:val="bar"/>
          </m:fPr>
          <m:num>
            <m:r>
              <m:rPr>
                <m:sty m:val="p"/>
              </m:rPr>
              <m:t>l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g</m:t>
            </m:r>
            <m:r>
              <m:t>(</m:t>
            </m:r>
            <m:r>
              <m:t>a</m:t>
            </m:r>
            <m:r>
              <m:t>⋅</m:t>
            </m:r>
            <m:r>
              <m:t>R</m:t>
            </m:r>
            <m:r>
              <m:t>G</m:t>
            </m:r>
            <m:sSub>
              <m:e>
                <m:r>
                  <m:t>B</m:t>
                </m:r>
              </m:e>
              <m:sub>
                <m:r>
                  <m:t>i</m:t>
                </m:r>
                <m:r>
                  <m:t>n</m:t>
                </m:r>
              </m:sub>
            </m:sSub>
            <m:r>
              <m:t>)</m:t>
            </m:r>
          </m:num>
          <m:den>
            <m:r>
              <m:rPr>
                <m:sty m:val="p"/>
              </m:rPr>
              <m:t>l</m:t>
            </m:r>
            <m:r>
              <m:rPr>
                <m:sty m:val="p"/>
              </m:rPr>
              <m:t>o</m:t>
            </m:r>
            <m:r>
              <m:rPr>
                <m:sty m:val="p"/>
              </m:rPr>
              <m:t>g</m:t>
            </m:r>
            <m:r>
              <m:t>(</m:t>
            </m:r>
            <m:r>
              <m:t>b</m:t>
            </m:r>
            <m:r>
              <m:t>⋅</m:t>
            </m:r>
            <m:r>
              <m:t>R</m:t>
            </m:r>
            <m:r>
              <m:t>G</m:t>
            </m:r>
            <m:sSub>
              <m:e>
                <m:r>
                  <m:t>B</m:t>
                </m:r>
              </m:e>
              <m:sub>
                <m:r>
                  <m:t>o</m:t>
                </m:r>
                <m:r>
                  <m:t>u</m:t>
                </m:r>
                <m:r>
                  <m:t>t</m:t>
                </m:r>
              </m:sub>
            </m:sSub>
            <m:r>
              <m:t>)</m:t>
            </m:r>
          </m:den>
        </m:f>
        <m:r>
          <m:t>−</m:t>
        </m:r>
        <m:r>
          <m:t>1</m:t>
        </m:r>
        <m:r>
          <m:t>)</m:t>
        </m:r>
        <m:r>
          <m:t>,</m:t>
        </m:r>
        <m:r>
          <m:t>η</m:t>
        </m:r>
        <m:r>
          <m:t>)</m:t>
        </m:r>
      </m:oMath>
    </w:p>
    <w:p>
      <w:pPr>
        <w:pStyle w:val="Compact"/>
        <w:numPr>
          <w:numId w:val="1010"/>
          <w:ilvl w:val="2"/>
        </w:numPr>
      </w:pPr>
      <m:oMath>
        <m:r>
          <m:t>w</m:t>
        </m:r>
      </m:oMath>
      <w:r>
        <w:t xml:space="preserve">: color saturation weight in the dynamic metadata</w:t>
      </w:r>
    </w:p>
    <w:p>
      <w:pPr>
        <w:pStyle w:val="Compact"/>
        <w:numPr>
          <w:numId w:val="1010"/>
          <w:ilvl w:val="2"/>
        </w:numPr>
      </w:pPr>
      <m:oMath>
        <m:r>
          <m:t>a</m:t>
        </m:r>
      </m:oMath>
      <w:r>
        <w:t xml:space="preserve"> </w:t>
      </w:r>
      <w:r>
        <w:t xml:space="preserve">&amp;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in range [0, 10000] (computed parameters from dynamic metadata)</w:t>
      </w:r>
    </w:p>
    <w:p>
      <w:pPr>
        <w:pStyle w:val="Compact"/>
        <w:numPr>
          <w:numId w:val="1010"/>
          <w:ilvl w:val="2"/>
        </w:numPr>
      </w:pPr>
      <m:oMath>
        <m:r>
          <m:t>R</m:t>
        </m:r>
        <m:r>
          <m:t>G</m:t>
        </m:r>
        <m:sSub>
          <m:e>
            <m:r>
              <m:t>B</m:t>
            </m:r>
          </m:e>
          <m:sub>
            <m:r>
              <m:t>i</m:t>
            </m:r>
            <m:r>
              <m:t>n</m:t>
            </m:r>
          </m:sub>
        </m:sSub>
      </m:oMath>
      <w:r>
        <w:t xml:space="preserve"> </w:t>
      </w:r>
      <w:r>
        <w:t xml:space="preserve">(input linear RGB) and</w:t>
      </w:r>
      <w:r>
        <w:t xml:space="preserve"> </w:t>
      </w:r>
      <m:oMath>
        <m:r>
          <m:t>R</m:t>
        </m:r>
        <m:r>
          <m:t>G</m:t>
        </m:r>
        <m:sSub>
          <m:e>
            <m:r>
              <m:t>B</m:t>
            </m:r>
          </m:e>
          <m:sub>
            <m:r>
              <m:t>o</m:t>
            </m:r>
            <m:r>
              <m:t>u</m:t>
            </m:r>
            <m:r>
              <m:t>t</m:t>
            </m:r>
          </m:sub>
        </m:sSub>
      </m:oMath>
      <w:r>
        <w:t xml:space="preserve"> </w:t>
      </w:r>
      <w:r>
        <w:t xml:space="preserve">(tonemapped linear RGB) are normalized to [0, 1]</w:t>
      </w:r>
    </w:p>
    <w:p>
      <w:pPr>
        <w:pStyle w:val="Compact"/>
        <w:numPr>
          <w:numId w:val="1010"/>
          <w:ilvl w:val="2"/>
        </w:numPr>
      </w:pPr>
      <m:oMath>
        <m:r>
          <m:t>η</m:t>
        </m:r>
      </m:oMath>
      <w:r>
        <w:t xml:space="preserve">: maximum sat gain allowed</w:t>
      </w:r>
    </w:p>
    <w:p>
      <w:pPr>
        <w:pStyle w:val="Compact"/>
        <w:numPr>
          <w:numId w:val="1008"/>
          <w:ilvl w:val="0"/>
        </w:numPr>
      </w:pPr>
      <w:r>
        <w:t xml:space="preserve">Note: in</w:t>
      </w:r>
      <w:r>
        <w:t xml:space="preserve"> </w:t>
      </w:r>
      <w:hyperlink r:id="rId26">
        <w:r>
          <w:rPr>
            <w:rStyle w:val="Hyperlink"/>
          </w:rPr>
          <w:t xml:space="preserve">A/341 Amendment, 2094-40</w:t>
        </w:r>
      </w:hyperlink>
      <w:r>
        <w:t xml:space="preserve"> </w:t>
      </w:r>
      <w:r>
        <w:t xml:space="preserve">from ATSC, saturation mapping is disabled in all application versions 0 &amp; 1 from ST 2094-40</w:t>
      </w:r>
    </w:p>
    <w:p>
      <w:pPr>
        <w:pStyle w:val="Heading3"/>
      </w:pPr>
      <w:bookmarkStart w:id="27" w:name="other-notes"/>
      <w:r>
        <w:t xml:space="preserve">1.5 Other Notes</w:t>
      </w:r>
      <w:bookmarkEnd w:id="27"/>
    </w:p>
    <w:p>
      <w:pPr>
        <w:pStyle w:val="Compact"/>
        <w:numPr>
          <w:numId w:val="1011"/>
          <w:ilvl w:val="0"/>
        </w:numPr>
      </w:pPr>
      <w:r>
        <w:t xml:space="preserve">How to use current LUT to generate high-quality tone mapping curve based on Bezier curve?</w:t>
      </w:r>
    </w:p>
    <w:p>
      <w:pPr>
        <w:pStyle w:val="Compact"/>
        <w:numPr>
          <w:numId w:val="1012"/>
          <w:ilvl w:val="1"/>
        </w:numPr>
      </w:pPr>
      <w:r>
        <w:t xml:space="preserve">Current design: EOTF and tone mapping curve are combined into one curve</w:t>
      </w:r>
    </w:p>
    <w:p>
      <w:pPr>
        <w:pStyle w:val="Compact"/>
        <w:numPr>
          <w:numId w:val="1011"/>
          <w:ilvl w:val="0"/>
        </w:numPr>
      </w:pPr>
      <w:r>
        <w:t xml:space="preserve">Regenerate LUT every frame, is that possible?</w:t>
      </w:r>
    </w:p>
    <w:p>
      <w:pPr>
        <w:pStyle w:val="Heading2"/>
      </w:pPr>
      <w:bookmarkStart w:id="28" w:name="china-hdr-standard-from-cuva"/>
      <w:r>
        <w:t xml:space="preserve">2. China HDR Standard (from CUVA)</w:t>
      </w:r>
      <w:bookmarkEnd w:id="28"/>
    </w:p>
    <w:p>
      <w:pPr>
        <w:pStyle w:val="FirstParagraph"/>
      </w:pPr>
      <w:r>
        <w:t xml:space="preserve">TODO: input and output ranges for the LUTs need to be evaluated</w:t>
      </w:r>
    </w:p>
    <w:p>
      <w:pPr>
        <w:pStyle w:val="Heading3"/>
      </w:pPr>
      <w:bookmarkStart w:id="29" w:name="processing-windows-1"/>
      <w:r>
        <w:t xml:space="preserve">2.1 Processing Windows</w:t>
      </w:r>
      <w:bookmarkEnd w:id="29"/>
    </w:p>
    <w:p>
      <w:pPr>
        <w:pStyle w:val="Compact"/>
        <w:numPr>
          <w:numId w:val="1013"/>
          <w:ilvl w:val="0"/>
        </w:numPr>
      </w:pPr>
      <w:r>
        <w:t xml:space="preserve">Multiple processing windows (max: 3) can be defined (same as ST 2094-1)</w:t>
      </w:r>
    </w:p>
    <w:p>
      <w:pPr>
        <w:pStyle w:val="Compact"/>
        <w:numPr>
          <w:numId w:val="1013"/>
          <w:ilvl w:val="0"/>
        </w:numPr>
      </w:pPr>
      <w:r>
        <w:t xml:space="preserve">In the standard, it seems that</w:t>
      </w:r>
      <w:r>
        <w:t xml:space="preserve"> </w:t>
      </w:r>
      <w:r>
        <w:rPr>
          <w:b/>
        </w:rPr>
        <w:t xml:space="preserve">only 1 window</w:t>
      </w:r>
      <w:r>
        <w:t xml:space="preserve"> </w:t>
      </w:r>
      <w:r>
        <w:t xml:space="preserve">is used as no ROI coordination is specified in the dynamic metadata (see section 7.3)</w:t>
      </w:r>
    </w:p>
    <w:p>
      <w:pPr>
        <w:pStyle w:val="Compact"/>
        <w:numPr>
          <w:numId w:val="1013"/>
          <w:ilvl w:val="0"/>
        </w:numPr>
      </w:pPr>
      <w:r>
        <w:t xml:space="preserve">Design changes</w:t>
      </w:r>
    </w:p>
    <w:p>
      <w:pPr>
        <w:pStyle w:val="Compact"/>
        <w:numPr>
          <w:numId w:val="1014"/>
          <w:ilvl w:val="1"/>
        </w:numPr>
      </w:pPr>
      <w:r>
        <w:t xml:space="preserve">Same with HDR10+: ignore dynamic metadata if</w:t>
      </w:r>
      <w:r>
        <w:t xml:space="preserve"> </w:t>
      </w:r>
      <w:r>
        <w:rPr>
          <w:rStyle w:val="VerbatimChar"/>
        </w:rPr>
        <w:t xml:space="preserve">num_windows &gt; 1</w:t>
      </w:r>
    </w:p>
    <w:p>
      <w:pPr>
        <w:pStyle w:val="Heading3"/>
      </w:pPr>
      <w:bookmarkStart w:id="30" w:name="pq-hdr-to-hdr-display-adaption"/>
      <w:r>
        <w:t xml:space="preserve">2.2 PQ HDR-to-HDR Display Adaption</w:t>
      </w:r>
      <w:bookmarkEnd w:id="30"/>
    </w:p>
    <w:p>
      <w:pPr>
        <w:pStyle w:val="Heading4"/>
      </w:pPr>
      <w:bookmarkStart w:id="31" w:name="base-curve-parameter-generation"/>
      <w:r>
        <w:t xml:space="preserve">2.2.1 Base Curve Parameter Generation</w:t>
      </w:r>
      <w:bookmarkEnd w:id="31"/>
    </w:p>
    <w:p>
      <w:pPr>
        <w:pStyle w:val="Compact"/>
        <w:numPr>
          <w:numId w:val="1015"/>
          <w:ilvl w:val="0"/>
        </w:numPr>
      </w:pPr>
      <w:r>
        <w:t xml:space="preserve">Involve computing various parameters based on dynamic metadata</w:t>
      </w:r>
    </w:p>
    <w:p>
      <w:pPr>
        <w:pStyle w:val="Compact"/>
        <w:numPr>
          <w:numId w:val="1015"/>
          <w:ilvl w:val="0"/>
        </w:numPr>
      </w:pPr>
      <w:r>
        <w:t xml:space="preserve">No design change: all operations can be done in SW</w:t>
      </w:r>
    </w:p>
    <w:p>
      <w:pPr>
        <w:pStyle w:val="Heading4"/>
      </w:pPr>
      <w:bookmarkStart w:id="32" w:name="cubic-spline-parameter-generation"/>
      <w:r>
        <w:t xml:space="preserve">2.2.2 Cubic Spline Parameter Generation</w:t>
      </w:r>
      <w:bookmarkEnd w:id="32"/>
    </w:p>
    <w:p>
      <w:pPr>
        <w:pStyle w:val="Compact"/>
        <w:numPr>
          <w:numId w:val="1016"/>
          <w:ilvl w:val="0"/>
        </w:numPr>
      </w:pPr>
      <w:r>
        <w:t xml:space="preserve">Same as 2.2.1</w:t>
      </w:r>
    </w:p>
    <w:p>
      <w:pPr>
        <w:pStyle w:val="Compact"/>
        <w:numPr>
          <w:numId w:val="1016"/>
          <w:ilvl w:val="0"/>
        </w:numPr>
      </w:pPr>
      <w:r>
        <w:t xml:space="preserve">No design change: all operations can be done in SW</w:t>
      </w:r>
    </w:p>
    <w:p>
      <w:pPr>
        <w:pStyle w:val="Heading4"/>
      </w:pPr>
      <w:bookmarkStart w:id="33" w:name="tone-mapping-procedure"/>
      <w:r>
        <w:t xml:space="preserve">2.2.3 Tone Mapping Procedure</w:t>
      </w:r>
      <w:bookmarkEnd w:id="33"/>
    </w:p>
    <w:p>
      <w:pPr>
        <w:pStyle w:val="Compact"/>
        <w:numPr>
          <w:numId w:val="1017"/>
          <w:ilvl w:val="0"/>
        </w:numPr>
      </w:pPr>
      <w:r>
        <w:t xml:space="preserve">Tone mapper:</w:t>
      </w:r>
    </w:p>
    <w:p>
      <w:pPr>
        <w:pStyle w:val="Compact"/>
        <w:numPr>
          <w:numId w:val="1018"/>
          <w:ilvl w:val="1"/>
        </w:numPr>
      </w:pPr>
      <w:r>
        <w:t xml:space="preserve">Case 1: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t>_</m:t>
            </m:r>
            <m:r>
              <m:t>T</m:t>
            </m:r>
            <m:r>
              <m:t>M</m:t>
            </m:r>
          </m:sub>
        </m:sSub>
        <m:r>
          <m:t>[</m:t>
        </m:r>
        <m:r>
          <m:t>i</m:t>
        </m:r>
        <m:r>
          <m:t>]</m:t>
        </m:r>
        <m:r>
          <m:t>=</m:t>
        </m:r>
        <m:r>
          <m:t>a</m:t>
        </m:r>
        <m:r>
          <m:t>⋅</m:t>
        </m:r>
        <m:r>
          <m:t>(</m:t>
        </m:r>
        <m:f>
          <m:fPr>
            <m:type m:val="bar"/>
          </m:fPr>
          <m:num>
            <m:r>
              <m:t>b</m:t>
            </m:r>
            <m:r>
              <m:t>⋅</m:t>
            </m:r>
            <m:sSub>
              <m:e>
                <m:r>
                  <m:t>f</m:t>
                </m:r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  <m:r>
              <m:t>[</m:t>
            </m:r>
            <m:r>
              <m:t>i</m:t>
            </m:r>
            <m:sSup>
              <m:e>
                <m:r>
                  <m:t>]</m:t>
                </m:r>
              </m:e>
              <m:sup>
                <m:r>
                  <m:t>c</m:t>
                </m:r>
              </m:sup>
            </m:sSup>
          </m:num>
          <m:den>
            <m:r>
              <m:t>d</m:t>
            </m:r>
            <m:r>
              <m:t>⋅</m:t>
            </m:r>
            <m:r>
              <m:t>(</m:t>
            </m:r>
            <m:sSub>
              <m:e>
                <m:r>
                  <m:t>f</m:t>
                </m:r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  <m:r>
              <m:t>[</m:t>
            </m:r>
            <m:r>
              <m:t>i</m:t>
            </m:r>
            <m:sSup>
              <m:e>
                <m:r>
                  <m:t>]</m:t>
                </m:r>
              </m:e>
              <m:sup>
                <m:r>
                  <m:t>e</m:t>
                </m:r>
              </m:sup>
            </m:sSup>
            <m:r>
              <m:t>+</m:t>
            </m:r>
            <m:r>
              <m:t>f</m:t>
            </m:r>
            <m:r>
              <m:t>)</m:t>
            </m:r>
          </m:den>
        </m:f>
        <m:sSup>
          <m:e>
            <m:r>
              <m:t>)</m:t>
            </m:r>
          </m:e>
          <m:sup>
            <m:r>
              <m:t>g</m:t>
            </m:r>
          </m:sup>
        </m:sSup>
        <m:r>
          <m:t>+</m:t>
        </m:r>
        <m:r>
          <m:t>h</m:t>
        </m:r>
      </m:oMath>
    </w:p>
    <w:p>
      <w:pPr>
        <w:pStyle w:val="Compact"/>
        <w:numPr>
          <w:numId w:val="1019"/>
          <w:ilvl w:val="2"/>
        </w:numPr>
      </w:pPr>
      <m:oMath>
        <m:sSub>
          <m:e>
            <m:r>
              <m:t>f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t>[</m:t>
        </m:r>
        <m:r>
          <m:t>i</m:t>
        </m:r>
        <m:r>
          <m:t>]</m:t>
        </m:r>
      </m:oMath>
      <w:r>
        <w:t xml:space="preserve">:</w:t>
      </w:r>
      <w:r>
        <w:t xml:space="preserve"> </w:t>
      </w:r>
      <m:oMath>
        <m:r>
          <m:t>i</m:t>
        </m:r>
      </m:oMath>
      <w:r>
        <w:t xml:space="preserve">-th pixel’s max nonlinear R’G’B’ channel</w:t>
      </w:r>
    </w:p>
    <w:p>
      <w:pPr>
        <w:pStyle w:val="Compact"/>
        <w:numPr>
          <w:numId w:val="1019"/>
          <w:ilvl w:val="2"/>
        </w:numPr>
      </w:pPr>
      <m:oMath>
        <m:sSub>
          <m:e>
            <m:r>
              <m:t>f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t>_</m:t>
            </m:r>
            <m:r>
              <m:t>T</m:t>
            </m:r>
            <m:r>
              <m:t>M</m:t>
            </m:r>
          </m:sub>
        </m:sSub>
        <m:r>
          <m:t>[</m:t>
        </m:r>
        <m:r>
          <m:t>i</m:t>
        </m:r>
        <m:r>
          <m:t>]</m:t>
        </m:r>
      </m:oMath>
      <w:r>
        <w:t xml:space="preserve">: tonemapped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t>[</m:t>
        </m:r>
        <m:r>
          <m:t>i</m:t>
        </m:r>
        <m:r>
          <m:t>]</m:t>
        </m:r>
      </m:oMath>
    </w:p>
    <w:p>
      <w:pPr>
        <w:pStyle w:val="Compact"/>
        <w:numPr>
          <w:numId w:val="1019"/>
          <w:ilvl w:val="2"/>
        </w:numPr>
      </w:pPr>
      <m:oMath>
        <m:r>
          <m:t>a</m:t>
        </m:r>
      </m:oMath>
      <w:r>
        <w:t xml:space="preserve"> </w:t>
      </w:r>
      <w:r>
        <w:t xml:space="preserve">~</w:t>
      </w:r>
      <w:r>
        <w:t xml:space="preserve"> </w:t>
      </w:r>
      <m:oMath>
        <m:r>
          <m:t>h</m:t>
        </m:r>
      </m:oMath>
      <w:r>
        <w:t xml:space="preserve">: parameters computed from dynamic metadata</w:t>
      </w:r>
    </w:p>
    <w:p>
      <w:pPr>
        <w:pStyle w:val="Compact"/>
        <w:numPr>
          <w:numId w:val="1018"/>
          <w:ilvl w:val="1"/>
        </w:numPr>
      </w:pPr>
      <w:r>
        <w:t xml:space="preserve">Case 2: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t>_</m:t>
            </m:r>
            <m:r>
              <m:t>T</m:t>
            </m:r>
            <m:r>
              <m:t>M</m:t>
            </m:r>
          </m:sub>
        </m:sSub>
        <m:r>
          <m:t>[</m:t>
        </m:r>
        <m:r>
          <m:t>i</m:t>
        </m:r>
        <m:r>
          <m:t>]</m:t>
        </m:r>
        <m:r>
          <m:t>=</m:t>
        </m:r>
        <m:r>
          <m:t>a</m:t>
        </m:r>
        <m:r>
          <m:t>⋅</m:t>
        </m:r>
        <m:sSub>
          <m:e>
            <m:r>
              <m:t>f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t>[</m:t>
        </m:r>
        <m:r>
          <m:t>i</m:t>
        </m:r>
        <m:r>
          <m:t>]</m:t>
        </m:r>
        <m:r>
          <m:t>+</m:t>
        </m:r>
        <m:r>
          <m:t>b</m:t>
        </m:r>
      </m:oMath>
    </w:p>
    <w:p>
      <w:pPr>
        <w:pStyle w:val="Compact"/>
        <w:numPr>
          <w:numId w:val="1020"/>
          <w:ilvl w:val="2"/>
        </w:numPr>
      </w:pPr>
      <m:oMath>
        <m:r>
          <m:t>a</m:t>
        </m:r>
      </m:oMath>
      <w:r>
        <w:t xml:space="preserve"> </w:t>
      </w:r>
      <w:r>
        <w:t xml:space="preserve">~</w:t>
      </w:r>
      <w:r>
        <w:t xml:space="preserve"> </w:t>
      </w:r>
      <m:oMath>
        <m:r>
          <m:t>b</m:t>
        </m:r>
      </m:oMath>
      <w:r>
        <w:t xml:space="preserve">: parameters computed from dynamic metadata</w:t>
      </w:r>
    </w:p>
    <w:p>
      <w:pPr>
        <w:pStyle w:val="Compact"/>
        <w:numPr>
          <w:numId w:val="1018"/>
          <w:ilvl w:val="1"/>
        </w:numPr>
      </w:pPr>
      <w:r>
        <w:t xml:space="preserve">Case 3:</w:t>
      </w:r>
      <w:r>
        <w:t xml:space="preserve"> </w:t>
      </w:r>
      <m:oMath>
        <m:sSub>
          <m:e>
            <m:r>
              <m:t>f</m:t>
            </m:r>
          </m:e>
          <m:sub>
            <m:r>
              <m:t>M</m:t>
            </m:r>
            <m:r>
              <m:t>A</m:t>
            </m:r>
            <m:r>
              <m:t>X</m:t>
            </m:r>
            <m:r>
              <m:t>_</m:t>
            </m:r>
            <m:r>
              <m:t>T</m:t>
            </m:r>
            <m:r>
              <m:t>M</m:t>
            </m:r>
          </m:sub>
        </m:sSub>
        <m:r>
          <m:t>[</m:t>
        </m:r>
        <m:r>
          <m:t>i</m:t>
        </m:r>
        <m:r>
          <m:t>]</m:t>
        </m:r>
        <m:r>
          <m:t>=</m:t>
        </m:r>
        <m:r>
          <m:t>a</m:t>
        </m:r>
        <m:r>
          <m:t>⋅</m:t>
        </m:r>
        <m:r>
          <m:t>(</m:t>
        </m:r>
        <m:sSub>
          <m:e>
            <m:r>
              <m:t>f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t>[</m:t>
        </m:r>
        <m:r>
          <m:t>i</m:t>
        </m:r>
        <m:r>
          <m:t>]</m:t>
        </m:r>
        <m:r>
          <m:t>−</m:t>
        </m:r>
        <m:r>
          <m:t>b</m:t>
        </m:r>
        <m:sSup>
          <m:e>
            <m:r>
              <m:t>)</m:t>
            </m:r>
          </m:e>
          <m:sup>
            <m:r>
              <m:t>3</m:t>
            </m:r>
          </m:sup>
        </m:sSup>
        <m:r>
          <m:t>+</m:t>
        </m:r>
        <m:r>
          <m:t>c</m:t>
        </m:r>
        <m:r>
          <m:t>⋅</m:t>
        </m:r>
        <m:r>
          <m:t>(</m:t>
        </m:r>
        <m:sSub>
          <m:e>
            <m:r>
              <m:t>f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t>[</m:t>
        </m:r>
        <m:r>
          <m:t>i</m:t>
        </m:r>
        <m:r>
          <m:t>]</m:t>
        </m:r>
        <m:r>
          <m:t>−</m:t>
        </m:r>
        <m:r>
          <m:t>d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e</m:t>
        </m:r>
        <m:r>
          <m:t>⋅</m:t>
        </m:r>
        <m:r>
          <m:t>(</m:t>
        </m:r>
        <m:sSub>
          <m:e>
            <m:r>
              <m:t>f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t>[</m:t>
        </m:r>
        <m:r>
          <m:t>i</m:t>
        </m:r>
        <m:r>
          <m:t>]</m:t>
        </m:r>
        <m:r>
          <m:t>−</m:t>
        </m:r>
        <m:r>
          <m:t>f</m:t>
        </m:r>
        <m:sSup>
          <m:e>
            <m:r>
              <m:t>)</m:t>
            </m:r>
          </m:e>
          <m:sup>
            <m:r>
              <m:t>1</m:t>
            </m:r>
          </m:sup>
        </m:sSup>
        <m:r>
          <m:t>+</m:t>
        </m:r>
        <m:r>
          <m:t>g</m:t>
        </m:r>
      </m:oMath>
    </w:p>
    <w:p>
      <w:pPr>
        <w:pStyle w:val="Compact"/>
        <w:numPr>
          <w:numId w:val="1021"/>
          <w:ilvl w:val="2"/>
        </w:numPr>
      </w:pPr>
      <m:oMath>
        <m:r>
          <m:t>a</m:t>
        </m:r>
      </m:oMath>
      <w:r>
        <w:t xml:space="preserve"> </w:t>
      </w:r>
      <w:r>
        <w:t xml:space="preserve">~</w:t>
      </w:r>
      <w:r>
        <w:t xml:space="preserve"> </w:t>
      </w:r>
      <m:oMath>
        <m:r>
          <m:t>g</m:t>
        </m:r>
      </m:oMath>
      <w:r>
        <w:t xml:space="preserve">: parameters computed from dynamic metadata</w:t>
      </w:r>
    </w:p>
    <w:p>
      <w:pPr>
        <w:pStyle w:val="Compact"/>
        <w:numPr>
          <w:numId w:val="1017"/>
          <w:ilvl w:val="0"/>
        </w:numPr>
      </w:pPr>
      <w:r>
        <w:t xml:space="preserve">Tone mapping operation</w:t>
      </w:r>
    </w:p>
    <w:p>
      <w:pPr>
        <w:pStyle w:val="Compact"/>
        <w:numPr>
          <w:numId w:val="1022"/>
          <w:ilvl w:val="1"/>
        </w:numPr>
      </w:pPr>
      <w:r>
        <w:t xml:space="preserve">Compute gain</w:t>
      </w:r>
      <w:r>
        <w:t xml:space="preserve"> </w:t>
      </w:r>
      <m:oMath>
        <m:r>
          <m:t>K</m:t>
        </m:r>
      </m:oMath>
      <w:r>
        <w:t xml:space="preserve">:</w:t>
      </w:r>
      <w:r>
        <w:t xml:space="preserve"> </w:t>
      </w:r>
      <m:oMath>
        <m:r>
          <m:t>K</m:t>
        </m:r>
        <m:r>
          <m:t>=</m:t>
        </m:r>
        <m:f>
          <m:fPr>
            <m:type m:val="bar"/>
          </m:fPr>
          <m:num>
            <m:r>
              <m:t>E</m:t>
            </m:r>
            <m:r>
              <m:t>O</m:t>
            </m:r>
            <m:r>
              <m:t>T</m:t>
            </m:r>
            <m:sSub>
              <m:e>
                <m:r>
                  <m:t>F</m:t>
                </m:r>
              </m:e>
              <m:sub>
                <m:r>
                  <m:t>P</m:t>
                </m:r>
                <m:r>
                  <m:t>Q</m:t>
                </m:r>
              </m:sub>
            </m:sSub>
            <m:r>
              <m:t>(</m:t>
            </m:r>
            <m:sSub>
              <m:e>
                <m:r>
                  <m:t>f</m:t>
                </m:r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  <m:r>
                  <m:t>_</m:t>
                </m:r>
                <m:r>
                  <m:t>T</m:t>
                </m:r>
                <m:r>
                  <m:t>M</m:t>
                </m:r>
              </m:sub>
            </m:sSub>
            <m:r>
              <m:t>[</m:t>
            </m:r>
            <m:r>
              <m:t>i</m:t>
            </m:r>
            <m:r>
              <m:t>]</m:t>
            </m:r>
            <m:r>
              <m:t>)</m:t>
            </m:r>
          </m:num>
          <m:den>
            <m:r>
              <m:t>E</m:t>
            </m:r>
            <m:r>
              <m:t>O</m:t>
            </m:r>
            <m:r>
              <m:t>T</m:t>
            </m:r>
            <m:sSub>
              <m:e>
                <m:r>
                  <m:t>F</m:t>
                </m:r>
              </m:e>
              <m:sub>
                <m:r>
                  <m:t>P</m:t>
                </m:r>
                <m:r>
                  <m:t>Q</m:t>
                </m:r>
              </m:sub>
            </m:sSub>
            <m:r>
              <m:t>(</m:t>
            </m:r>
            <m:sSub>
              <m:e>
                <m:r>
                  <m:t>f</m:t>
                </m:r>
              </m:e>
              <m:sub>
                <m:r>
                  <m:t>M</m:t>
                </m:r>
                <m:r>
                  <m:t>A</m:t>
                </m:r>
                <m:r>
                  <m:t>X</m:t>
                </m:r>
              </m:sub>
            </m:sSub>
            <m:r>
              <m:t>[</m:t>
            </m:r>
            <m:r>
              <m:t>i</m:t>
            </m:r>
            <m:r>
              <m:t>]</m:t>
            </m:r>
            <m:r>
              <m:t>)</m:t>
            </m:r>
          </m:den>
        </m:f>
      </m:oMath>
    </w:p>
    <w:p>
      <w:pPr>
        <w:pStyle w:val="Compact"/>
        <w:numPr>
          <w:numId w:val="1022"/>
          <w:ilvl w:val="1"/>
        </w:numPr>
      </w:pPr>
      <w:r>
        <w:t xml:space="preserve">Tonemap input R’G’B’ for each channel:</w:t>
      </w:r>
      <w:r>
        <w:t xml:space="preserve"> </w:t>
      </w:r>
      <m:oMath>
        <m:sSub>
          <m:e>
            <m:r>
              <m:t>f</m:t>
            </m:r>
          </m:e>
          <m:sub>
            <m:r>
              <m:t>T</m:t>
            </m:r>
            <m:r>
              <m:t>M</m:t>
            </m:r>
          </m:sub>
        </m:sSub>
        <m:r>
          <m:t>[</m:t>
        </m:r>
        <m:r>
          <m:t>i</m:t>
        </m:r>
        <m:r>
          <m:t>]</m:t>
        </m:r>
        <m:r>
          <m:t>[</m:t>
        </m:r>
        <m:r>
          <m:t>x</m:t>
        </m:r>
        <m:r>
          <m:t>]</m:t>
        </m:r>
        <m:r>
          <m:t>=</m:t>
        </m:r>
        <m:r>
          <m:t>E</m:t>
        </m:r>
        <m:r>
          <m:t>O</m:t>
        </m:r>
        <m:r>
          <m:t>T</m:t>
        </m:r>
        <m:sSub>
          <m:e>
            <m:r>
              <m:t>F</m:t>
            </m:r>
          </m:e>
          <m:sub>
            <m:r>
              <m:t>P</m:t>
            </m:r>
            <m:r>
              <m:t>Q</m:t>
            </m:r>
          </m:sub>
        </m:sSub>
        <m:r>
          <m:t>(</m:t>
        </m:r>
        <m:r>
          <m:t>f</m:t>
        </m:r>
        <m:r>
          <m:t>[</m:t>
        </m:r>
        <m:r>
          <m:t>i</m:t>
        </m:r>
        <m:r>
          <m:t>]</m:t>
        </m:r>
        <m:r>
          <m:t>[</m:t>
        </m:r>
        <m:r>
          <m:t>x</m:t>
        </m:r>
        <m:r>
          <m:t>]</m:t>
        </m:r>
        <m:r>
          <m:t>)</m:t>
        </m:r>
        <m:r>
          <m:t>×</m:t>
        </m:r>
        <m:r>
          <m:t>K</m:t>
        </m:r>
      </m:oMath>
    </w:p>
    <w:p>
      <w:pPr>
        <w:pStyle w:val="Compact"/>
        <w:numPr>
          <w:numId w:val="1023"/>
          <w:ilvl w:val="2"/>
        </w:numPr>
      </w:pPr>
      <w:r>
        <w:t xml:space="preserve">Note: result is in linear RGB space (display light)</w:t>
      </w:r>
    </w:p>
    <w:p>
      <w:pPr>
        <w:pStyle w:val="Compact"/>
        <w:numPr>
          <w:numId w:val="1017"/>
          <w:ilvl w:val="0"/>
        </w:numPr>
      </w:pPr>
      <w:r>
        <w:t xml:space="preserve">Design changes</w:t>
      </w:r>
    </w:p>
    <w:p>
      <w:pPr>
        <w:pStyle w:val="Compact"/>
        <w:numPr>
          <w:numId w:val="1024"/>
          <w:ilvl w:val="1"/>
        </w:numPr>
      </w:pPr>
      <w:r>
        <w:t xml:space="preserve">We need to support the polynomial operations (these do not need LUTs) in the case 3 of the above tone mapper</w:t>
      </w:r>
    </w:p>
    <w:p>
      <w:pPr>
        <w:pStyle w:val="Compact"/>
        <w:numPr>
          <w:numId w:val="1024"/>
          <w:ilvl w:val="1"/>
        </w:numPr>
      </w:pPr>
      <w:r>
        <w:t xml:space="preserve">The 2 sets of LUTs in current design can be enough for tone mapping procedure alone</w:t>
      </w:r>
    </w:p>
    <w:p>
      <w:pPr>
        <w:pStyle w:val="Compact"/>
        <w:numPr>
          <w:numId w:val="1025"/>
          <w:ilvl w:val="2"/>
        </w:numPr>
      </w:pPr>
      <w:r>
        <w:t xml:space="preserve">1st set of LUTs are used specifically for PQ EOTF, and cannot combine EOTF with the tone mapping curve</w:t>
      </w:r>
    </w:p>
    <w:p>
      <w:pPr>
        <w:pStyle w:val="Compact"/>
        <w:numPr>
          <w:numId w:val="1025"/>
          <w:ilvl w:val="2"/>
        </w:numPr>
      </w:pPr>
      <w:r>
        <w:t xml:space="preserve">2nd set of LUTs are used to compute</w:t>
      </w:r>
      <w:r>
        <w:t xml:space="preserve"> </w:t>
      </w:r>
      <m:oMath>
        <m:sSup>
          <m:e>
            <m:r>
              <m:t>a</m:t>
            </m:r>
          </m:e>
          <m:sup>
            <m:r>
              <m:t>b</m:t>
            </m:r>
          </m:sup>
        </m:sSup>
      </m:oMath>
      <w:r>
        <w:t xml:space="preserve"> </w:t>
      </w:r>
      <w:r>
        <w:t xml:space="preserve">operations in the case 1 of the above tone mapper</w:t>
      </w:r>
    </w:p>
    <w:p>
      <w:pPr>
        <w:pStyle w:val="Compact"/>
        <w:numPr>
          <w:numId w:val="1025"/>
          <w:ilvl w:val="2"/>
        </w:numPr>
      </w:pPr>
      <w:r>
        <w:t xml:space="preserve">Alternative solution for the 2nd set of LUTs: directly compute case 1 of the tone mapper instead of basic</w:t>
      </w:r>
      <w:r>
        <w:t xml:space="preserve"> </w:t>
      </w:r>
      <m:oMath>
        <m:sSup>
          <m:e>
            <m:r>
              <m:t>a</m:t>
            </m:r>
          </m:e>
          <m:sup>
            <m:r>
              <m:t>b</m:t>
            </m:r>
          </m:sup>
        </m:sSup>
      </m:oMath>
      <w:r>
        <w:t xml:space="preserve"> </w:t>
      </w:r>
      <w:r>
        <w:t xml:space="preserve">operation</w:t>
      </w:r>
    </w:p>
    <w:p>
      <w:pPr>
        <w:pStyle w:val="Heading4"/>
      </w:pPr>
      <w:bookmarkStart w:id="34" w:name="color-correction-procedure"/>
      <w:r>
        <w:t xml:space="preserve">2.2.4 Color Correction Procedure</w:t>
      </w:r>
      <w:bookmarkEnd w:id="34"/>
    </w:p>
    <w:p>
      <w:pPr>
        <w:pStyle w:val="Compact"/>
        <w:numPr>
          <w:numId w:val="1026"/>
          <w:ilvl w:val="0"/>
        </w:numPr>
      </w:pPr>
      <w:r>
        <w:t xml:space="preserve">Computation of color adjustment parameter</w:t>
      </w:r>
      <w:r>
        <w:t xml:space="preserve"> </w:t>
      </w:r>
      <m:oMath>
        <m:r>
          <m:t>s</m:t>
        </m:r>
      </m:oMath>
    </w:p>
    <w:p>
      <w:pPr>
        <w:pStyle w:val="Compact"/>
        <w:numPr>
          <w:numId w:val="1027"/>
          <w:ilvl w:val="1"/>
        </w:numPr>
      </w:pPr>
      <w:r>
        <w:t xml:space="preserve">Case 1:</w:t>
      </w:r>
      <w:r>
        <w:t xml:space="preserve"> </w:t>
      </w:r>
      <m:oMath>
        <m:r>
          <m:t>s</m:t>
        </m:r>
        <m:r>
          <m:t>=</m:t>
        </m:r>
        <m:r>
          <m:t>a</m:t>
        </m:r>
        <m:r>
          <m:t>−</m:t>
        </m:r>
        <m:r>
          <m:t>b</m:t>
        </m:r>
        <m:r>
          <m:t>⋅</m:t>
        </m:r>
        <m:f>
          <m:fPr>
            <m:type m:val="bar"/>
          </m:fPr>
          <m:num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n</m:t>
                </m:r>
              </m:sub>
            </m:sSub>
            <m:r>
              <m:t>−</m:t>
            </m:r>
            <m:r>
              <m:t>c</m:t>
            </m:r>
          </m:num>
          <m:den>
            <m:r>
              <m:t>d</m:t>
            </m:r>
            <m:r>
              <m:t>−</m:t>
            </m:r>
            <m:r>
              <m:t>c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s</m:t>
        </m:r>
        <m:r>
          <m:t>=</m:t>
        </m:r>
        <m:r>
          <m:t>a</m:t>
        </m:r>
      </m:oMath>
    </w:p>
    <w:p>
      <w:pPr>
        <w:pStyle w:val="Compact"/>
        <w:numPr>
          <w:numId w:val="1028"/>
          <w:ilvl w:val="2"/>
        </w:numPr>
      </w:pPr>
      <m:oMath>
        <m:r>
          <m:t>a</m:t>
        </m:r>
      </m:oMath>
      <w:r>
        <w:t xml:space="preserve"> </w:t>
      </w:r>
      <w:r>
        <w:t xml:space="preserve">~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are parameters computed from dynamic metadata</w:t>
      </w:r>
    </w:p>
    <w:p>
      <w:pPr>
        <w:pStyle w:val="Compact"/>
        <w:numPr>
          <w:numId w:val="1027"/>
          <w:ilvl w:val="1"/>
        </w:numPr>
      </w:pPr>
      <w:r>
        <w:t xml:space="preserve">Case 2:</w:t>
      </w:r>
      <w:r>
        <w:t xml:space="preserve"> </w:t>
      </w:r>
      <m:oMath>
        <m:r>
          <m:t>s</m:t>
        </m:r>
        <m:r>
          <m:t>=</m:t>
        </m:r>
        <m:r>
          <m:t>(</m:t>
        </m:r>
        <m:f>
          <m:fPr>
            <m:type m:val="bar"/>
          </m:fPr>
          <m:num>
            <m:r>
              <m:t>Y</m:t>
            </m:r>
          </m:num>
          <m:den>
            <m:sSub>
              <m:e>
                <m:r>
                  <m:t>Y</m:t>
                </m:r>
              </m:e>
              <m:sub>
                <m:r>
                  <m:t>i</m:t>
                </m:r>
                <m:r>
                  <m:t>n</m:t>
                </m:r>
              </m:sub>
            </m:sSub>
          </m:den>
        </m:f>
        <m:sSup>
          <m:e>
            <m:r>
              <m:t>)</m:t>
            </m:r>
          </m:e>
          <m:sup>
            <m:r>
              <m:t>a</m:t>
            </m:r>
          </m:sup>
        </m:sSup>
      </m:oMath>
    </w:p>
    <w:p>
      <w:pPr>
        <w:pStyle w:val="Compact"/>
        <w:numPr>
          <w:numId w:val="1029"/>
          <w:ilvl w:val="2"/>
        </w:numPr>
      </w:pPr>
      <m:oMath>
        <m:r>
          <m:t>a</m:t>
        </m:r>
      </m:oMath>
      <w:r>
        <w:t xml:space="preserve"> </w:t>
      </w:r>
      <w:r>
        <w:t xml:space="preserve">is a parameter computed from dynamic metadata</w:t>
      </w:r>
    </w:p>
    <w:p>
      <w:pPr>
        <w:pStyle w:val="Compact"/>
        <w:numPr>
          <w:numId w:val="1026"/>
          <w:ilvl w:val="0"/>
        </w:numPr>
      </w:pPr>
      <w:r>
        <w:t xml:space="preserve">Design changes</w:t>
      </w:r>
    </w:p>
    <w:p>
      <w:pPr>
        <w:pStyle w:val="Compact"/>
        <w:numPr>
          <w:numId w:val="1030"/>
          <w:ilvl w:val="1"/>
        </w:numPr>
      </w:pPr>
      <w:r>
        <w:t xml:space="preserve">Similar to color saturation mapping in ST 2094-40, we need to support conversion between Y’CbCr and R’G’B’</w:t>
      </w:r>
    </w:p>
    <w:p>
      <w:pPr>
        <w:pStyle w:val="Compact"/>
        <w:numPr>
          <w:numId w:val="1030"/>
          <w:ilvl w:val="1"/>
        </w:numPr>
      </w:pPr>
      <w:r>
        <w:t xml:space="preserve">We need to support the case 1 above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computation</w:t>
      </w:r>
    </w:p>
    <w:p>
      <w:pPr>
        <w:pStyle w:val="Compact"/>
        <w:numPr>
          <w:numId w:val="1030"/>
          <w:ilvl w:val="1"/>
        </w:numPr>
      </w:pPr>
      <w:r>
        <w:t xml:space="preserve">We need to</w:t>
      </w:r>
      <w:r>
        <w:t xml:space="preserve"> </w:t>
      </w:r>
      <w:r>
        <w:rPr>
          <w:b/>
        </w:rPr>
        <w:t xml:space="preserve">add one more set of LUTs</w:t>
      </w:r>
      <w:r>
        <w:t xml:space="preserve"> </w:t>
      </w:r>
      <w:r>
        <w:t xml:space="preserve">for the operations in case 2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computation</w:t>
      </w:r>
    </w:p>
    <w:p>
      <w:pPr>
        <w:pStyle w:val="Compact"/>
        <w:numPr>
          <w:numId w:val="1031"/>
          <w:ilvl w:val="2"/>
        </w:numPr>
      </w:pPr>
      <w:r>
        <w:t xml:space="preserve">Note: compute</w:t>
      </w:r>
      <w:r>
        <w:t xml:space="preserve"> </w:t>
      </w:r>
      <m:oMath>
        <m:sSup>
          <m:e>
            <m:r>
              <m:t>a</m:t>
            </m:r>
          </m:e>
          <m:sup>
            <m:r>
              <m:t>x</m:t>
            </m:r>
          </m:sup>
        </m:sSup>
        <m:r>
          <m:t>/</m:t>
        </m:r>
        <m:sSup>
          <m:e>
            <m:r>
              <m:t>b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or</w:t>
      </w:r>
      <w:r>
        <w:t xml:space="preserve"> </w:t>
      </w:r>
      <m:oMath>
        <m:r>
          <m:t>(</m:t>
        </m:r>
        <m:r>
          <m:t>a</m:t>
        </m:r>
        <m:r>
          <m:t>/</m:t>
        </m:r>
        <m:r>
          <m:t>b</m:t>
        </m:r>
        <m:sSup>
          <m:e>
            <m:r>
              <m:t>)</m:t>
            </m:r>
          </m:e>
          <m:sup>
            <m:r>
              <m:t>x</m:t>
            </m:r>
          </m:sup>
        </m:sSup>
      </m:oMath>
      <w:r>
        <w:t xml:space="preserve">?</w:t>
      </w:r>
    </w:p>
    <w:p>
      <w:pPr>
        <w:pStyle w:val="Heading3"/>
      </w:pPr>
      <w:bookmarkStart w:id="35" w:name="pq-hdr-to-sdr-display-adaption"/>
      <w:r>
        <w:t xml:space="preserve">2.3 PQ HDR-to-SDR Display Adaption</w:t>
      </w:r>
      <w:bookmarkEnd w:id="35"/>
    </w:p>
    <w:p>
      <w:pPr>
        <w:pStyle w:val="Compact"/>
        <w:numPr>
          <w:numId w:val="1032"/>
          <w:ilvl w:val="0"/>
        </w:numPr>
      </w:pPr>
      <w:r>
        <w:t xml:space="preserve">No design changes</w:t>
      </w:r>
    </w:p>
    <w:p>
      <w:pPr>
        <w:pStyle w:val="Heading3"/>
      </w:pPr>
      <w:bookmarkStart w:id="36" w:name="other-notes-1"/>
      <w:r>
        <w:t xml:space="preserve">2.4 Other Notes</w:t>
      </w:r>
      <w:bookmarkEnd w:id="36"/>
    </w:p>
    <w:p>
      <w:pPr>
        <w:pStyle w:val="Compact"/>
        <w:numPr>
          <w:numId w:val="1033"/>
          <w:ilvl w:val="0"/>
        </w:numPr>
      </w:pPr>
      <w:r>
        <w:t xml:space="preserve">Output differences for PQ HDR-to-HDR and PQ HDR-to-SDR cases</w:t>
      </w:r>
    </w:p>
    <w:p>
      <w:pPr>
        <w:pStyle w:val="Compact"/>
        <w:numPr>
          <w:numId w:val="1034"/>
          <w:ilvl w:val="1"/>
        </w:numPr>
      </w:pPr>
      <w:r>
        <w:t xml:space="preserve">In PQ HDR-to-HDR case, final output is tonemapped linear RGB signal</w:t>
      </w:r>
    </w:p>
    <w:p>
      <w:pPr>
        <w:pStyle w:val="Compact"/>
        <w:numPr>
          <w:numId w:val="1034"/>
          <w:ilvl w:val="1"/>
        </w:numPr>
      </w:pPr>
      <w:r>
        <w:t xml:space="preserve">In PQ HDR-to-SDR case, final output seems to be tonemapped nonlinear R’G’B’ signal with applied SDR inverse EOTF</w:t>
      </w:r>
    </w:p>
    <w:p>
      <w:pPr>
        <w:pStyle w:val="Compact"/>
        <w:numPr>
          <w:numId w:val="1033"/>
          <w:ilvl w:val="0"/>
        </w:numPr>
      </w:pPr>
      <w:r>
        <w:t xml:space="preserve">No color space conversion in PQ HDR-to-SDR case: is that included in the color correction procedure?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26" Type="http://schemas.openxmlformats.org/officeDocument/2006/relationships/hyperlink" Target="https://www.atsc.org/wp-content/uploads/2018/02/A341S34-1-582r4-A341-Amendment-2094-40.pdf" TargetMode="Externa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28" Type="http://schemas.openxmlformats.org/officeDocument/2006/relationships/customXml" Target="../customXml/item2.xml"/><Relationship Id="rId4" Type="http://schemas.openxmlformats.org/officeDocument/2006/relationships/webSettings" Target="webSettings.xml"/><Relationship Id="rId27" Type="http://schemas.openxmlformats.org/officeDocument/2006/relationships/customXml" Target="../customXml/item1.xml"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atsc.org/wp-content/uploads/2018/02/A341S34-1-582r4-A341-Amendment-2094-4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9B51318C7CB9C4D891537E21AF6C0FF" ma:contentTypeVersion="13" ma:contentTypeDescription="新建文档。" ma:contentTypeScope="" ma:versionID="5a811f37c5d457ac9c3274bee787874f">
  <xsd:schema xmlns:xsd="http://www.w3.org/2001/XMLSchema" xmlns:xs="http://www.w3.org/2001/XMLSchema" xmlns:p="http://schemas.microsoft.com/office/2006/metadata/properties" xmlns:ns2="88222965-47c5-4792-91ee-8af3a11ee8a3" xmlns:ns3="794db0f0-b1a0-4338-af1f-ea78ef6a60b6" targetNamespace="http://schemas.microsoft.com/office/2006/metadata/properties" ma:root="true" ma:fieldsID="d0ac1f08f4dd614fa8e67cb523e7e332" ns2:_="" ns3:_="">
    <xsd:import namespace="88222965-47c5-4792-91ee-8af3a11ee8a3"/>
    <xsd:import namespace="794db0f0-b1a0-4338-af1f-ea78ef6a60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22965-47c5-4792-91ee-8af3a11ee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087edb2-4243-42fc-8392-9ac2ab46ed13}" ma:internalName="TaxCatchAll" ma:showField="CatchAllData" ma:web="88222965-47c5-4792-91ee-8af3a11ee8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4db0f0-b1a0-4338-af1f-ea78ef6a60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图像标记" ma:readOnly="false" ma:fieldId="{5cf76f15-5ced-4ddc-b409-7134ff3c332f}" ma:taxonomyMulti="true" ma:sspId="731a163b-268d-41bb-9e4b-b5bd3d6dac6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4db0f0-b1a0-4338-af1f-ea78ef6a60b6">
      <Terms xmlns="http://schemas.microsoft.com/office/infopath/2007/PartnerControls"/>
    </lcf76f155ced4ddcb4097134ff3c332f>
    <TaxCatchAll xmlns="88222965-47c5-4792-91ee-8af3a11ee8a3" xsi:nil="true"/>
  </documentManagement>
</p:properties>
</file>

<file path=customXml/itemProps1.xml><?xml version="1.0" encoding="utf-8"?>
<ds:datastoreItem xmlns:ds="http://schemas.openxmlformats.org/officeDocument/2006/customXml" ds:itemID="{74F5D36D-8187-47EC-A76F-6F2538FFE932}"/>
</file>

<file path=customXml/itemProps2.xml><?xml version="1.0" encoding="utf-8"?>
<ds:datastoreItem xmlns:ds="http://schemas.openxmlformats.org/officeDocument/2006/customXml" ds:itemID="{C8F57926-33BA-4D1A-99E2-2B39847946B5}"/>
</file>

<file path=customXml/itemProps3.xml><?xml version="1.0" encoding="utf-8"?>
<ds:datastoreItem xmlns:ds="http://schemas.openxmlformats.org/officeDocument/2006/customXml" ds:itemID="{B757305D-2888-4FF3-B671-07ED37FA00DF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2021-10-12T08:50:56Z</dcterms:created>
  <dcterms:modified xsi:type="dcterms:W3CDTF">2021-10-12T08:50:56Z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0x01010019B51318C7CB9C4D891537E21AF6C0FF</vt:lpwstr>
  </property>
</Properties>
</file>