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4.xml" ContentType="application/vnd.ms-office.chartstyle+xml"/>
  <Override PartName="/word/charts/colors4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606B3" w14:textId="77777777" w:rsidR="00310EBB" w:rsidRPr="00AC2D20" w:rsidRDefault="00C62A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ZAHIC</w:t>
      </w:r>
      <w:r w:rsidR="00AC2D20" w:rsidRPr="00AC2D20">
        <w:rPr>
          <w:rFonts w:ascii="Arial" w:hAnsi="Arial" w:cs="Arial"/>
          <w:b/>
          <w:sz w:val="24"/>
          <w:szCs w:val="24"/>
        </w:rPr>
        <w:t>_MP</w:t>
      </w:r>
    </w:p>
    <w:p w14:paraId="5B0BBE9E" w14:textId="77777777" w:rsidR="00310EBB" w:rsidRDefault="00310EBB"/>
    <w:p w14:paraId="6C9C9913" w14:textId="77777777" w:rsidR="0079574B" w:rsidRDefault="0079574B">
      <w:pPr>
        <w:rPr>
          <w:rFonts w:ascii="Arial" w:hAnsi="Arial" w:cs="Arial"/>
          <w:b/>
          <w:sz w:val="24"/>
          <w:szCs w:val="24"/>
        </w:rPr>
      </w:pPr>
      <w:r w:rsidRPr="00310EBB">
        <w:rPr>
          <w:rFonts w:ascii="Arial" w:hAnsi="Arial" w:cs="Arial"/>
          <w:b/>
          <w:sz w:val="24"/>
          <w:szCs w:val="24"/>
        </w:rPr>
        <w:t xml:space="preserve">Food insecurity access scale </w:t>
      </w:r>
    </w:p>
    <w:p w14:paraId="4EA95A66" w14:textId="78F3DA37" w:rsidR="00310EBB" w:rsidRDefault="00FD2CC2" w:rsidP="00AD0F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4AD81" wp14:editId="1B004E75">
            <wp:simplePos x="0" y="0"/>
            <wp:positionH relativeFrom="column">
              <wp:posOffset>-19685</wp:posOffset>
            </wp:positionH>
            <wp:positionV relativeFrom="paragraph">
              <wp:posOffset>2764155</wp:posOffset>
            </wp:positionV>
            <wp:extent cx="4247515" cy="2123440"/>
            <wp:effectExtent l="0" t="0" r="19685" b="3556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D03">
        <w:rPr>
          <w:noProof/>
        </w:rPr>
        <w:drawing>
          <wp:anchor distT="0" distB="0" distL="114300" distR="114300" simplePos="0" relativeHeight="251658240" behindDoc="0" locked="0" layoutInCell="1" allowOverlap="1" wp14:anchorId="074D9AEC" wp14:editId="0686251E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4247515" cy="2123440"/>
            <wp:effectExtent l="0" t="0" r="19685" b="3556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>
        <w:rPr>
          <w:rFonts w:ascii="Arial" w:hAnsi="Arial" w:cs="Arial"/>
          <w:sz w:val="24"/>
          <w:szCs w:val="24"/>
        </w:rPr>
        <w:t xml:space="preserve">The </w:t>
      </w:r>
      <w:r w:rsidR="008F290F">
        <w:rPr>
          <w:rFonts w:ascii="Arial" w:hAnsi="Arial" w:cs="Arial"/>
          <w:sz w:val="24"/>
          <w:szCs w:val="24"/>
        </w:rPr>
        <w:t xml:space="preserve">majority (43 per cent) </w:t>
      </w:r>
      <w:r w:rsidR="00310EBB">
        <w:rPr>
          <w:rFonts w:ascii="Arial" w:hAnsi="Arial" w:cs="Arial"/>
          <w:sz w:val="24"/>
          <w:szCs w:val="24"/>
        </w:rPr>
        <w:t>of the households in this Livelihood Zone</w:t>
      </w:r>
      <w:r w:rsidR="008F290F">
        <w:rPr>
          <w:rFonts w:ascii="Arial" w:hAnsi="Arial" w:cs="Arial"/>
          <w:sz w:val="24"/>
          <w:szCs w:val="24"/>
        </w:rPr>
        <w:t xml:space="preserve"> were</w:t>
      </w:r>
      <w:r w:rsidR="00310EBB">
        <w:rPr>
          <w:rFonts w:ascii="Arial" w:hAnsi="Arial" w:cs="Arial"/>
          <w:sz w:val="24"/>
          <w:szCs w:val="24"/>
        </w:rPr>
        <w:t xml:space="preserve"> </w:t>
      </w:r>
      <w:r w:rsidR="00C62AFC">
        <w:rPr>
          <w:rFonts w:ascii="Arial" w:hAnsi="Arial" w:cs="Arial"/>
          <w:sz w:val="24"/>
          <w:szCs w:val="24"/>
        </w:rPr>
        <w:t>moderately</w:t>
      </w:r>
      <w:r w:rsidR="008F290F">
        <w:rPr>
          <w:rFonts w:ascii="Arial" w:hAnsi="Arial" w:cs="Arial"/>
          <w:sz w:val="24"/>
          <w:szCs w:val="24"/>
        </w:rPr>
        <w:t xml:space="preserve"> food i</w:t>
      </w:r>
      <w:r w:rsidR="00C62AFC">
        <w:rPr>
          <w:rFonts w:ascii="Arial" w:hAnsi="Arial" w:cs="Arial"/>
          <w:sz w:val="24"/>
          <w:szCs w:val="24"/>
        </w:rPr>
        <w:t>nsecure. This was followed by 41</w:t>
      </w:r>
      <w:r w:rsidR="008F290F">
        <w:rPr>
          <w:rFonts w:ascii="Arial" w:hAnsi="Arial" w:cs="Arial"/>
          <w:sz w:val="24"/>
          <w:szCs w:val="24"/>
        </w:rPr>
        <w:t xml:space="preserve"> per cent of the households</w:t>
      </w:r>
      <w:r w:rsidR="00C62AFC">
        <w:rPr>
          <w:rFonts w:ascii="Arial" w:hAnsi="Arial" w:cs="Arial"/>
          <w:sz w:val="24"/>
          <w:szCs w:val="24"/>
        </w:rPr>
        <w:t xml:space="preserve"> who were found to be mildly food insecure. Only six</w:t>
      </w:r>
      <w:r w:rsidR="008F290F">
        <w:rPr>
          <w:rFonts w:ascii="Arial" w:hAnsi="Arial" w:cs="Arial"/>
          <w:sz w:val="24"/>
          <w:szCs w:val="24"/>
        </w:rPr>
        <w:t xml:space="preserve"> per cent of the households were found to be in a severe state of food insecurity. </w:t>
      </w:r>
      <w:r w:rsidR="00AD0F4B">
        <w:rPr>
          <w:rFonts w:ascii="Arial" w:hAnsi="Arial" w:cs="Arial"/>
          <w:sz w:val="24"/>
          <w:szCs w:val="24"/>
        </w:rPr>
        <w:t xml:space="preserve">About 17 per cent of the households were food secure in this livelihood zone. </w:t>
      </w:r>
    </w:p>
    <w:p w14:paraId="51FDD57E" w14:textId="257447D1" w:rsidR="00AD0F4B" w:rsidRDefault="00AD0F4B">
      <w:pPr>
        <w:rPr>
          <w:rFonts w:ascii="Arial" w:hAnsi="Arial" w:cs="Arial"/>
          <w:sz w:val="24"/>
          <w:szCs w:val="24"/>
        </w:rPr>
      </w:pPr>
    </w:p>
    <w:p w14:paraId="11F425D5" w14:textId="77777777" w:rsidR="00AC2D20" w:rsidRDefault="00AC2D20">
      <w:pPr>
        <w:rPr>
          <w:rFonts w:ascii="Arial" w:hAnsi="Arial" w:cs="Arial"/>
          <w:sz w:val="24"/>
          <w:szCs w:val="24"/>
        </w:rPr>
      </w:pPr>
    </w:p>
    <w:p w14:paraId="5E5C14CC" w14:textId="77777777" w:rsidR="00AD0F4B" w:rsidRPr="00627E2A" w:rsidRDefault="00627E2A">
      <w:pPr>
        <w:rPr>
          <w:rFonts w:ascii="Arial" w:hAnsi="Arial" w:cs="Arial"/>
          <w:b/>
          <w:sz w:val="24"/>
          <w:szCs w:val="24"/>
        </w:rPr>
      </w:pPr>
      <w:r w:rsidRPr="00627E2A">
        <w:rPr>
          <w:rFonts w:ascii="Arial" w:hAnsi="Arial" w:cs="Arial"/>
          <w:b/>
          <w:sz w:val="24"/>
          <w:szCs w:val="24"/>
        </w:rPr>
        <w:t xml:space="preserve">Household Hunger Scale </w:t>
      </w:r>
    </w:p>
    <w:p w14:paraId="0D96CDB3" w14:textId="01C24101" w:rsidR="0079574B" w:rsidRPr="00AC2D20" w:rsidRDefault="00FD2CC2" w:rsidP="00AC2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2CC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CEB7C6" wp14:editId="690E0814">
            <wp:simplePos x="0" y="0"/>
            <wp:positionH relativeFrom="column">
              <wp:posOffset>-4361815</wp:posOffset>
            </wp:positionH>
            <wp:positionV relativeFrom="paragraph">
              <wp:posOffset>1116965</wp:posOffset>
            </wp:positionV>
            <wp:extent cx="4247515" cy="2123440"/>
            <wp:effectExtent l="0" t="0" r="19685" b="3556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 w:rsidRPr="00AC2D20">
        <w:rPr>
          <w:rFonts w:ascii="Arial" w:hAnsi="Arial" w:cs="Arial"/>
          <w:sz w:val="24"/>
          <w:szCs w:val="24"/>
        </w:rPr>
        <w:t>Th</w:t>
      </w:r>
      <w:r w:rsidR="003423CD">
        <w:rPr>
          <w:rFonts w:ascii="Arial" w:hAnsi="Arial" w:cs="Arial"/>
          <w:sz w:val="24"/>
          <w:szCs w:val="24"/>
        </w:rPr>
        <w:t>e majority of the households (65</w:t>
      </w:r>
      <w:r w:rsidR="00310EBB" w:rsidRPr="00AC2D20">
        <w:rPr>
          <w:rFonts w:ascii="Arial" w:hAnsi="Arial" w:cs="Arial"/>
          <w:sz w:val="24"/>
          <w:szCs w:val="24"/>
        </w:rPr>
        <w:t xml:space="preserve"> percent) experi</w:t>
      </w:r>
      <w:r w:rsidR="003423CD">
        <w:rPr>
          <w:rFonts w:ascii="Arial" w:hAnsi="Arial" w:cs="Arial"/>
          <w:sz w:val="24"/>
          <w:szCs w:val="24"/>
        </w:rPr>
        <w:t>ence no to little hunger and 20</w:t>
      </w:r>
      <w:r w:rsidR="00310EBB" w:rsidRPr="00AC2D20">
        <w:rPr>
          <w:rFonts w:ascii="Arial" w:hAnsi="Arial" w:cs="Arial"/>
          <w:sz w:val="24"/>
          <w:szCs w:val="24"/>
        </w:rPr>
        <w:t xml:space="preserve"> per cent of households had severe hunger </w:t>
      </w:r>
      <w:r w:rsidR="009E2895">
        <w:rPr>
          <w:rFonts w:ascii="Arial" w:hAnsi="Arial" w:cs="Arial"/>
          <w:sz w:val="24"/>
          <w:szCs w:val="24"/>
        </w:rPr>
        <w:t>in this livelihood zone. Only 15</w:t>
      </w:r>
      <w:r w:rsidR="00310EBB" w:rsidRPr="00AC2D20">
        <w:rPr>
          <w:rFonts w:ascii="Arial" w:hAnsi="Arial" w:cs="Arial"/>
          <w:sz w:val="24"/>
          <w:szCs w:val="24"/>
        </w:rPr>
        <w:t xml:space="preserve"> per cent of the households reported a moderate hunger situation </w:t>
      </w:r>
      <w:r w:rsidR="00AC2D20">
        <w:rPr>
          <w:rFonts w:ascii="Arial" w:hAnsi="Arial" w:cs="Arial"/>
          <w:sz w:val="24"/>
          <w:szCs w:val="24"/>
        </w:rPr>
        <w:t xml:space="preserve">– see </w:t>
      </w:r>
      <w:proofErr w:type="gramStart"/>
      <w:r w:rsidR="00AC2D20">
        <w:rPr>
          <w:rFonts w:ascii="Arial" w:hAnsi="Arial" w:cs="Arial"/>
          <w:sz w:val="24"/>
          <w:szCs w:val="24"/>
        </w:rPr>
        <w:t xml:space="preserve">figure </w:t>
      </w:r>
      <w:r w:rsidR="00AC2D20" w:rsidRPr="00B36FC5">
        <w:rPr>
          <w:rFonts w:ascii="Arial" w:hAnsi="Arial" w:cs="Arial"/>
          <w:sz w:val="24"/>
          <w:szCs w:val="24"/>
          <w:highlight w:val="yellow"/>
        </w:rPr>
        <w:t>?</w:t>
      </w:r>
      <w:proofErr w:type="gramEnd"/>
      <w:r w:rsidR="00AC2D20" w:rsidRPr="00B36FC5">
        <w:rPr>
          <w:rFonts w:ascii="Arial" w:hAnsi="Arial" w:cs="Arial"/>
          <w:sz w:val="24"/>
          <w:szCs w:val="24"/>
          <w:highlight w:val="yellow"/>
        </w:rPr>
        <w:t>?????</w:t>
      </w:r>
      <w:r w:rsidR="00310EBB" w:rsidRPr="00AC2D20">
        <w:rPr>
          <w:rFonts w:ascii="Arial" w:hAnsi="Arial" w:cs="Arial"/>
          <w:sz w:val="24"/>
          <w:szCs w:val="24"/>
        </w:rPr>
        <w:t>.</w:t>
      </w:r>
      <w:r w:rsidR="003423CD">
        <w:rPr>
          <w:rFonts w:ascii="Arial" w:hAnsi="Arial" w:cs="Arial"/>
          <w:sz w:val="24"/>
          <w:szCs w:val="24"/>
        </w:rPr>
        <w:t xml:space="preserve"> This livelihood </w:t>
      </w:r>
      <w:r w:rsidR="003423CD">
        <w:rPr>
          <w:rFonts w:ascii="Arial" w:hAnsi="Arial" w:cs="Arial"/>
          <w:sz w:val="24"/>
          <w:szCs w:val="24"/>
        </w:rPr>
        <w:lastRenderedPageBreak/>
        <w:t xml:space="preserve">zone has a higher number of households experiencing hunger.  </w:t>
      </w:r>
    </w:p>
    <w:p w14:paraId="6D5DFB9B" w14:textId="30642B7E" w:rsidR="00B36FC5" w:rsidRDefault="00B36FC5" w:rsidP="00DB206A"/>
    <w:p w14:paraId="498A5043" w14:textId="77777777" w:rsidR="00B36FC5" w:rsidRDefault="00B36FC5" w:rsidP="00DB206A"/>
    <w:p w14:paraId="5A35E3FE" w14:textId="77777777" w:rsidR="00DB206A" w:rsidRDefault="009E2895">
      <w:r>
        <w:rPr>
          <w:rFonts w:ascii="Arial" w:hAnsi="Arial" w:cs="Arial"/>
          <w:sz w:val="24"/>
          <w:szCs w:val="24"/>
        </w:rPr>
        <w:t>The majority of households – 85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cent – were cons</w:t>
      </w:r>
      <w:r>
        <w:rPr>
          <w:rFonts w:ascii="Arial" w:hAnsi="Arial" w:cs="Arial"/>
          <w:sz w:val="24"/>
          <w:szCs w:val="24"/>
        </w:rPr>
        <w:t>uming acceptable diets. While 11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cent of the hous</w:t>
      </w:r>
      <w:r w:rsidR="00B36FC5" w:rsidRPr="00B36FC5">
        <w:rPr>
          <w:rFonts w:ascii="Arial" w:hAnsi="Arial" w:cs="Arial"/>
          <w:sz w:val="24"/>
          <w:szCs w:val="24"/>
        </w:rPr>
        <w:t>eholds were within borderline</w:t>
      </w:r>
      <w:r w:rsidR="00DB206A" w:rsidRPr="00B36FC5">
        <w:rPr>
          <w:rFonts w:ascii="Arial" w:hAnsi="Arial" w:cs="Arial"/>
          <w:sz w:val="24"/>
          <w:szCs w:val="24"/>
        </w:rPr>
        <w:t xml:space="preserve"> consumpti</w:t>
      </w:r>
      <w:r>
        <w:rPr>
          <w:rFonts w:ascii="Arial" w:hAnsi="Arial" w:cs="Arial"/>
          <w:sz w:val="24"/>
          <w:szCs w:val="24"/>
        </w:rPr>
        <w:t>on pattern, three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</w:t>
      </w:r>
      <w:r w:rsidR="00B36FC5" w:rsidRPr="00B36FC5">
        <w:rPr>
          <w:rFonts w:ascii="Arial" w:hAnsi="Arial" w:cs="Arial"/>
          <w:sz w:val="24"/>
          <w:szCs w:val="24"/>
        </w:rPr>
        <w:t>ent of the households were consuming poor diets</w:t>
      </w:r>
      <w:r w:rsidR="00DB206A" w:rsidRPr="00B36FC5">
        <w:rPr>
          <w:rFonts w:ascii="Arial" w:hAnsi="Arial" w:cs="Arial"/>
          <w:sz w:val="24"/>
          <w:szCs w:val="24"/>
        </w:rPr>
        <w:t>.</w:t>
      </w:r>
    </w:p>
    <w:p w14:paraId="60787651" w14:textId="388C4052" w:rsidR="00761A24" w:rsidRPr="00DB1BCB" w:rsidRDefault="00761A24"/>
    <w:p w14:paraId="085FE29D" w14:textId="77777777" w:rsidR="00572BCA" w:rsidRDefault="00572BCA">
      <w:pPr>
        <w:rPr>
          <w:rFonts w:ascii="Arial" w:hAnsi="Arial" w:cs="Arial"/>
          <w:b/>
          <w:sz w:val="24"/>
          <w:szCs w:val="24"/>
        </w:rPr>
      </w:pPr>
    </w:p>
    <w:p w14:paraId="618544B3" w14:textId="77777777" w:rsidR="00FF22D4" w:rsidRPr="00761A24" w:rsidRDefault="00761A24">
      <w:pPr>
        <w:rPr>
          <w:rFonts w:ascii="Arial" w:hAnsi="Arial" w:cs="Arial"/>
          <w:b/>
          <w:sz w:val="24"/>
          <w:szCs w:val="24"/>
        </w:rPr>
      </w:pPr>
      <w:r w:rsidRPr="00761A24">
        <w:rPr>
          <w:rFonts w:ascii="Arial" w:hAnsi="Arial" w:cs="Arial"/>
          <w:b/>
          <w:sz w:val="24"/>
          <w:szCs w:val="24"/>
        </w:rPr>
        <w:t>Nutrition and Anthropometry</w:t>
      </w:r>
    </w:p>
    <w:p w14:paraId="50A9728C" w14:textId="77777777" w:rsidR="00761A24" w:rsidRPr="00272935" w:rsidRDefault="004229B9" w:rsidP="00572B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under-five children were found to be having severely acutely malnourished in this livelihood zone. </w:t>
      </w:r>
      <w:r w:rsidR="00DB1B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 under-five children of the age groupings 6-17 and 18-29 months old were found to be moderately acutely malnourished. No under-five children were moderately acutely malnourished in age groupings of 18-29, 42-53 and 54-59 months old. </w:t>
      </w:r>
    </w:p>
    <w:p w14:paraId="0F9C57CD" w14:textId="77777777" w:rsidR="00FF22D4" w:rsidRPr="00F13887" w:rsidRDefault="00F13887">
      <w:pPr>
        <w:rPr>
          <w:rFonts w:ascii="Arial" w:hAnsi="Arial" w:cs="Arial"/>
          <w:b/>
          <w:sz w:val="20"/>
          <w:szCs w:val="20"/>
        </w:rPr>
      </w:pPr>
      <w:r w:rsidRPr="00F13887">
        <w:rPr>
          <w:rFonts w:ascii="Arial" w:hAnsi="Arial" w:cs="Arial"/>
          <w:b/>
          <w:sz w:val="20"/>
          <w:szCs w:val="20"/>
        </w:rPr>
        <w:t xml:space="preserve">Figure??? Prevalence of severe and moderate acute malnutrition by age grouping </w:t>
      </w:r>
    </w:p>
    <w:p w14:paraId="7BE11F5F" w14:textId="77777777" w:rsidR="00FF22D4" w:rsidRDefault="00B57466">
      <w:r>
        <w:rPr>
          <w:noProof/>
        </w:rPr>
        <w:drawing>
          <wp:anchor distT="0" distB="0" distL="114300" distR="114300" simplePos="0" relativeHeight="251661312" behindDoc="0" locked="0" layoutInCell="1" allowOverlap="1" wp14:anchorId="52E58F00" wp14:editId="4A28F4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5715" cy="2267585"/>
            <wp:effectExtent l="0" t="0" r="19685" b="1841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D7FCB" w14:textId="77777777" w:rsidR="00CF2BBF" w:rsidRDefault="00CF2BBF"/>
    <w:p w14:paraId="179C4107" w14:textId="77777777" w:rsidR="006C5893" w:rsidRDefault="006C5893"/>
    <w:p w14:paraId="60775872" w14:textId="77777777" w:rsidR="006C5893" w:rsidRPr="00CC6E31" w:rsidRDefault="006C5893" w:rsidP="00CC6E31">
      <w:pPr>
        <w:jc w:val="both"/>
        <w:rPr>
          <w:rFonts w:ascii="Arial" w:hAnsi="Arial" w:cs="Arial"/>
          <w:sz w:val="24"/>
          <w:szCs w:val="24"/>
        </w:rPr>
      </w:pPr>
    </w:p>
    <w:p w14:paraId="5D890260" w14:textId="08958A04" w:rsidR="00C85845" w:rsidRPr="009A4986" w:rsidRDefault="001860A1" w:rsidP="00C8584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C1DAB5" wp14:editId="08E534B7">
            <wp:simplePos x="0" y="0"/>
            <wp:positionH relativeFrom="column">
              <wp:posOffset>-3949700</wp:posOffset>
            </wp:positionH>
            <wp:positionV relativeFrom="paragraph">
              <wp:posOffset>1263015</wp:posOffset>
            </wp:positionV>
            <wp:extent cx="3815715" cy="2267585"/>
            <wp:effectExtent l="0" t="0" r="19685" b="18415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893" w:rsidRPr="00CC6E31">
        <w:rPr>
          <w:rFonts w:ascii="Arial" w:hAnsi="Arial" w:cs="Arial"/>
          <w:sz w:val="24"/>
          <w:szCs w:val="24"/>
        </w:rPr>
        <w:t>Ther</w:t>
      </w:r>
      <w:r w:rsidR="009A4986">
        <w:rPr>
          <w:rFonts w:ascii="Arial" w:hAnsi="Arial" w:cs="Arial"/>
          <w:sz w:val="24"/>
          <w:szCs w:val="24"/>
        </w:rPr>
        <w:t>e is a high prevalence of moderate</w:t>
      </w:r>
      <w:r w:rsidR="006C5893" w:rsidRPr="00CC6E31">
        <w:rPr>
          <w:rFonts w:ascii="Arial" w:hAnsi="Arial" w:cs="Arial"/>
          <w:sz w:val="24"/>
          <w:szCs w:val="24"/>
        </w:rPr>
        <w:t xml:space="preserve"> </w:t>
      </w:r>
      <w:r w:rsidR="009A4986">
        <w:rPr>
          <w:rFonts w:ascii="Arial" w:hAnsi="Arial" w:cs="Arial"/>
          <w:sz w:val="24"/>
          <w:szCs w:val="24"/>
        </w:rPr>
        <w:t xml:space="preserve">stunting </w:t>
      </w:r>
      <w:r w:rsidR="006C5893" w:rsidRPr="00CC6E31">
        <w:rPr>
          <w:rFonts w:ascii="Arial" w:hAnsi="Arial" w:cs="Arial"/>
          <w:sz w:val="24"/>
          <w:szCs w:val="24"/>
        </w:rPr>
        <w:t xml:space="preserve">among </w:t>
      </w:r>
      <w:r w:rsidR="009A4986">
        <w:rPr>
          <w:rFonts w:ascii="Arial" w:hAnsi="Arial" w:cs="Arial"/>
          <w:sz w:val="24"/>
          <w:szCs w:val="24"/>
        </w:rPr>
        <w:t xml:space="preserve">under-five children within 42-53 months old. Only the under-five children within the ages of 6-17 months and 42-53 months old did not have severe stunting. About 25 per cent and 13 per cent of the under-five children in the ages 18-29 months old were severely and moderate stunted in the this </w:t>
      </w:r>
      <w:r w:rsidR="00C85845">
        <w:rPr>
          <w:rFonts w:ascii="Arial" w:hAnsi="Arial" w:cs="Arial"/>
          <w:sz w:val="24"/>
          <w:szCs w:val="24"/>
        </w:rPr>
        <w:t xml:space="preserve">livelihood zone. </w:t>
      </w:r>
      <w:r w:rsidR="00C85845" w:rsidRPr="009A4986">
        <w:rPr>
          <w:rFonts w:ascii="Arial" w:hAnsi="Arial" w:cs="Arial"/>
          <w:sz w:val="24"/>
          <w:szCs w:val="24"/>
        </w:rPr>
        <w:t>No under-five children were</w:t>
      </w:r>
      <w:r w:rsidR="00C85845">
        <w:rPr>
          <w:rFonts w:ascii="Arial" w:hAnsi="Arial" w:cs="Arial"/>
          <w:sz w:val="24"/>
          <w:szCs w:val="24"/>
        </w:rPr>
        <w:t xml:space="preserve"> found to be moderately underweight </w:t>
      </w:r>
      <w:bookmarkStart w:id="0" w:name="_GoBack"/>
      <w:bookmarkEnd w:id="0"/>
      <w:r w:rsidR="00C85845">
        <w:rPr>
          <w:rFonts w:ascii="Arial" w:hAnsi="Arial" w:cs="Arial"/>
          <w:sz w:val="24"/>
          <w:szCs w:val="24"/>
        </w:rPr>
        <w:t xml:space="preserve">and severely </w:t>
      </w:r>
      <w:r w:rsidR="00C85845">
        <w:rPr>
          <w:rFonts w:ascii="Arial" w:hAnsi="Arial" w:cs="Arial"/>
          <w:sz w:val="24"/>
          <w:szCs w:val="24"/>
        </w:rPr>
        <w:lastRenderedPageBreak/>
        <w:t xml:space="preserve">underweight in this livelihood zone. </w:t>
      </w:r>
      <w:r w:rsidR="00C85845" w:rsidRPr="009A4986">
        <w:rPr>
          <w:rFonts w:ascii="Arial" w:hAnsi="Arial" w:cs="Arial"/>
          <w:sz w:val="24"/>
          <w:szCs w:val="24"/>
        </w:rPr>
        <w:t xml:space="preserve"> </w:t>
      </w:r>
    </w:p>
    <w:p w14:paraId="6C2D0B77" w14:textId="77777777" w:rsidR="00CC6E31" w:rsidRPr="00CC6E31" w:rsidRDefault="00CC6E31" w:rsidP="00CC6E31">
      <w:pPr>
        <w:jc w:val="both"/>
        <w:rPr>
          <w:rFonts w:ascii="Arial" w:hAnsi="Arial" w:cs="Arial"/>
          <w:sz w:val="24"/>
          <w:szCs w:val="24"/>
        </w:rPr>
      </w:pPr>
    </w:p>
    <w:p w14:paraId="171DD855" w14:textId="445B95FB" w:rsidR="00CF2BBF" w:rsidRDefault="00CF2BBF"/>
    <w:p w14:paraId="6F00F158" w14:textId="77777777" w:rsidR="00CF2BBF" w:rsidRDefault="00CF2BBF"/>
    <w:p w14:paraId="1237AD37" w14:textId="77777777" w:rsidR="0079574B" w:rsidRDefault="0079574B"/>
    <w:sectPr w:rsidR="0079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4B"/>
    <w:rsid w:val="00097DA4"/>
    <w:rsid w:val="001860A1"/>
    <w:rsid w:val="002229D6"/>
    <w:rsid w:val="00236F5B"/>
    <w:rsid w:val="00272935"/>
    <w:rsid w:val="00310EBB"/>
    <w:rsid w:val="00320CBB"/>
    <w:rsid w:val="003423CD"/>
    <w:rsid w:val="004229B9"/>
    <w:rsid w:val="00572BCA"/>
    <w:rsid w:val="00627E2A"/>
    <w:rsid w:val="006C5893"/>
    <w:rsid w:val="00704E34"/>
    <w:rsid w:val="007513A7"/>
    <w:rsid w:val="00754DC6"/>
    <w:rsid w:val="00761A24"/>
    <w:rsid w:val="007755C0"/>
    <w:rsid w:val="0079574B"/>
    <w:rsid w:val="008F290F"/>
    <w:rsid w:val="009A4986"/>
    <w:rsid w:val="009E2895"/>
    <w:rsid w:val="00AC2D20"/>
    <w:rsid w:val="00AD0D03"/>
    <w:rsid w:val="00AD0F4B"/>
    <w:rsid w:val="00AE5D68"/>
    <w:rsid w:val="00B36FC5"/>
    <w:rsid w:val="00B57466"/>
    <w:rsid w:val="00C62AFC"/>
    <w:rsid w:val="00C85845"/>
    <w:rsid w:val="00C917D9"/>
    <w:rsid w:val="00CC0CE6"/>
    <w:rsid w:val="00CC6E31"/>
    <w:rsid w:val="00CF2BBF"/>
    <w:rsid w:val="00D535D1"/>
    <w:rsid w:val="00D625B8"/>
    <w:rsid w:val="00DB1BCB"/>
    <w:rsid w:val="00DB206A"/>
    <w:rsid w:val="00EA6273"/>
    <w:rsid w:val="00F13887"/>
    <w:rsid w:val="00FD2CC2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203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2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2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Relationship Id="rId2" Type="http://schemas.microsoft.com/office/2011/relationships/chartStyle" Target="style4.xml"/><Relationship Id="rId3" Type="http://schemas.microsoft.com/office/2011/relationships/chartColorStyle" Target="colors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777511961722488"/>
          <c:w val="0.725666889934468"/>
          <c:h val="0.7833138680631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Sheet1!$A$48</c:f>
              <c:strCache>
                <c:ptCount val="1"/>
                <c:pt idx="0">
                  <c:v>ZAHIC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Sheet1!$B$43:$D$43</c:f>
              <c:strCache>
                <c:ptCount val="3"/>
                <c:pt idx="0">
                  <c:v>Little to no hunger</c:v>
                </c:pt>
                <c:pt idx="1">
                  <c:v>Moderate hunger </c:v>
                </c:pt>
                <c:pt idx="2">
                  <c:v>Severe hunger </c:v>
                </c:pt>
              </c:strCache>
            </c:strRef>
          </c:cat>
          <c:val>
            <c:numRef>
              <c:f>Sheet1!$B$48:$D$48</c:f>
              <c:numCache>
                <c:formatCode>General</c:formatCode>
                <c:ptCount val="3"/>
                <c:pt idx="0">
                  <c:v>65.0</c:v>
                </c:pt>
                <c:pt idx="1">
                  <c:v>15.0</c:v>
                </c:pt>
                <c:pt idx="2">
                  <c:v>20.0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CB-4D10-80DE-C9BDDAF68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9992056"/>
        <c:axId val="-2107242392"/>
      </c:barChart>
      <c:catAx>
        <c:axId val="-2119992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7242392"/>
        <c:crosses val="autoZero"/>
        <c:auto val="1"/>
        <c:lblAlgn val="ctr"/>
        <c:lblOffset val="100"/>
        <c:noMultiLvlLbl val="0"/>
      </c:catAx>
      <c:valAx>
        <c:axId val="-210724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19992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Sheet1!$A$28</c:f>
              <c:strCache>
                <c:ptCount val="1"/>
                <c:pt idx="0">
                  <c:v>ZAHIC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Food Secure</c:v>
                </c:pt>
                <c:pt idx="1">
                  <c:v>Mildly Food Insecure</c:v>
                </c:pt>
                <c:pt idx="2">
                  <c:v>Moderately Food Insecure</c:v>
                </c:pt>
                <c:pt idx="3">
                  <c:v>Severely Food Insecure</c:v>
                </c:pt>
              </c:strCache>
            </c:strRef>
          </c:cat>
          <c:val>
            <c:numRef>
              <c:f>Sheet1!$B$28:$E$28</c:f>
              <c:numCache>
                <c:formatCode>General</c:formatCode>
                <c:ptCount val="4"/>
                <c:pt idx="0">
                  <c:v>10.0</c:v>
                </c:pt>
                <c:pt idx="1">
                  <c:v>41.0</c:v>
                </c:pt>
                <c:pt idx="2">
                  <c:v>43.0</c:v>
                </c:pt>
                <c:pt idx="3">
                  <c:v>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243-4EB1-8C79-BC6406F45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7960440"/>
        <c:axId val="2086410296"/>
      </c:barChart>
      <c:catAx>
        <c:axId val="-2107960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86410296"/>
        <c:crosses val="autoZero"/>
        <c:auto val="1"/>
        <c:lblAlgn val="ctr"/>
        <c:lblOffset val="100"/>
        <c:noMultiLvlLbl val="0"/>
      </c:catAx>
      <c:valAx>
        <c:axId val="2086410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7960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777511961722488"/>
          <c:w val="0.728656873489558"/>
          <c:h val="0.7833138680631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Sheet1!$A$58</c:f>
              <c:strCache>
                <c:ptCount val="1"/>
                <c:pt idx="0">
                  <c:v>ZAHIC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Sheet1!$B$53:$D$53</c:f>
              <c:strCache>
                <c:ptCount val="3"/>
                <c:pt idx="0">
                  <c:v>Poor (0 - 21)</c:v>
                </c:pt>
                <c:pt idx="1">
                  <c:v>Borderline (21.5 - 35)</c:v>
                </c:pt>
                <c:pt idx="2">
                  <c:v>Acceptable (&gt;=35)</c:v>
                </c:pt>
              </c:strCache>
            </c:strRef>
          </c:cat>
          <c:val>
            <c:numRef>
              <c:f>Sheet1!$B$58:$D$58</c:f>
              <c:numCache>
                <c:formatCode>###0</c:formatCode>
                <c:ptCount val="3"/>
                <c:pt idx="0">
                  <c:v>3.409090909090909</c:v>
                </c:pt>
                <c:pt idx="1">
                  <c:v>11.36363636363637</c:v>
                </c:pt>
                <c:pt idx="2">
                  <c:v>85.22727272727273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AA6-41C6-91AE-0DEAD4F08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3276056"/>
        <c:axId val="-2103279688"/>
      </c:barChart>
      <c:catAx>
        <c:axId val="-2103276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3279688"/>
        <c:crosses val="autoZero"/>
        <c:auto val="1"/>
        <c:lblAlgn val="ctr"/>
        <c:lblOffset val="100"/>
        <c:noMultiLvlLbl val="0"/>
      </c:catAx>
      <c:valAx>
        <c:axId val="-210327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3276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975565523106"/>
          <c:y val="0.0728087370484458"/>
          <c:w val="0.61612830098684"/>
          <c:h val="0.7242793544674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Sheet1!$B$109</c:f>
              <c:strCache>
                <c:ptCount val="1"/>
                <c:pt idx="0">
                  <c:v>Severe acute malnutrition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Sheet1!$C$109:$G$109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EA3-41A1-B56A-074A1D1EF093}"/>
            </c:ext>
          </c:extLst>
        </c:ser>
        <c:ser>
          <c:idx val="1"/>
          <c:order val="1"/>
          <c:tx>
            <c:strRef>
              <c:f>Sheet1!$B$119</c:f>
              <c:strCache>
                <c:ptCount val="1"/>
                <c:pt idx="0">
                  <c:v>Moderate acute malnutrition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Sheet1!$C$119:$G$119</c:f>
              <c:numCache>
                <c:formatCode>General</c:formatCode>
                <c:ptCount val="5"/>
                <c:pt idx="0">
                  <c:v>20.0</c:v>
                </c:pt>
                <c:pt idx="1">
                  <c:v>0.0</c:v>
                </c:pt>
                <c:pt idx="2">
                  <c:v>7.7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EA3-41A1-B56A-074A1D1EF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2085951224"/>
        <c:axId val="-2120281880"/>
      </c:barChart>
      <c:catAx>
        <c:axId val="2085951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 </a:t>
                </a:r>
              </a:p>
            </c:rich>
          </c:tx>
          <c:layout>
            <c:manualLayout>
              <c:xMode val="edge"/>
              <c:yMode val="edge"/>
              <c:x val="0.313153367062267"/>
              <c:y val="0.88798655838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20281880"/>
        <c:crosses val="autoZero"/>
        <c:auto val="1"/>
        <c:lblAlgn val="ctr"/>
        <c:lblOffset val="100"/>
        <c:noMultiLvlLbl val="0"/>
      </c:catAx>
      <c:valAx>
        <c:axId val="-212028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133133632884007"/>
              <c:y val="0.29861504640399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85951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387274730948"/>
          <c:y val="0.198128846327701"/>
          <c:w val="0.208299361980651"/>
          <c:h val="0.4581243922499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303906345207"/>
          <c:y val="0.0728087370484458"/>
          <c:w val="0.627759410752637"/>
          <c:h val="0.7163572699590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Sheet1!$B$88</c:f>
              <c:strCache>
                <c:ptCount val="1"/>
                <c:pt idx="0">
                  <c:v>Severe stunting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4"/>
              <c:layout>
                <c:manualLayout>
                  <c:x val="-0.00998502246630055"/>
                  <c:y val="0.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Sheet1!$C$83:$G$83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Sheet1!$C$88:$G$88</c:f>
              <c:numCache>
                <c:formatCode>General</c:formatCode>
                <c:ptCount val="5"/>
                <c:pt idx="0">
                  <c:v>0.0</c:v>
                </c:pt>
                <c:pt idx="1">
                  <c:v>25.0</c:v>
                </c:pt>
                <c:pt idx="2">
                  <c:v>7.7</c:v>
                </c:pt>
                <c:pt idx="3">
                  <c:v>0.0</c:v>
                </c:pt>
                <c:pt idx="4">
                  <c:v>11.1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788-4233-AC38-242B96074A68}"/>
            </c:ext>
          </c:extLst>
        </c:ser>
        <c:ser>
          <c:idx val="1"/>
          <c:order val="1"/>
          <c:tx>
            <c:strRef>
              <c:f>Sheet1!$B$97</c:f>
              <c:strCache>
                <c:ptCount val="1"/>
                <c:pt idx="0">
                  <c:v>Moderate stunting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4"/>
              <c:layout>
                <c:manualLayout>
                  <c:x val="0.00998502246630042"/>
                  <c:y val="0.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Sheet1!$C$83:$G$83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Sheet1!$C$97:$G$97</c:f>
              <c:numCache>
                <c:formatCode>General</c:formatCode>
                <c:ptCount val="5"/>
                <c:pt idx="0">
                  <c:v>20.0</c:v>
                </c:pt>
                <c:pt idx="1">
                  <c:v>12.5</c:v>
                </c:pt>
                <c:pt idx="2">
                  <c:v>15.1</c:v>
                </c:pt>
                <c:pt idx="3">
                  <c:v>57.1</c:v>
                </c:pt>
                <c:pt idx="4">
                  <c:v>11.1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788-4233-AC38-242B96074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10"/>
        <c:axId val="-2101046712"/>
        <c:axId val="-2101040504"/>
      </c:barChart>
      <c:catAx>
        <c:axId val="-210104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Age in months </a:t>
                </a:r>
              </a:p>
            </c:rich>
          </c:tx>
          <c:layout>
            <c:manualLayout>
              <c:xMode val="edge"/>
              <c:yMode val="edge"/>
              <c:x val="0.320632961319176"/>
              <c:y val="0.8968664901205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1040504"/>
        <c:crosses val="autoZero"/>
        <c:auto val="1"/>
        <c:lblAlgn val="ctr"/>
        <c:lblOffset val="100"/>
        <c:noMultiLvlLbl val="0"/>
      </c:catAx>
      <c:valAx>
        <c:axId val="-210104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133133632884007"/>
              <c:y val="0.2862529960288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0104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6690043674645"/>
          <c:y val="0.192245494656209"/>
          <c:w val="0.213309956325354"/>
          <c:h val="0.4082837027057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Mjabuliseni Ngidi</dc:creator>
  <cp:keywords/>
  <dc:description/>
  <cp:lastModifiedBy>Charles Rethman</cp:lastModifiedBy>
  <cp:revision>9</cp:revision>
  <dcterms:created xsi:type="dcterms:W3CDTF">2017-02-23T13:25:00Z</dcterms:created>
  <dcterms:modified xsi:type="dcterms:W3CDTF">2017-02-24T02:56:00Z</dcterms:modified>
</cp:coreProperties>
</file>