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C7E05" w14:textId="77777777" w:rsidR="00310EBB" w:rsidRPr="00AC2D20" w:rsidRDefault="00FC0E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ZAHMI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14:paraId="3CDB3C71" w14:textId="77777777" w:rsidR="00310EBB" w:rsidRDefault="00310EBB"/>
    <w:p w14:paraId="41AA7E7D" w14:textId="77777777"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14:paraId="44C3472B" w14:textId="36D88184" w:rsidR="00310EBB" w:rsidRDefault="00AA3DBC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DE693" wp14:editId="2AED88E9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4247515" cy="2123440"/>
            <wp:effectExtent l="0" t="0" r="19685" b="3556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>
        <w:rPr>
          <w:rFonts w:ascii="Arial" w:hAnsi="Arial" w:cs="Arial"/>
          <w:sz w:val="24"/>
          <w:szCs w:val="24"/>
        </w:rPr>
        <w:t xml:space="preserve">The </w:t>
      </w:r>
      <w:r w:rsidR="001E33F9">
        <w:rPr>
          <w:rFonts w:ascii="Arial" w:hAnsi="Arial" w:cs="Arial"/>
          <w:sz w:val="24"/>
          <w:szCs w:val="24"/>
        </w:rPr>
        <w:t>majority (41</w:t>
      </w:r>
      <w:r w:rsidR="008F290F">
        <w:rPr>
          <w:rFonts w:ascii="Arial" w:hAnsi="Arial" w:cs="Arial"/>
          <w:sz w:val="24"/>
          <w:szCs w:val="24"/>
        </w:rPr>
        <w:t xml:space="preserve"> per cent) </w:t>
      </w:r>
      <w:r w:rsidR="00310EBB"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 w:rsidR="00310EBB">
        <w:rPr>
          <w:rFonts w:ascii="Arial" w:hAnsi="Arial" w:cs="Arial"/>
          <w:sz w:val="24"/>
          <w:szCs w:val="24"/>
        </w:rPr>
        <w:t xml:space="preserve"> </w:t>
      </w:r>
      <w:r w:rsidR="008F290F">
        <w:rPr>
          <w:rFonts w:ascii="Arial" w:hAnsi="Arial" w:cs="Arial"/>
          <w:sz w:val="24"/>
          <w:szCs w:val="24"/>
        </w:rPr>
        <w:t>mildly food i</w:t>
      </w:r>
      <w:r w:rsidR="001E33F9">
        <w:rPr>
          <w:rFonts w:ascii="Arial" w:hAnsi="Arial" w:cs="Arial"/>
          <w:sz w:val="24"/>
          <w:szCs w:val="24"/>
        </w:rPr>
        <w:t>nsecure. This was followed by 40</w:t>
      </w:r>
      <w:r w:rsidR="008F290F">
        <w:rPr>
          <w:rFonts w:ascii="Arial" w:hAnsi="Arial" w:cs="Arial"/>
          <w:sz w:val="24"/>
          <w:szCs w:val="24"/>
        </w:rPr>
        <w:t xml:space="preserve"> per cent of the households who were found to be mod</w:t>
      </w:r>
      <w:r w:rsidR="001E33F9">
        <w:rPr>
          <w:rFonts w:ascii="Arial" w:hAnsi="Arial" w:cs="Arial"/>
          <w:sz w:val="24"/>
          <w:szCs w:val="24"/>
        </w:rPr>
        <w:t>erately food insecure. Only three</w:t>
      </w:r>
      <w:r w:rsidR="008F290F">
        <w:rPr>
          <w:rFonts w:ascii="Arial" w:hAnsi="Arial" w:cs="Arial"/>
          <w:sz w:val="24"/>
          <w:szCs w:val="24"/>
        </w:rPr>
        <w:t xml:space="preserve"> per cent of the households were found to be in a severe state of food insecurity. </w:t>
      </w:r>
      <w:r w:rsidR="00AD0F4B">
        <w:rPr>
          <w:rFonts w:ascii="Arial" w:hAnsi="Arial" w:cs="Arial"/>
          <w:sz w:val="24"/>
          <w:szCs w:val="24"/>
        </w:rPr>
        <w:t xml:space="preserve">About 17 per cent of the households were food secure in this livelihood zone. </w:t>
      </w:r>
    </w:p>
    <w:p w14:paraId="128E1A96" w14:textId="45081FDE" w:rsidR="00AC2D20" w:rsidRDefault="00AA3D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0FB6F" wp14:editId="34106825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247515" cy="2123440"/>
            <wp:effectExtent l="0" t="0" r="19685" b="3556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976C" w14:textId="4578C41B"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14:paraId="0F240D83" w14:textId="2FCA4C53" w:rsidR="0079574B" w:rsidRPr="00AC2D20" w:rsidRDefault="00AA3DBC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75116" wp14:editId="5522D349">
            <wp:simplePos x="0" y="0"/>
            <wp:positionH relativeFrom="column">
              <wp:posOffset>-4381500</wp:posOffset>
            </wp:positionH>
            <wp:positionV relativeFrom="paragraph">
              <wp:posOffset>1496695</wp:posOffset>
            </wp:positionV>
            <wp:extent cx="4247515" cy="2124075"/>
            <wp:effectExtent l="0" t="0" r="19685" b="3492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 w:rsidRPr="00AC2D20">
        <w:rPr>
          <w:rFonts w:ascii="Arial" w:hAnsi="Arial" w:cs="Arial"/>
          <w:sz w:val="24"/>
          <w:szCs w:val="24"/>
        </w:rPr>
        <w:t>Th</w:t>
      </w:r>
      <w:r w:rsidR="001E33F9">
        <w:rPr>
          <w:rFonts w:ascii="Arial" w:hAnsi="Arial" w:cs="Arial"/>
          <w:sz w:val="24"/>
          <w:szCs w:val="24"/>
        </w:rPr>
        <w:t>e majority of the households (64</w:t>
      </w:r>
      <w:r w:rsidR="00310EBB" w:rsidRPr="00AC2D20">
        <w:rPr>
          <w:rFonts w:ascii="Arial" w:hAnsi="Arial" w:cs="Arial"/>
          <w:sz w:val="24"/>
          <w:szCs w:val="24"/>
        </w:rPr>
        <w:t xml:space="preserve"> percent) experi</w:t>
      </w:r>
      <w:r w:rsidR="00511884">
        <w:rPr>
          <w:rFonts w:ascii="Arial" w:hAnsi="Arial" w:cs="Arial"/>
          <w:sz w:val="24"/>
          <w:szCs w:val="24"/>
        </w:rPr>
        <w:t>ence no to little hunger and 14</w:t>
      </w:r>
      <w:r w:rsidR="00310EBB"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511884">
        <w:rPr>
          <w:rFonts w:ascii="Arial" w:hAnsi="Arial" w:cs="Arial"/>
          <w:sz w:val="24"/>
          <w:szCs w:val="24"/>
        </w:rPr>
        <w:t>in this livelihood zone. Only 22</w:t>
      </w:r>
      <w:r w:rsidR="00310EBB"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t>?</w:t>
      </w:r>
      <w:proofErr w:type="gramEnd"/>
      <w:r w:rsidR="00AC2D20" w:rsidRPr="00B36FC5">
        <w:rPr>
          <w:rFonts w:ascii="Arial" w:hAnsi="Arial" w:cs="Arial"/>
          <w:sz w:val="24"/>
          <w:szCs w:val="24"/>
          <w:highlight w:val="yellow"/>
        </w:rPr>
        <w:t>?????</w:t>
      </w:r>
      <w:r w:rsidR="00310EBB" w:rsidRPr="00AC2D20">
        <w:rPr>
          <w:rFonts w:ascii="Arial" w:hAnsi="Arial" w:cs="Arial"/>
          <w:sz w:val="24"/>
          <w:szCs w:val="24"/>
        </w:rPr>
        <w:t>.</w:t>
      </w:r>
    </w:p>
    <w:p w14:paraId="7527170E" w14:textId="6712EDAF" w:rsidR="00B36FC5" w:rsidRDefault="00B36FC5" w:rsidP="00DB206A"/>
    <w:p w14:paraId="77AC6453" w14:textId="77777777" w:rsidR="00B36FC5" w:rsidRDefault="00B36FC5" w:rsidP="00DB206A"/>
    <w:p w14:paraId="2B91C841" w14:textId="77777777" w:rsidR="00DB206A" w:rsidRDefault="007A4C82">
      <w:r>
        <w:rPr>
          <w:rFonts w:ascii="Arial" w:hAnsi="Arial" w:cs="Arial"/>
          <w:sz w:val="24"/>
          <w:szCs w:val="24"/>
        </w:rPr>
        <w:lastRenderedPageBreak/>
        <w:t>The majority of households – 91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cent – were cons</w:t>
      </w:r>
      <w:r>
        <w:rPr>
          <w:rFonts w:ascii="Arial" w:hAnsi="Arial" w:cs="Arial"/>
          <w:sz w:val="24"/>
          <w:szCs w:val="24"/>
        </w:rPr>
        <w:t>uming acceptable diets. While nine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="00B36FC5"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>
        <w:rPr>
          <w:rFonts w:ascii="Arial" w:hAnsi="Arial" w:cs="Arial"/>
          <w:sz w:val="24"/>
          <w:szCs w:val="24"/>
        </w:rPr>
        <w:t>on pattern, no</w:t>
      </w:r>
      <w:r w:rsidR="00B36FC5" w:rsidRPr="00B36FC5">
        <w:rPr>
          <w:rFonts w:ascii="Arial" w:hAnsi="Arial" w:cs="Arial"/>
          <w:sz w:val="24"/>
          <w:szCs w:val="24"/>
        </w:rPr>
        <w:t xml:space="preserve"> households were consuming poor diets</w:t>
      </w:r>
      <w:r>
        <w:rPr>
          <w:rFonts w:ascii="Arial" w:hAnsi="Arial" w:cs="Arial"/>
          <w:sz w:val="24"/>
          <w:szCs w:val="24"/>
        </w:rPr>
        <w:t xml:space="preserve"> in this livelihood zone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14:paraId="12BC2215" w14:textId="13021AC6" w:rsidR="00761A24" w:rsidRPr="00DB1BCB" w:rsidRDefault="0017629F">
      <w:r>
        <w:rPr>
          <w:noProof/>
        </w:rPr>
        <w:drawing>
          <wp:anchor distT="0" distB="0" distL="114300" distR="114300" simplePos="0" relativeHeight="251661312" behindDoc="0" locked="0" layoutInCell="1" allowOverlap="1" wp14:anchorId="4AC54D15" wp14:editId="24424B25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3815715" cy="2267585"/>
            <wp:effectExtent l="0" t="0" r="19685" b="1841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44982" w14:textId="77777777" w:rsidR="00572BCA" w:rsidRDefault="00572BCA">
      <w:pPr>
        <w:rPr>
          <w:rFonts w:ascii="Arial" w:hAnsi="Arial" w:cs="Arial"/>
          <w:b/>
          <w:sz w:val="24"/>
          <w:szCs w:val="24"/>
        </w:rPr>
      </w:pPr>
    </w:p>
    <w:p w14:paraId="4634DDD0" w14:textId="77777777" w:rsidR="00FF22D4" w:rsidRPr="00761A24" w:rsidRDefault="00761A24">
      <w:pPr>
        <w:rPr>
          <w:rFonts w:ascii="Arial" w:hAnsi="Arial" w:cs="Arial"/>
          <w:b/>
          <w:sz w:val="24"/>
          <w:szCs w:val="24"/>
        </w:rPr>
      </w:pPr>
      <w:r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14:paraId="752E4961" w14:textId="7B7001CD" w:rsidR="00761A24" w:rsidRPr="00272935" w:rsidRDefault="002C4D0A" w:rsidP="00572BC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92727" wp14:editId="7CBB2E39">
            <wp:simplePos x="0" y="0"/>
            <wp:positionH relativeFrom="column">
              <wp:posOffset>-3949700</wp:posOffset>
            </wp:positionH>
            <wp:positionV relativeFrom="paragraph">
              <wp:posOffset>1376680</wp:posOffset>
            </wp:positionV>
            <wp:extent cx="3815715" cy="2257425"/>
            <wp:effectExtent l="0" t="0" r="19685" b="28575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BCB">
        <w:rPr>
          <w:rFonts w:ascii="Arial" w:hAnsi="Arial" w:cs="Arial"/>
          <w:sz w:val="24"/>
          <w:szCs w:val="24"/>
        </w:rPr>
        <w:t>In general, the under-five children</w:t>
      </w:r>
      <w:r w:rsidR="007F0AC9">
        <w:rPr>
          <w:rFonts w:ascii="Arial" w:hAnsi="Arial" w:cs="Arial"/>
          <w:sz w:val="24"/>
          <w:szCs w:val="24"/>
        </w:rPr>
        <w:t xml:space="preserve"> of all age groups were moderately acutely malnourished. </w:t>
      </w:r>
      <w:proofErr w:type="gramStart"/>
      <w:r w:rsidR="007F0AC9">
        <w:rPr>
          <w:rFonts w:ascii="Arial" w:hAnsi="Arial" w:cs="Arial"/>
          <w:sz w:val="24"/>
          <w:szCs w:val="24"/>
        </w:rPr>
        <w:t>moderate</w:t>
      </w:r>
      <w:proofErr w:type="gramEnd"/>
      <w:r w:rsidR="00DB1BCB">
        <w:rPr>
          <w:rFonts w:ascii="Arial" w:hAnsi="Arial" w:cs="Arial"/>
          <w:sz w:val="24"/>
          <w:szCs w:val="24"/>
        </w:rPr>
        <w:t xml:space="preserve"> a</w:t>
      </w:r>
      <w:r w:rsidR="00761A24">
        <w:rPr>
          <w:rFonts w:ascii="Arial" w:hAnsi="Arial" w:cs="Arial"/>
          <w:sz w:val="24"/>
          <w:szCs w:val="24"/>
        </w:rPr>
        <w:t xml:space="preserve">cute malnutrition is </w:t>
      </w:r>
      <w:r w:rsidR="00761A24" w:rsidRPr="00761A24">
        <w:rPr>
          <w:rFonts w:ascii="Arial" w:hAnsi="Arial" w:cs="Arial"/>
          <w:sz w:val="24"/>
          <w:szCs w:val="24"/>
        </w:rPr>
        <w:t>predomina</w:t>
      </w:r>
      <w:r w:rsidR="007F0AC9">
        <w:rPr>
          <w:rFonts w:ascii="Arial" w:hAnsi="Arial" w:cs="Arial"/>
          <w:sz w:val="24"/>
          <w:szCs w:val="24"/>
        </w:rPr>
        <w:t>nt in the 18-29</w:t>
      </w:r>
      <w:r w:rsidR="00761A24" w:rsidRPr="00761A24">
        <w:rPr>
          <w:rFonts w:ascii="Arial" w:hAnsi="Arial" w:cs="Arial"/>
          <w:sz w:val="24"/>
          <w:szCs w:val="24"/>
        </w:rPr>
        <w:t xml:space="preserve"> </w:t>
      </w:r>
      <w:r w:rsidR="007F0AC9">
        <w:rPr>
          <w:rFonts w:ascii="Arial" w:hAnsi="Arial" w:cs="Arial"/>
          <w:sz w:val="24"/>
          <w:szCs w:val="24"/>
        </w:rPr>
        <w:t>and 30-41</w:t>
      </w:r>
      <w:r w:rsidR="00761A24" w:rsidRPr="00761A24">
        <w:rPr>
          <w:rFonts w:ascii="Arial" w:hAnsi="Arial" w:cs="Arial"/>
          <w:sz w:val="24"/>
          <w:szCs w:val="24"/>
        </w:rPr>
        <w:t xml:space="preserve">months old </w:t>
      </w:r>
      <w:r w:rsidR="007F0AC9">
        <w:rPr>
          <w:rFonts w:ascii="Arial" w:hAnsi="Arial" w:cs="Arial"/>
          <w:sz w:val="24"/>
          <w:szCs w:val="24"/>
        </w:rPr>
        <w:t>under-five children of</w:t>
      </w:r>
      <w:r w:rsidR="00DB1BCB">
        <w:rPr>
          <w:rFonts w:ascii="Arial" w:hAnsi="Arial" w:cs="Arial"/>
          <w:sz w:val="24"/>
          <w:szCs w:val="24"/>
        </w:rPr>
        <w:t xml:space="preserve"> the livelihood zone (</w:t>
      </w:r>
      <w:r w:rsidR="00DB1BCB" w:rsidRPr="00272935">
        <w:rPr>
          <w:rFonts w:ascii="Arial" w:hAnsi="Arial" w:cs="Arial"/>
          <w:sz w:val="24"/>
          <w:szCs w:val="24"/>
          <w:highlight w:val="yellow"/>
        </w:rPr>
        <w:t>Figure ????</w:t>
      </w:r>
      <w:r w:rsidR="00761A24" w:rsidRPr="00272935">
        <w:rPr>
          <w:rFonts w:ascii="Arial" w:hAnsi="Arial" w:cs="Arial"/>
          <w:sz w:val="24"/>
          <w:szCs w:val="24"/>
          <w:highlight w:val="yellow"/>
        </w:rPr>
        <w:t>).</w:t>
      </w:r>
      <w:r w:rsidR="00761A24" w:rsidRPr="00761A24">
        <w:rPr>
          <w:rFonts w:ascii="Arial" w:hAnsi="Arial" w:cs="Arial"/>
          <w:sz w:val="24"/>
          <w:szCs w:val="24"/>
        </w:rPr>
        <w:t xml:space="preserve"> </w:t>
      </w:r>
      <w:r w:rsidR="00DB1BCB">
        <w:rPr>
          <w:rFonts w:ascii="Arial" w:hAnsi="Arial" w:cs="Arial"/>
          <w:sz w:val="24"/>
          <w:szCs w:val="24"/>
        </w:rPr>
        <w:t>About 17 per cent of the under-five ch</w:t>
      </w:r>
      <w:r w:rsidR="007F0AC9">
        <w:rPr>
          <w:rFonts w:ascii="Arial" w:hAnsi="Arial" w:cs="Arial"/>
          <w:sz w:val="24"/>
          <w:szCs w:val="24"/>
        </w:rPr>
        <w:t>ildren in the age group of 18-29</w:t>
      </w:r>
      <w:r w:rsidR="00DB1BCB">
        <w:rPr>
          <w:rFonts w:ascii="Arial" w:hAnsi="Arial" w:cs="Arial"/>
          <w:sz w:val="24"/>
          <w:szCs w:val="24"/>
        </w:rPr>
        <w:t xml:space="preserve"> </w:t>
      </w:r>
      <w:r w:rsidR="007F0AC9">
        <w:rPr>
          <w:rFonts w:ascii="Arial" w:hAnsi="Arial" w:cs="Arial"/>
          <w:sz w:val="24"/>
          <w:szCs w:val="24"/>
        </w:rPr>
        <w:t xml:space="preserve">and 30-41 </w:t>
      </w:r>
      <w:r w:rsidR="00DB1BCB">
        <w:rPr>
          <w:rFonts w:ascii="Arial" w:hAnsi="Arial" w:cs="Arial"/>
          <w:sz w:val="24"/>
          <w:szCs w:val="24"/>
        </w:rPr>
        <w:t xml:space="preserve">months old were severely acutely malnourished. </w:t>
      </w:r>
      <w:r w:rsidR="007F0AC9">
        <w:rPr>
          <w:rFonts w:ascii="Arial" w:hAnsi="Arial" w:cs="Arial"/>
          <w:sz w:val="24"/>
          <w:szCs w:val="24"/>
        </w:rPr>
        <w:t xml:space="preserve">There was no under-five children within the age groupings of 54-59 months old. </w:t>
      </w:r>
    </w:p>
    <w:p w14:paraId="0BC1FFC2" w14:textId="4C04AA95" w:rsidR="00FF22D4" w:rsidRPr="00F13887" w:rsidRDefault="0017629F">
      <w:pPr>
        <w:rPr>
          <w:rFonts w:ascii="Arial" w:hAnsi="Arial" w:cs="Arial"/>
          <w:b/>
          <w:sz w:val="20"/>
          <w:szCs w:val="20"/>
        </w:rPr>
      </w:pPr>
      <w:bookmarkStart w:id="0" w:name="_GoBack"/>
      <w:r w:rsidRPr="0017629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75CC3B" wp14:editId="4DACF8C6">
            <wp:simplePos x="0" y="0"/>
            <wp:positionH relativeFrom="column">
              <wp:posOffset>-3949700</wp:posOffset>
            </wp:positionH>
            <wp:positionV relativeFrom="paragraph">
              <wp:posOffset>478155</wp:posOffset>
            </wp:positionV>
            <wp:extent cx="3815715" cy="2267585"/>
            <wp:effectExtent l="0" t="0" r="19685" b="1841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13887" w:rsidRPr="00F13887">
        <w:rPr>
          <w:rFonts w:ascii="Arial" w:hAnsi="Arial" w:cs="Arial"/>
          <w:b/>
          <w:sz w:val="20"/>
          <w:szCs w:val="20"/>
        </w:rPr>
        <w:t xml:space="preserve">Figure??? Prevalence of severe and moderate acute malnutrition by age grouping </w:t>
      </w:r>
    </w:p>
    <w:p w14:paraId="2C7D7026" w14:textId="556BDD62" w:rsidR="00FF22D4" w:rsidRDefault="00FF22D4"/>
    <w:p w14:paraId="63441DE5" w14:textId="77777777" w:rsidR="00CF2BBF" w:rsidRDefault="00CF2BBF"/>
    <w:p w14:paraId="473BCDF5" w14:textId="77777777" w:rsidR="006C5893" w:rsidRDefault="006C5893"/>
    <w:p w14:paraId="5C58FBD4" w14:textId="1110C93C" w:rsidR="006C5893" w:rsidRPr="00CC6E31" w:rsidRDefault="006C5893" w:rsidP="00CC6E31">
      <w:pPr>
        <w:jc w:val="both"/>
        <w:rPr>
          <w:rFonts w:ascii="Arial" w:hAnsi="Arial" w:cs="Arial"/>
          <w:sz w:val="24"/>
          <w:szCs w:val="24"/>
        </w:rPr>
      </w:pPr>
    </w:p>
    <w:p w14:paraId="5CC1ED53" w14:textId="77777777" w:rsidR="006C5893" w:rsidRDefault="006C5893" w:rsidP="00CC6E31">
      <w:pPr>
        <w:jc w:val="both"/>
        <w:rPr>
          <w:rFonts w:ascii="Arial" w:hAnsi="Arial" w:cs="Arial"/>
          <w:sz w:val="24"/>
          <w:szCs w:val="24"/>
        </w:rPr>
      </w:pPr>
      <w:r w:rsidRPr="00CC6E31">
        <w:rPr>
          <w:rFonts w:ascii="Arial" w:hAnsi="Arial" w:cs="Arial"/>
          <w:sz w:val="24"/>
          <w:szCs w:val="24"/>
        </w:rPr>
        <w:t xml:space="preserve">There is a high prevalence of severe </w:t>
      </w:r>
      <w:r w:rsidR="003A4E6E">
        <w:rPr>
          <w:rFonts w:ascii="Arial" w:hAnsi="Arial" w:cs="Arial"/>
          <w:sz w:val="24"/>
          <w:szCs w:val="24"/>
        </w:rPr>
        <w:t xml:space="preserve">stunting </w:t>
      </w:r>
      <w:r w:rsidRPr="00CC6E31">
        <w:rPr>
          <w:rFonts w:ascii="Arial" w:hAnsi="Arial" w:cs="Arial"/>
          <w:sz w:val="24"/>
          <w:szCs w:val="24"/>
        </w:rPr>
        <w:t>among under-five chi</w:t>
      </w:r>
      <w:r w:rsidR="003A4E6E">
        <w:rPr>
          <w:rFonts w:ascii="Arial" w:hAnsi="Arial" w:cs="Arial"/>
          <w:sz w:val="24"/>
          <w:szCs w:val="24"/>
        </w:rPr>
        <w:t>ldren within 18-29 months old</w:t>
      </w:r>
      <w:r w:rsidRPr="00CC6E31">
        <w:rPr>
          <w:rFonts w:ascii="Arial" w:hAnsi="Arial" w:cs="Arial"/>
          <w:sz w:val="24"/>
          <w:szCs w:val="24"/>
        </w:rPr>
        <w:t xml:space="preserve"> and moderate stunting am</w:t>
      </w:r>
      <w:r w:rsidR="003A4E6E">
        <w:rPr>
          <w:rFonts w:ascii="Arial" w:hAnsi="Arial" w:cs="Arial"/>
          <w:sz w:val="24"/>
          <w:szCs w:val="24"/>
        </w:rPr>
        <w:t>ong under-five children of 6-17</w:t>
      </w:r>
      <w:r w:rsidRPr="00CC6E31">
        <w:rPr>
          <w:rFonts w:ascii="Arial" w:hAnsi="Arial" w:cs="Arial"/>
          <w:sz w:val="24"/>
          <w:szCs w:val="24"/>
        </w:rPr>
        <w:t xml:space="preserve"> months old (</w:t>
      </w:r>
      <w:r w:rsidRPr="00CC6E31">
        <w:rPr>
          <w:rFonts w:ascii="Arial" w:hAnsi="Arial" w:cs="Arial"/>
          <w:sz w:val="24"/>
          <w:szCs w:val="24"/>
          <w:highlight w:val="yellow"/>
        </w:rPr>
        <w:t>Figure ???????)</w:t>
      </w:r>
      <w:r w:rsidRPr="00CC6E31">
        <w:rPr>
          <w:rFonts w:ascii="Arial" w:hAnsi="Arial" w:cs="Arial"/>
          <w:sz w:val="24"/>
          <w:szCs w:val="24"/>
        </w:rPr>
        <w:t xml:space="preserve">. </w:t>
      </w:r>
      <w:r w:rsidR="003A4E6E">
        <w:rPr>
          <w:rFonts w:ascii="Arial" w:hAnsi="Arial" w:cs="Arial"/>
          <w:sz w:val="24"/>
          <w:szCs w:val="24"/>
        </w:rPr>
        <w:t xml:space="preserve">While about 29 per cent of the under-five children in age groupings of </w:t>
      </w:r>
      <w:r w:rsidR="003A4E6E">
        <w:rPr>
          <w:rFonts w:ascii="Arial" w:hAnsi="Arial" w:cs="Arial"/>
          <w:sz w:val="24"/>
          <w:szCs w:val="24"/>
        </w:rPr>
        <w:lastRenderedPageBreak/>
        <w:t xml:space="preserve">30-41 months old </w:t>
      </w:r>
      <w:r w:rsidR="004F04E5">
        <w:rPr>
          <w:rFonts w:ascii="Arial" w:hAnsi="Arial" w:cs="Arial"/>
          <w:sz w:val="24"/>
          <w:szCs w:val="24"/>
        </w:rPr>
        <w:t xml:space="preserve">were moderately malnourished, no under-five children in the age groupings 42-53 and 54-59 months old were moderately malnourished. </w:t>
      </w:r>
      <w:r w:rsidR="003A4E6E">
        <w:rPr>
          <w:rFonts w:ascii="Arial" w:hAnsi="Arial" w:cs="Arial"/>
          <w:sz w:val="24"/>
          <w:szCs w:val="24"/>
        </w:rPr>
        <w:t xml:space="preserve">No severe </w:t>
      </w:r>
      <w:r w:rsidR="00CC6E31" w:rsidRPr="00CC6E31">
        <w:rPr>
          <w:rFonts w:ascii="Arial" w:hAnsi="Arial" w:cs="Arial"/>
          <w:sz w:val="24"/>
          <w:szCs w:val="24"/>
        </w:rPr>
        <w:t>stunting was observ</w:t>
      </w:r>
      <w:r w:rsidR="003A4E6E">
        <w:rPr>
          <w:rFonts w:ascii="Arial" w:hAnsi="Arial" w:cs="Arial"/>
          <w:sz w:val="24"/>
          <w:szCs w:val="24"/>
        </w:rPr>
        <w:t>ed in age groups of 30-41</w:t>
      </w:r>
      <w:r w:rsidR="00CC6E31" w:rsidRPr="00CC6E31">
        <w:rPr>
          <w:rFonts w:ascii="Arial" w:hAnsi="Arial" w:cs="Arial"/>
          <w:sz w:val="24"/>
          <w:szCs w:val="24"/>
        </w:rPr>
        <w:t xml:space="preserve"> and 54-59 months old in this livelihood zone. </w:t>
      </w:r>
    </w:p>
    <w:p w14:paraId="16BA65EB" w14:textId="37A1BEEB" w:rsidR="00CC6E31" w:rsidRPr="00CC6E31" w:rsidRDefault="00CC6E31" w:rsidP="00CC6E31">
      <w:pPr>
        <w:jc w:val="both"/>
        <w:rPr>
          <w:rFonts w:ascii="Arial" w:hAnsi="Arial" w:cs="Arial"/>
          <w:sz w:val="24"/>
          <w:szCs w:val="24"/>
        </w:rPr>
      </w:pPr>
    </w:p>
    <w:p w14:paraId="07E496E8" w14:textId="77777777" w:rsidR="00CF2BBF" w:rsidRDefault="00CF2BBF"/>
    <w:p w14:paraId="677DEE0A" w14:textId="77777777" w:rsidR="00CF2BBF" w:rsidRDefault="00CF2BBF"/>
    <w:p w14:paraId="6521D278" w14:textId="5D3AF2F9" w:rsidR="00A55C5C" w:rsidRDefault="00A55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under-five children were found to be having severe and moderate underweight in the age groupings of 6-17 and 54-59 months old. Moderate underweight was more predominant in the age group 30-41 months old while severe underweight was more predominant in the age group of 18-29 months old. </w:t>
      </w:r>
    </w:p>
    <w:p w14:paraId="5D942174" w14:textId="5FFFE279" w:rsidR="0079574B" w:rsidRDefault="0079574B"/>
    <w:p w14:paraId="16D45382" w14:textId="77777777" w:rsidR="0079574B" w:rsidRDefault="0079574B"/>
    <w:sectPr w:rsidR="0079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4B"/>
    <w:rsid w:val="00097DA4"/>
    <w:rsid w:val="000D6D5E"/>
    <w:rsid w:val="0017629F"/>
    <w:rsid w:val="001E33F9"/>
    <w:rsid w:val="00272935"/>
    <w:rsid w:val="002C4D0A"/>
    <w:rsid w:val="00310EBB"/>
    <w:rsid w:val="00366140"/>
    <w:rsid w:val="003A4E6E"/>
    <w:rsid w:val="004F04E5"/>
    <w:rsid w:val="00511884"/>
    <w:rsid w:val="00572BCA"/>
    <w:rsid w:val="00627E2A"/>
    <w:rsid w:val="006C5893"/>
    <w:rsid w:val="00704E34"/>
    <w:rsid w:val="007513A7"/>
    <w:rsid w:val="00754DC6"/>
    <w:rsid w:val="00761A24"/>
    <w:rsid w:val="0079574B"/>
    <w:rsid w:val="007A4C82"/>
    <w:rsid w:val="007C0053"/>
    <w:rsid w:val="007F0AC9"/>
    <w:rsid w:val="008F290F"/>
    <w:rsid w:val="00940D13"/>
    <w:rsid w:val="009B1FC6"/>
    <w:rsid w:val="00A55C5C"/>
    <w:rsid w:val="00AA3DBC"/>
    <w:rsid w:val="00AC2D20"/>
    <w:rsid w:val="00AD0F4B"/>
    <w:rsid w:val="00B11292"/>
    <w:rsid w:val="00B36FC5"/>
    <w:rsid w:val="00C068DF"/>
    <w:rsid w:val="00C40D09"/>
    <w:rsid w:val="00CC6E31"/>
    <w:rsid w:val="00CF2BBF"/>
    <w:rsid w:val="00D535D1"/>
    <w:rsid w:val="00D625B8"/>
    <w:rsid w:val="00DB1BCB"/>
    <w:rsid w:val="00DB206A"/>
    <w:rsid w:val="00EF5D0C"/>
    <w:rsid w:val="00F13887"/>
    <w:rsid w:val="00F24D66"/>
    <w:rsid w:val="00F418FE"/>
    <w:rsid w:val="00FC0ED8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AC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gidim\Desktop\KZN%20and%20FS%20SAVAC%20Reports\ZALOC_MP_For%20Baseline%20Profi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139935910378"/>
          <c:y val="0.0734463276836158"/>
          <c:w val="0.778185507876604"/>
          <c:h val="0.7327123092664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ZAHMI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Sheet1!$B$27:$E$27</c:f>
              <c:numCache>
                <c:formatCode>General</c:formatCode>
                <c:ptCount val="4"/>
                <c:pt idx="0">
                  <c:v>17.0</c:v>
                </c:pt>
                <c:pt idx="1">
                  <c:v>41.0</c:v>
                </c:pt>
                <c:pt idx="2">
                  <c:v>40.0</c:v>
                </c:pt>
                <c:pt idx="3">
                  <c:v>3.0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1C4-449D-86E8-C141CC9E9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3319176"/>
        <c:axId val="-2104320792"/>
      </c:barChart>
      <c:catAx>
        <c:axId val="-2073319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320792"/>
        <c:crosses val="autoZero"/>
        <c:auto val="1"/>
        <c:lblAlgn val="ctr"/>
        <c:lblOffset val="100"/>
        <c:noMultiLvlLbl val="0"/>
      </c:catAx>
      <c:valAx>
        <c:axId val="-2104320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319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777511961722488"/>
          <c:w val="0.67782715305302"/>
          <c:h val="0.7833138680631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Sheet1!$A$47</c:f>
              <c:strCache>
                <c:ptCount val="1"/>
                <c:pt idx="0">
                  <c:v>ZAHMI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Sheet1!$B$47:$D$47</c:f>
              <c:numCache>
                <c:formatCode>General</c:formatCode>
                <c:ptCount val="3"/>
                <c:pt idx="0">
                  <c:v>64.0</c:v>
                </c:pt>
                <c:pt idx="1">
                  <c:v>22.0</c:v>
                </c:pt>
                <c:pt idx="2">
                  <c:v>14.0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E4C-4B0C-BFD5-1DBEEC593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0233384"/>
        <c:axId val="2101430152"/>
      </c:barChart>
      <c:catAx>
        <c:axId val="-2100233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101430152"/>
        <c:crosses val="autoZero"/>
        <c:auto val="1"/>
        <c:lblAlgn val="ctr"/>
        <c:lblOffset val="100"/>
        <c:noMultiLvlLbl val="0"/>
      </c:catAx>
      <c:valAx>
        <c:axId val="210143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0233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510571475321"/>
          <c:y val="0.077727952167414"/>
          <c:w val="0.670070382329433"/>
          <c:h val="0.781704506667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Sheet1!$A$57</c:f>
              <c:strCache>
                <c:ptCount val="1"/>
                <c:pt idx="0">
                  <c:v>ZAHMI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Sheet1!$B$57:$D$57</c:f>
              <c:numCache>
                <c:formatCode>###0</c:formatCode>
                <c:ptCount val="3"/>
                <c:pt idx="0">
                  <c:v>0.0</c:v>
                </c:pt>
                <c:pt idx="1">
                  <c:v>9.411764705882353</c:v>
                </c:pt>
                <c:pt idx="2">
                  <c:v>90.58823529411766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00-4566-B535-A877ED5F8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7723352"/>
        <c:axId val="-2098299256"/>
      </c:barChart>
      <c:catAx>
        <c:axId val="-2077723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8299256"/>
        <c:crosses val="autoZero"/>
        <c:auto val="1"/>
        <c:lblAlgn val="ctr"/>
        <c:lblOffset val="100"/>
        <c:noMultiLvlLbl val="0"/>
      </c:catAx>
      <c:valAx>
        <c:axId val="-209829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723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647224701006"/>
          <c:y val="0.0728087370484458"/>
          <c:w val="0.672710094962543"/>
          <c:h val="0.7466820427900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Sheet1!$B$107</c:f>
              <c:strCache>
                <c:ptCount val="1"/>
                <c:pt idx="0">
                  <c:v>Severe acute malnutrition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Sheet1!$C$107:$G$107</c:f>
              <c:numCache>
                <c:formatCode>General</c:formatCode>
                <c:ptCount val="5"/>
                <c:pt idx="0">
                  <c:v>0.0</c:v>
                </c:pt>
                <c:pt idx="1">
                  <c:v>16.7</c:v>
                </c:pt>
                <c:pt idx="2">
                  <c:v>16.7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4D2-4B9A-A470-6A64BCF33D12}"/>
            </c:ext>
          </c:extLst>
        </c:ser>
        <c:ser>
          <c:idx val="1"/>
          <c:order val="1"/>
          <c:tx>
            <c:strRef>
              <c:f>Sheet1!$B$117</c:f>
              <c:strCache>
                <c:ptCount val="1"/>
                <c:pt idx="0">
                  <c:v>Moderate acute malnutrition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Sheet1!$C$117:$G$117</c:f>
              <c:numCache>
                <c:formatCode>General</c:formatCode>
                <c:ptCount val="5"/>
                <c:pt idx="0">
                  <c:v>11.1</c:v>
                </c:pt>
                <c:pt idx="1">
                  <c:v>33.3</c:v>
                </c:pt>
                <c:pt idx="2">
                  <c:v>33.3</c:v>
                </c:pt>
                <c:pt idx="3">
                  <c:v>12.5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4D2-4B9A-A470-6A64BCF33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078909432"/>
        <c:axId val="-2077257256"/>
      </c:barChart>
      <c:catAx>
        <c:axId val="-2078909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</a:t>
                </a:r>
              </a:p>
            </c:rich>
          </c:tx>
          <c:layout>
            <c:manualLayout>
              <c:xMode val="edge"/>
              <c:yMode val="edge"/>
              <c:x val="0.35309345692747"/>
              <c:y val="0.9159899187902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7257256"/>
        <c:crosses val="autoZero"/>
        <c:auto val="1"/>
        <c:lblAlgn val="ctr"/>
        <c:lblOffset val="100"/>
        <c:noMultiLvlLbl val="0"/>
      </c:catAx>
      <c:valAx>
        <c:axId val="-2077257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 </a:t>
                </a:r>
              </a:p>
            </c:rich>
          </c:tx>
          <c:layout>
            <c:manualLayout>
              <c:xMode val="edge"/>
              <c:yMode val="edge"/>
              <c:x val="0.00998502246630055"/>
              <c:y val="0.2930143743233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890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1700638019349"/>
          <c:y val="0.237333550892249"/>
          <c:w val="0.208299361980651"/>
          <c:h val="0.458124392249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647224701006"/>
          <c:y val="0.0731364275668073"/>
          <c:w val="0.66769950061784"/>
          <c:h val="0.7307029026434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Sheet1!$B$86</c:f>
              <c:strCache>
                <c:ptCount val="1"/>
                <c:pt idx="0">
                  <c:v>Severe stunting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Sheet1!$C$86:$G$86</c:f>
              <c:numCache>
                <c:formatCode>General</c:formatCode>
                <c:ptCount val="5"/>
                <c:pt idx="0">
                  <c:v>22.2</c:v>
                </c:pt>
                <c:pt idx="1">
                  <c:v>33.3</c:v>
                </c:pt>
                <c:pt idx="2">
                  <c:v>0.0</c:v>
                </c:pt>
                <c:pt idx="3">
                  <c:v>25.0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C5D-4B26-A8D2-8C9CF2FB9ED8}"/>
            </c:ext>
          </c:extLst>
        </c:ser>
        <c:ser>
          <c:idx val="1"/>
          <c:order val="1"/>
          <c:tx>
            <c:strRef>
              <c:f>Sheet1!$B$95</c:f>
              <c:strCache>
                <c:ptCount val="1"/>
                <c:pt idx="0">
                  <c:v>Moderate stunting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Sheet1!$C$95:$G$95</c:f>
              <c:numCache>
                <c:formatCode>General</c:formatCode>
                <c:ptCount val="5"/>
                <c:pt idx="0">
                  <c:v>33.3</c:v>
                </c:pt>
                <c:pt idx="1">
                  <c:v>16.7</c:v>
                </c:pt>
                <c:pt idx="2">
                  <c:v>28.6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C5D-4B26-A8D2-8C9CF2FB9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079163384"/>
        <c:axId val="-2069425976"/>
      </c:barChart>
      <c:catAx>
        <c:axId val="-2079163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340603006251777"/>
              <c:y val="0.8951469041053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69425976"/>
        <c:crosses val="autoZero"/>
        <c:auto val="1"/>
        <c:lblAlgn val="ctr"/>
        <c:lblOffset val="100"/>
        <c:noMultiLvlLbl val="0"/>
      </c:catAx>
      <c:valAx>
        <c:axId val="-206942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0998502246630055"/>
              <c:y val="0.28466327784976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7916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0003406963046"/>
          <c:y val="0.207738020089261"/>
          <c:w val="0.199996593036954"/>
          <c:h val="0.3932436293564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537114276092"/>
          <c:y val="0.0728087370484458"/>
          <c:w val="0.620464840796548"/>
          <c:h val="0.7214327136579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Sheet1!$B$129</c:f>
              <c:strCache>
                <c:ptCount val="1"/>
                <c:pt idx="0">
                  <c:v>Severe underweight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133133632884007"/>
                  <c:y val="0.0056006720806496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0998502246630061"/>
                  <c:y val="-5.13389010012568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Sheet1!$C$126:$G$126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Sheet1!$C$129:$G$129</c:f>
              <c:numCache>
                <c:formatCode>General</c:formatCode>
                <c:ptCount val="5"/>
                <c:pt idx="0">
                  <c:v>0.0</c:v>
                </c:pt>
                <c:pt idx="1">
                  <c:v>16.7</c:v>
                </c:pt>
                <c:pt idx="2">
                  <c:v>14.3</c:v>
                </c:pt>
                <c:pt idx="3">
                  <c:v>12.5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258-4BE7-8E2A-B5F9809C0737}"/>
            </c:ext>
          </c:extLst>
        </c:ser>
        <c:ser>
          <c:idx val="1"/>
          <c:order val="1"/>
          <c:tx>
            <c:strRef>
              <c:f>Sheet1!$B$138</c:f>
              <c:strCache>
                <c:ptCount val="1"/>
                <c:pt idx="0">
                  <c:v>Moderate underweight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.00665668164420036"/>
                  <c:y val="0.003727313419342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258-4BE7-8E2A-B5F9809C0737}"/>
                </c:ext>
              </c:extLst>
            </c:dLbl>
            <c:dLbl>
              <c:idx val="3"/>
              <c:layout>
                <c:manualLayout>
                  <c:x val="0.0199700449326011"/>
                  <c:y val="0.0010398728162339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258-4BE7-8E2A-B5F9809C0737}"/>
                </c:ext>
              </c:extLst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Sheet1!$C$126:$G$126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Sheet1!$C$138:$G$138</c:f>
              <c:numCache>
                <c:formatCode>General</c:formatCode>
                <c:ptCount val="5"/>
                <c:pt idx="0">
                  <c:v>0.0</c:v>
                </c:pt>
                <c:pt idx="1">
                  <c:v>16.7</c:v>
                </c:pt>
                <c:pt idx="2">
                  <c:v>28.6</c:v>
                </c:pt>
                <c:pt idx="3">
                  <c:v>12.5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258-4BE7-8E2A-B5F9809C0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068971240"/>
        <c:axId val="-2101556264"/>
      </c:barChart>
      <c:catAx>
        <c:axId val="-2068971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296920498517316"/>
              <c:y val="0.8935872304676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1556264"/>
        <c:crosses val="autoZero"/>
        <c:auto val="1"/>
        <c:lblAlgn val="ctr"/>
        <c:lblOffset val="100"/>
        <c:noMultiLvlLbl val="0"/>
      </c:catAx>
      <c:valAx>
        <c:axId val="-210155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0998502246630055"/>
              <c:y val="0.3027926185787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6897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933029589474"/>
          <c:y val="0.208167720283914"/>
          <c:w val="0.227356340816859"/>
          <c:h val="0.5332580697085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Charles Rethman</cp:lastModifiedBy>
  <cp:revision>10</cp:revision>
  <dcterms:created xsi:type="dcterms:W3CDTF">2017-02-23T06:43:00Z</dcterms:created>
  <dcterms:modified xsi:type="dcterms:W3CDTF">2017-02-23T07:36:00Z</dcterms:modified>
</cp:coreProperties>
</file>