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4.xml" ContentType="application/vnd.ms-office.chartstyle+xml"/>
  <Override PartName="/word/charts/colors4.xml" ContentType="application/vnd.ms-office.chartcolorstyle+xml"/>
  <Override PartName="/word/charts/style5.xml" ContentType="application/vnd.ms-office.chartstyle+xml"/>
  <Override PartName="/word/charts/colors5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88BB1" w14:textId="77777777" w:rsidR="00310EBB" w:rsidRPr="00AC2D20" w:rsidRDefault="00C03D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ZALCM</w:t>
      </w:r>
      <w:r w:rsidR="00AC2D20" w:rsidRPr="00AC2D20">
        <w:rPr>
          <w:rFonts w:ascii="Arial" w:hAnsi="Arial" w:cs="Arial"/>
          <w:b/>
          <w:sz w:val="24"/>
          <w:szCs w:val="24"/>
        </w:rPr>
        <w:t>_MP</w:t>
      </w:r>
    </w:p>
    <w:p w14:paraId="19F3A54C" w14:textId="77777777" w:rsidR="00310EBB" w:rsidRDefault="00310EBB"/>
    <w:p w14:paraId="33191D98" w14:textId="77777777" w:rsidR="0079574B" w:rsidRDefault="0079574B">
      <w:pPr>
        <w:rPr>
          <w:rFonts w:ascii="Arial" w:hAnsi="Arial" w:cs="Arial"/>
          <w:b/>
          <w:sz w:val="24"/>
          <w:szCs w:val="24"/>
        </w:rPr>
      </w:pPr>
      <w:r w:rsidRPr="00310EBB">
        <w:rPr>
          <w:rFonts w:ascii="Arial" w:hAnsi="Arial" w:cs="Arial"/>
          <w:b/>
          <w:sz w:val="24"/>
          <w:szCs w:val="24"/>
        </w:rPr>
        <w:t xml:space="preserve">Food insecurity access scale </w:t>
      </w:r>
    </w:p>
    <w:p w14:paraId="6591178C" w14:textId="249CAD81" w:rsidR="00310EBB" w:rsidRDefault="0050326D" w:rsidP="00AD0F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867FC" wp14:editId="5CC33FAD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4248000" cy="2124000"/>
            <wp:effectExtent l="0" t="0" r="19685" b="3556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>
        <w:rPr>
          <w:rFonts w:ascii="Arial" w:hAnsi="Arial" w:cs="Arial"/>
          <w:sz w:val="24"/>
          <w:szCs w:val="24"/>
        </w:rPr>
        <w:t xml:space="preserve">The </w:t>
      </w:r>
      <w:r w:rsidR="00AA6012">
        <w:rPr>
          <w:rFonts w:ascii="Arial" w:hAnsi="Arial" w:cs="Arial"/>
          <w:sz w:val="24"/>
          <w:szCs w:val="24"/>
        </w:rPr>
        <w:t>majority (44</w:t>
      </w:r>
      <w:r w:rsidR="008F290F">
        <w:rPr>
          <w:rFonts w:ascii="Arial" w:hAnsi="Arial" w:cs="Arial"/>
          <w:sz w:val="24"/>
          <w:szCs w:val="24"/>
        </w:rPr>
        <w:t xml:space="preserve"> per cent) </w:t>
      </w:r>
      <w:r w:rsidR="00310EBB">
        <w:rPr>
          <w:rFonts w:ascii="Arial" w:hAnsi="Arial" w:cs="Arial"/>
          <w:sz w:val="24"/>
          <w:szCs w:val="24"/>
        </w:rPr>
        <w:t>of the households in this Livelihood Zone</w:t>
      </w:r>
      <w:r w:rsidR="008F290F">
        <w:rPr>
          <w:rFonts w:ascii="Arial" w:hAnsi="Arial" w:cs="Arial"/>
          <w:sz w:val="24"/>
          <w:szCs w:val="24"/>
        </w:rPr>
        <w:t xml:space="preserve"> were</w:t>
      </w:r>
      <w:r w:rsidR="00310EBB">
        <w:rPr>
          <w:rFonts w:ascii="Arial" w:hAnsi="Arial" w:cs="Arial"/>
          <w:sz w:val="24"/>
          <w:szCs w:val="24"/>
        </w:rPr>
        <w:t xml:space="preserve"> </w:t>
      </w:r>
      <w:r w:rsidR="00AA6012">
        <w:rPr>
          <w:rFonts w:ascii="Arial" w:hAnsi="Arial" w:cs="Arial"/>
          <w:sz w:val="24"/>
          <w:szCs w:val="24"/>
        </w:rPr>
        <w:t>moderately</w:t>
      </w:r>
      <w:r w:rsidR="008F290F">
        <w:rPr>
          <w:rFonts w:ascii="Arial" w:hAnsi="Arial" w:cs="Arial"/>
          <w:sz w:val="24"/>
          <w:szCs w:val="24"/>
        </w:rPr>
        <w:t xml:space="preserve"> food i</w:t>
      </w:r>
      <w:r w:rsidR="00AA6012">
        <w:rPr>
          <w:rFonts w:ascii="Arial" w:hAnsi="Arial" w:cs="Arial"/>
          <w:sz w:val="24"/>
          <w:szCs w:val="24"/>
        </w:rPr>
        <w:t>nsecure. This was followed by 33</w:t>
      </w:r>
      <w:r w:rsidR="008F290F">
        <w:rPr>
          <w:rFonts w:ascii="Arial" w:hAnsi="Arial" w:cs="Arial"/>
          <w:sz w:val="24"/>
          <w:szCs w:val="24"/>
        </w:rPr>
        <w:t xml:space="preserve"> per cent of the households who were found to be moderately food insecure. Only four per cent of the households were found to be in a severe state of food insecurity. </w:t>
      </w:r>
      <w:r w:rsidR="00AA6012">
        <w:rPr>
          <w:rFonts w:ascii="Arial" w:hAnsi="Arial" w:cs="Arial"/>
          <w:sz w:val="24"/>
          <w:szCs w:val="24"/>
        </w:rPr>
        <w:t>About 19</w:t>
      </w:r>
      <w:r w:rsidR="00AD0F4B">
        <w:rPr>
          <w:rFonts w:ascii="Arial" w:hAnsi="Arial" w:cs="Arial"/>
          <w:sz w:val="24"/>
          <w:szCs w:val="24"/>
        </w:rPr>
        <w:t xml:space="preserve"> per cent of the households were food secure in this livelihood zone. </w:t>
      </w:r>
    </w:p>
    <w:p w14:paraId="0A415311" w14:textId="001432AA" w:rsidR="00AD0F4B" w:rsidRDefault="008B1608">
      <w:pPr>
        <w:rPr>
          <w:rFonts w:ascii="Arial" w:hAnsi="Arial" w:cs="Arial"/>
          <w:sz w:val="24"/>
          <w:szCs w:val="24"/>
        </w:rPr>
      </w:pPr>
      <w:r w:rsidRPr="008B160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28954F" wp14:editId="3A484EE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247515" cy="2123440"/>
            <wp:effectExtent l="0" t="0" r="19685" b="3556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C7AA9" w14:textId="77777777" w:rsidR="00AC2D20" w:rsidRDefault="00AC2D20">
      <w:pPr>
        <w:rPr>
          <w:rFonts w:ascii="Arial" w:hAnsi="Arial" w:cs="Arial"/>
          <w:sz w:val="24"/>
          <w:szCs w:val="24"/>
        </w:rPr>
      </w:pPr>
    </w:p>
    <w:p w14:paraId="6A9A63CF" w14:textId="77777777" w:rsidR="00AD0F4B" w:rsidRPr="00627E2A" w:rsidRDefault="00627E2A">
      <w:pPr>
        <w:rPr>
          <w:rFonts w:ascii="Arial" w:hAnsi="Arial" w:cs="Arial"/>
          <w:b/>
          <w:sz w:val="24"/>
          <w:szCs w:val="24"/>
        </w:rPr>
      </w:pPr>
      <w:r w:rsidRPr="00627E2A">
        <w:rPr>
          <w:rFonts w:ascii="Arial" w:hAnsi="Arial" w:cs="Arial"/>
          <w:b/>
          <w:sz w:val="24"/>
          <w:szCs w:val="24"/>
        </w:rPr>
        <w:t xml:space="preserve">Household Hunger Scale </w:t>
      </w:r>
    </w:p>
    <w:p w14:paraId="3FF3E1CD" w14:textId="2B20A6A9" w:rsidR="0079574B" w:rsidRPr="00AC2D20" w:rsidRDefault="008B1608" w:rsidP="00AC2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1608">
        <w:drawing>
          <wp:anchor distT="0" distB="0" distL="114300" distR="114300" simplePos="0" relativeHeight="251660288" behindDoc="0" locked="0" layoutInCell="1" allowOverlap="1" wp14:anchorId="323FBE68" wp14:editId="0307750C">
            <wp:simplePos x="0" y="0"/>
            <wp:positionH relativeFrom="column">
              <wp:posOffset>-4381500</wp:posOffset>
            </wp:positionH>
            <wp:positionV relativeFrom="paragraph">
              <wp:posOffset>1092835</wp:posOffset>
            </wp:positionV>
            <wp:extent cx="4247515" cy="2123440"/>
            <wp:effectExtent l="0" t="0" r="19685" b="3556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 w:rsidRPr="00AC2D20">
        <w:rPr>
          <w:rFonts w:ascii="Arial" w:hAnsi="Arial" w:cs="Arial"/>
          <w:sz w:val="24"/>
          <w:szCs w:val="24"/>
        </w:rPr>
        <w:t>Th</w:t>
      </w:r>
      <w:r w:rsidR="00AF07CF">
        <w:rPr>
          <w:rFonts w:ascii="Arial" w:hAnsi="Arial" w:cs="Arial"/>
          <w:sz w:val="24"/>
          <w:szCs w:val="24"/>
        </w:rPr>
        <w:t>e majority of the households (69</w:t>
      </w:r>
      <w:r w:rsidR="00310EBB" w:rsidRPr="00AC2D20">
        <w:rPr>
          <w:rFonts w:ascii="Arial" w:hAnsi="Arial" w:cs="Arial"/>
          <w:sz w:val="24"/>
          <w:szCs w:val="24"/>
        </w:rPr>
        <w:t xml:space="preserve"> percent) experi</w:t>
      </w:r>
      <w:r w:rsidR="00AF07CF">
        <w:rPr>
          <w:rFonts w:ascii="Arial" w:hAnsi="Arial" w:cs="Arial"/>
          <w:sz w:val="24"/>
          <w:szCs w:val="24"/>
        </w:rPr>
        <w:t>ence no to little hunger and nine</w:t>
      </w:r>
      <w:r w:rsidR="00310EBB" w:rsidRPr="00AC2D20">
        <w:rPr>
          <w:rFonts w:ascii="Arial" w:hAnsi="Arial" w:cs="Arial"/>
          <w:sz w:val="24"/>
          <w:szCs w:val="24"/>
        </w:rPr>
        <w:t xml:space="preserve"> per cent of households had severe hunger </w:t>
      </w:r>
      <w:r w:rsidR="00AF07CF">
        <w:rPr>
          <w:rFonts w:ascii="Arial" w:hAnsi="Arial" w:cs="Arial"/>
          <w:sz w:val="24"/>
          <w:szCs w:val="24"/>
        </w:rPr>
        <w:t>in this livelihood zone. Only 22</w:t>
      </w:r>
      <w:r w:rsidR="00310EBB" w:rsidRPr="00AC2D20">
        <w:rPr>
          <w:rFonts w:ascii="Arial" w:hAnsi="Arial" w:cs="Arial"/>
          <w:sz w:val="24"/>
          <w:szCs w:val="24"/>
        </w:rPr>
        <w:t xml:space="preserve"> per cent of the households reported a moderate hunger situation </w:t>
      </w:r>
      <w:r w:rsidR="00AC2D20">
        <w:rPr>
          <w:rFonts w:ascii="Arial" w:hAnsi="Arial" w:cs="Arial"/>
          <w:sz w:val="24"/>
          <w:szCs w:val="24"/>
        </w:rPr>
        <w:t xml:space="preserve">– see </w:t>
      </w:r>
      <w:proofErr w:type="gramStart"/>
      <w:r w:rsidR="00AC2D20">
        <w:rPr>
          <w:rFonts w:ascii="Arial" w:hAnsi="Arial" w:cs="Arial"/>
          <w:sz w:val="24"/>
          <w:szCs w:val="24"/>
        </w:rPr>
        <w:t xml:space="preserve">figure </w:t>
      </w:r>
      <w:r w:rsidR="00AC2D20" w:rsidRPr="00B36FC5">
        <w:rPr>
          <w:rFonts w:ascii="Arial" w:hAnsi="Arial" w:cs="Arial"/>
          <w:sz w:val="24"/>
          <w:szCs w:val="24"/>
          <w:highlight w:val="yellow"/>
        </w:rPr>
        <w:lastRenderedPageBreak/>
        <w:t>?</w:t>
      </w:r>
      <w:proofErr w:type="gramEnd"/>
      <w:r w:rsidR="00AC2D20" w:rsidRPr="00B36FC5">
        <w:rPr>
          <w:rFonts w:ascii="Arial" w:hAnsi="Arial" w:cs="Arial"/>
          <w:sz w:val="24"/>
          <w:szCs w:val="24"/>
          <w:highlight w:val="yellow"/>
        </w:rPr>
        <w:t>?????</w:t>
      </w:r>
      <w:r w:rsidR="00310EBB" w:rsidRPr="00AC2D20">
        <w:rPr>
          <w:rFonts w:ascii="Arial" w:hAnsi="Arial" w:cs="Arial"/>
          <w:sz w:val="24"/>
          <w:szCs w:val="24"/>
        </w:rPr>
        <w:t>.</w:t>
      </w:r>
    </w:p>
    <w:p w14:paraId="0A2A5B01" w14:textId="1A7B1CFF" w:rsidR="00B36FC5" w:rsidRDefault="00B36FC5" w:rsidP="00DB206A"/>
    <w:p w14:paraId="15F1ED90" w14:textId="75286E69" w:rsidR="00B36FC5" w:rsidRDefault="00B36FC5" w:rsidP="00DB206A"/>
    <w:p w14:paraId="7D3369A0" w14:textId="77777777" w:rsidR="00DB206A" w:rsidRDefault="00B36FC5">
      <w:r w:rsidRPr="00B36FC5">
        <w:rPr>
          <w:rFonts w:ascii="Arial" w:hAnsi="Arial" w:cs="Arial"/>
          <w:sz w:val="24"/>
          <w:szCs w:val="24"/>
        </w:rPr>
        <w:t>The majority of households – 84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Pr="00B36FC5">
        <w:rPr>
          <w:rFonts w:ascii="Arial" w:hAnsi="Arial" w:cs="Arial"/>
          <w:sz w:val="24"/>
          <w:szCs w:val="24"/>
        </w:rPr>
        <w:t xml:space="preserve"> cent – were cons</w:t>
      </w:r>
      <w:r w:rsidR="00BD29D7">
        <w:rPr>
          <w:rFonts w:ascii="Arial" w:hAnsi="Arial" w:cs="Arial"/>
          <w:sz w:val="24"/>
          <w:szCs w:val="24"/>
        </w:rPr>
        <w:t>uming acceptable diets. While 13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cent of the hous</w:t>
      </w:r>
      <w:r w:rsidRPr="00B36FC5">
        <w:rPr>
          <w:rFonts w:ascii="Arial" w:hAnsi="Arial" w:cs="Arial"/>
          <w:sz w:val="24"/>
          <w:szCs w:val="24"/>
        </w:rPr>
        <w:t>eholds were within borderline</w:t>
      </w:r>
      <w:r w:rsidR="00DB206A" w:rsidRPr="00B36FC5">
        <w:rPr>
          <w:rFonts w:ascii="Arial" w:hAnsi="Arial" w:cs="Arial"/>
          <w:sz w:val="24"/>
          <w:szCs w:val="24"/>
        </w:rPr>
        <w:t xml:space="preserve"> consumpti</w:t>
      </w:r>
      <w:r w:rsidR="00BD29D7">
        <w:rPr>
          <w:rFonts w:ascii="Arial" w:hAnsi="Arial" w:cs="Arial"/>
          <w:sz w:val="24"/>
          <w:szCs w:val="24"/>
        </w:rPr>
        <w:t>on pattern, three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</w:t>
      </w:r>
      <w:r w:rsidRPr="00B36FC5">
        <w:rPr>
          <w:rFonts w:ascii="Arial" w:hAnsi="Arial" w:cs="Arial"/>
          <w:sz w:val="24"/>
          <w:szCs w:val="24"/>
        </w:rPr>
        <w:t>ent of the households were consuming poor diets</w:t>
      </w:r>
      <w:r w:rsidR="00DB206A" w:rsidRPr="00B36FC5">
        <w:rPr>
          <w:rFonts w:ascii="Arial" w:hAnsi="Arial" w:cs="Arial"/>
          <w:sz w:val="24"/>
          <w:szCs w:val="24"/>
        </w:rPr>
        <w:t>.</w:t>
      </w:r>
    </w:p>
    <w:p w14:paraId="386827CC" w14:textId="24F7884E" w:rsidR="00761A24" w:rsidRPr="00DB1BCB" w:rsidRDefault="00761A24"/>
    <w:p w14:paraId="0ECB7C94" w14:textId="77777777" w:rsidR="00572BCA" w:rsidRDefault="00572BCA">
      <w:pPr>
        <w:rPr>
          <w:rFonts w:ascii="Arial" w:hAnsi="Arial" w:cs="Arial"/>
          <w:b/>
          <w:sz w:val="24"/>
          <w:szCs w:val="24"/>
        </w:rPr>
      </w:pPr>
    </w:p>
    <w:p w14:paraId="2F76E779" w14:textId="77777777" w:rsidR="00FF22D4" w:rsidRPr="00761A24" w:rsidRDefault="00761A24">
      <w:pPr>
        <w:rPr>
          <w:rFonts w:ascii="Arial" w:hAnsi="Arial" w:cs="Arial"/>
          <w:b/>
          <w:sz w:val="24"/>
          <w:szCs w:val="24"/>
        </w:rPr>
      </w:pPr>
      <w:r w:rsidRPr="00761A24">
        <w:rPr>
          <w:rFonts w:ascii="Arial" w:hAnsi="Arial" w:cs="Arial"/>
          <w:b/>
          <w:sz w:val="24"/>
          <w:szCs w:val="24"/>
        </w:rPr>
        <w:t>Nutrition and Anthropometry</w:t>
      </w:r>
    </w:p>
    <w:p w14:paraId="7F9ADF26" w14:textId="77777777" w:rsidR="006C5893" w:rsidRDefault="00315543" w:rsidP="00CC6E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terms of severe and moderate acute malnutrition, none of the under-five children were found to have severe or moderate acute malnutrition. </w:t>
      </w:r>
      <w:r w:rsidR="006C5893" w:rsidRPr="00CC6E31">
        <w:rPr>
          <w:rFonts w:ascii="Arial" w:hAnsi="Arial" w:cs="Arial"/>
          <w:sz w:val="24"/>
          <w:szCs w:val="24"/>
        </w:rPr>
        <w:t xml:space="preserve">There is a high prevalence of severe among </w:t>
      </w:r>
      <w:r w:rsidR="00290DDE">
        <w:rPr>
          <w:rFonts w:ascii="Arial" w:hAnsi="Arial" w:cs="Arial"/>
          <w:sz w:val="24"/>
          <w:szCs w:val="24"/>
        </w:rPr>
        <w:t>under-five children within 6-17</w:t>
      </w:r>
      <w:r w:rsidR="006C5893" w:rsidRPr="00CC6E31">
        <w:rPr>
          <w:rFonts w:ascii="Arial" w:hAnsi="Arial" w:cs="Arial"/>
          <w:sz w:val="24"/>
          <w:szCs w:val="24"/>
        </w:rPr>
        <w:t xml:space="preserve"> months of age and moderate stunting am</w:t>
      </w:r>
      <w:r w:rsidR="00290DDE">
        <w:rPr>
          <w:rFonts w:ascii="Arial" w:hAnsi="Arial" w:cs="Arial"/>
          <w:sz w:val="24"/>
          <w:szCs w:val="24"/>
        </w:rPr>
        <w:t>ong under-five children of 18-29</w:t>
      </w:r>
      <w:r w:rsidR="006C5893" w:rsidRPr="00CC6E31">
        <w:rPr>
          <w:rFonts w:ascii="Arial" w:hAnsi="Arial" w:cs="Arial"/>
          <w:sz w:val="24"/>
          <w:szCs w:val="24"/>
        </w:rPr>
        <w:t xml:space="preserve"> months old (</w:t>
      </w:r>
      <w:r w:rsidR="006C5893" w:rsidRPr="00CC6E31">
        <w:rPr>
          <w:rFonts w:ascii="Arial" w:hAnsi="Arial" w:cs="Arial"/>
          <w:sz w:val="24"/>
          <w:szCs w:val="24"/>
          <w:highlight w:val="yellow"/>
        </w:rPr>
        <w:t>Figure ???????)</w:t>
      </w:r>
      <w:r w:rsidR="006C5893" w:rsidRPr="00CC6E31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290DDE">
        <w:rPr>
          <w:rFonts w:ascii="Arial" w:hAnsi="Arial" w:cs="Arial"/>
          <w:sz w:val="24"/>
          <w:szCs w:val="24"/>
        </w:rPr>
        <w:t>about</w:t>
      </w:r>
      <w:proofErr w:type="gramEnd"/>
      <w:r w:rsidR="00290DDE">
        <w:rPr>
          <w:rFonts w:ascii="Arial" w:hAnsi="Arial" w:cs="Arial"/>
          <w:sz w:val="24"/>
          <w:szCs w:val="24"/>
        </w:rPr>
        <w:t xml:space="preserve"> 10 per cent of the under-five children were found to be severely stunted and another 10 percent was found to be moderately stunted. </w:t>
      </w:r>
      <w:r w:rsidR="00CC6E31" w:rsidRPr="00CC6E31">
        <w:rPr>
          <w:rFonts w:ascii="Arial" w:hAnsi="Arial" w:cs="Arial"/>
          <w:sz w:val="24"/>
          <w:szCs w:val="24"/>
        </w:rPr>
        <w:t xml:space="preserve">No severe </w:t>
      </w:r>
      <w:r w:rsidR="00290DDE">
        <w:rPr>
          <w:rFonts w:ascii="Arial" w:hAnsi="Arial" w:cs="Arial"/>
          <w:sz w:val="24"/>
          <w:szCs w:val="24"/>
        </w:rPr>
        <w:t xml:space="preserve">and moderate </w:t>
      </w:r>
      <w:r w:rsidR="00CC6E31" w:rsidRPr="00CC6E31">
        <w:rPr>
          <w:rFonts w:ascii="Arial" w:hAnsi="Arial" w:cs="Arial"/>
          <w:sz w:val="24"/>
          <w:szCs w:val="24"/>
        </w:rPr>
        <w:t>stunting was observed i</w:t>
      </w:r>
      <w:r w:rsidR="00290DDE">
        <w:rPr>
          <w:rFonts w:ascii="Arial" w:hAnsi="Arial" w:cs="Arial"/>
          <w:sz w:val="24"/>
          <w:szCs w:val="24"/>
        </w:rPr>
        <w:t>n age groups of</w:t>
      </w:r>
      <w:r w:rsidR="00CC6E31" w:rsidRPr="00CC6E31">
        <w:rPr>
          <w:rFonts w:ascii="Arial" w:hAnsi="Arial" w:cs="Arial"/>
          <w:sz w:val="24"/>
          <w:szCs w:val="24"/>
        </w:rPr>
        <w:t xml:space="preserve"> 54-59 months old in this livelihood zone. </w:t>
      </w:r>
    </w:p>
    <w:p w14:paraId="736FBEF8" w14:textId="77777777" w:rsidR="00CC6E31" w:rsidRPr="00CC6E31" w:rsidRDefault="00315543" w:rsidP="00CC6E3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4C649" wp14:editId="2315C0CD">
            <wp:extent cx="3816000" cy="2238375"/>
            <wp:effectExtent l="0" t="0" r="19685" b="222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FE2E33" w14:textId="77777777" w:rsidR="00CF2BBF" w:rsidRDefault="00CF2BBF"/>
    <w:p w14:paraId="523F28FA" w14:textId="77777777" w:rsidR="00CF2BBF" w:rsidRDefault="00CF2BBF"/>
    <w:p w14:paraId="5C13DF7A" w14:textId="77777777" w:rsidR="00290DDE" w:rsidRDefault="00290DDE">
      <w:pPr>
        <w:rPr>
          <w:rFonts w:ascii="Arial" w:hAnsi="Arial" w:cs="Arial"/>
          <w:sz w:val="24"/>
          <w:szCs w:val="24"/>
        </w:rPr>
      </w:pPr>
    </w:p>
    <w:p w14:paraId="0171314D" w14:textId="77777777" w:rsidR="00290DDE" w:rsidRDefault="00290DDE">
      <w:pPr>
        <w:rPr>
          <w:rFonts w:ascii="Arial" w:hAnsi="Arial" w:cs="Arial"/>
          <w:sz w:val="24"/>
          <w:szCs w:val="24"/>
        </w:rPr>
      </w:pPr>
    </w:p>
    <w:p w14:paraId="6E7D129D" w14:textId="77777777" w:rsidR="00290DDE" w:rsidRDefault="00290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under-five children were found to be severe and moderate underweight in all age groupings but 30-41 months old. About eight per cent of the under-five children were underweight in this livelihoods zone. </w:t>
      </w:r>
    </w:p>
    <w:p w14:paraId="4F40015A" w14:textId="77777777" w:rsidR="00290DDE" w:rsidRDefault="00290DD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A34DA" wp14:editId="31CF97C5">
            <wp:extent cx="3816000" cy="2268000"/>
            <wp:effectExtent l="0" t="0" r="19685" b="1841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6580C9DC" w14:textId="77777777" w:rsidR="00290DDE" w:rsidRPr="00704E34" w:rsidRDefault="00290DDE">
      <w:pPr>
        <w:rPr>
          <w:rFonts w:ascii="Arial" w:hAnsi="Arial" w:cs="Arial"/>
          <w:sz w:val="24"/>
          <w:szCs w:val="24"/>
        </w:rPr>
      </w:pPr>
    </w:p>
    <w:p w14:paraId="18CCF9E8" w14:textId="77777777" w:rsidR="0079574B" w:rsidRDefault="0079574B"/>
    <w:p w14:paraId="0A9BEBDD" w14:textId="77777777" w:rsidR="0079574B" w:rsidRDefault="0079574B"/>
    <w:sectPr w:rsidR="0079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4B"/>
    <w:rsid w:val="00097DA4"/>
    <w:rsid w:val="00162E4A"/>
    <w:rsid w:val="002141F1"/>
    <w:rsid w:val="00272935"/>
    <w:rsid w:val="00290DDE"/>
    <w:rsid w:val="00310EBB"/>
    <w:rsid w:val="00315543"/>
    <w:rsid w:val="003B755D"/>
    <w:rsid w:val="0050326D"/>
    <w:rsid w:val="00572BCA"/>
    <w:rsid w:val="005E1C18"/>
    <w:rsid w:val="00627E2A"/>
    <w:rsid w:val="006C5893"/>
    <w:rsid w:val="006C5A9C"/>
    <w:rsid w:val="00704E34"/>
    <w:rsid w:val="0074013E"/>
    <w:rsid w:val="007513A7"/>
    <w:rsid w:val="00754DC6"/>
    <w:rsid w:val="00761A24"/>
    <w:rsid w:val="0079574B"/>
    <w:rsid w:val="008A791B"/>
    <w:rsid w:val="008B1608"/>
    <w:rsid w:val="008F290F"/>
    <w:rsid w:val="00AA6012"/>
    <w:rsid w:val="00AC2D20"/>
    <w:rsid w:val="00AD0F4B"/>
    <w:rsid w:val="00AF07CF"/>
    <w:rsid w:val="00B36FC5"/>
    <w:rsid w:val="00BC2FB7"/>
    <w:rsid w:val="00BD29D7"/>
    <w:rsid w:val="00C03D3D"/>
    <w:rsid w:val="00CC6E31"/>
    <w:rsid w:val="00CF2BBF"/>
    <w:rsid w:val="00D4706B"/>
    <w:rsid w:val="00D535D1"/>
    <w:rsid w:val="00D625B8"/>
    <w:rsid w:val="00DB1BCB"/>
    <w:rsid w:val="00DB206A"/>
    <w:rsid w:val="00F13887"/>
    <w:rsid w:val="00FE245D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3C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9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9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Relationship Id="rId2" Type="http://schemas.microsoft.com/office/2011/relationships/chartStyle" Target="style4.xml"/><Relationship Id="rId3" Type="http://schemas.microsoft.com/office/2011/relationships/chartColorStyle" Target="colors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Relationship Id="rId2" Type="http://schemas.microsoft.com/office/2011/relationships/chartStyle" Target="style5.xml"/><Relationship Id="rId3" Type="http://schemas.microsoft.com/office/2011/relationships/chartColorStyle" Target="colors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ZALCM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Food Secure</c:v>
                </c:pt>
                <c:pt idx="1">
                  <c:v>Mildly Food Insecure</c:v>
                </c:pt>
                <c:pt idx="2">
                  <c:v>Moderately Food Insecure</c:v>
                </c:pt>
                <c:pt idx="3">
                  <c:v>Severely Food Insecure</c:v>
                </c:pt>
              </c:strCache>
            </c:strRef>
          </c:cat>
          <c:val>
            <c:numRef>
              <c:f>Sheet1!$B$26:$E$26</c:f>
              <c:numCache>
                <c:formatCode>General</c:formatCode>
                <c:ptCount val="4"/>
                <c:pt idx="0">
                  <c:v>19.0</c:v>
                </c:pt>
                <c:pt idx="1">
                  <c:v>33.0</c:v>
                </c:pt>
                <c:pt idx="2">
                  <c:v>44.0</c:v>
                </c:pt>
                <c:pt idx="3">
                  <c:v>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6B4-44F3-ADEB-6C3EC0D11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8893512"/>
        <c:axId val="2093429992"/>
      </c:barChart>
      <c:catAx>
        <c:axId val="-2098893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93429992"/>
        <c:crosses val="autoZero"/>
        <c:auto val="1"/>
        <c:lblAlgn val="ctr"/>
        <c:lblOffset val="100"/>
        <c:noMultiLvlLbl val="0"/>
      </c:catAx>
      <c:valAx>
        <c:axId val="209342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8893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777511961722488"/>
          <c:w val="0.74360679126501"/>
          <c:h val="0.754585954865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Sheet1!$A$46</c:f>
              <c:strCache>
                <c:ptCount val="1"/>
                <c:pt idx="0">
                  <c:v>ZALCM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Sheet1!$B$43:$D$43</c:f>
              <c:strCache>
                <c:ptCount val="3"/>
                <c:pt idx="0">
                  <c:v>Little to no hunger</c:v>
                </c:pt>
                <c:pt idx="1">
                  <c:v>Moderate hunger </c:v>
                </c:pt>
                <c:pt idx="2">
                  <c:v>Severe hunger </c:v>
                </c:pt>
              </c:strCache>
            </c:strRef>
          </c:cat>
          <c:val>
            <c:numRef>
              <c:f>Sheet1!$B$46:$D$46</c:f>
              <c:numCache>
                <c:formatCode>General</c:formatCode>
                <c:ptCount val="3"/>
                <c:pt idx="0">
                  <c:v>69.0</c:v>
                </c:pt>
                <c:pt idx="1">
                  <c:v>22.0</c:v>
                </c:pt>
                <c:pt idx="2">
                  <c:v>9.0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09-458A-BC3A-504411F14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7741976"/>
        <c:axId val="-2099218024"/>
      </c:barChart>
      <c:catAx>
        <c:axId val="-2077741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9218024"/>
        <c:crosses val="autoZero"/>
        <c:auto val="1"/>
        <c:lblAlgn val="ctr"/>
        <c:lblOffset val="100"/>
        <c:noMultiLvlLbl val="0"/>
      </c:catAx>
      <c:valAx>
        <c:axId val="-20992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77741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777511961722488"/>
          <c:w val="0.737626824154829"/>
          <c:h val="0.7833138680631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Sheet1!$A$56</c:f>
              <c:strCache>
                <c:ptCount val="1"/>
                <c:pt idx="0">
                  <c:v>ZALCM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Sheet1!$B$53:$D$53</c:f>
              <c:strCache>
                <c:ptCount val="3"/>
                <c:pt idx="0">
                  <c:v>Poor (0 - 21)</c:v>
                </c:pt>
                <c:pt idx="1">
                  <c:v>Borderline (21.5 - 35)</c:v>
                </c:pt>
                <c:pt idx="2">
                  <c:v>Acceptable (&gt;=35)</c:v>
                </c:pt>
              </c:strCache>
            </c:strRef>
          </c:cat>
          <c:val>
            <c:numRef>
              <c:f>Sheet1!$B$56:$D$56</c:f>
              <c:numCache>
                <c:formatCode>###0</c:formatCode>
                <c:ptCount val="3"/>
                <c:pt idx="0">
                  <c:v>2.5</c:v>
                </c:pt>
                <c:pt idx="1">
                  <c:v>13.33333333333333</c:v>
                </c:pt>
                <c:pt idx="2">
                  <c:v>84.16666666666667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C5-43DF-8E5E-6679ABC85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9664120"/>
        <c:axId val="-2075977560"/>
      </c:barChart>
      <c:catAx>
        <c:axId val="-2079664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75977560"/>
        <c:crosses val="autoZero"/>
        <c:auto val="1"/>
        <c:lblAlgn val="ctr"/>
        <c:lblOffset val="100"/>
        <c:noMultiLvlLbl val="0"/>
      </c:catAx>
      <c:valAx>
        <c:axId val="-207597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79664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647224701006"/>
          <c:y val="0.0737588652482269"/>
          <c:w val="0.654386137329439"/>
          <c:h val="0.7013083151840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Sheet1!$B$85</c:f>
              <c:strCache>
                <c:ptCount val="1"/>
                <c:pt idx="0">
                  <c:v>Severe stunting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Sheet1!$C$83:$G$83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Sheet1!$C$85:$G$85</c:f>
              <c:numCache>
                <c:formatCode>General</c:formatCode>
                <c:ptCount val="5"/>
                <c:pt idx="0">
                  <c:v>14.3</c:v>
                </c:pt>
                <c:pt idx="1">
                  <c:v>0.0</c:v>
                </c:pt>
                <c:pt idx="2">
                  <c:v>8.3</c:v>
                </c:pt>
                <c:pt idx="3">
                  <c:v>10.0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410-4248-9611-95C88E82D242}"/>
            </c:ext>
          </c:extLst>
        </c:ser>
        <c:ser>
          <c:idx val="1"/>
          <c:order val="1"/>
          <c:tx>
            <c:strRef>
              <c:f>Sheet1!$B$94</c:f>
              <c:strCache>
                <c:ptCount val="1"/>
                <c:pt idx="0">
                  <c:v>Moderate stunting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Sheet1!$C$83:$G$83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Sheet1!$C$94:$G$94</c:f>
              <c:numCache>
                <c:formatCode>General</c:formatCode>
                <c:ptCount val="5"/>
                <c:pt idx="0">
                  <c:v>0.0</c:v>
                </c:pt>
                <c:pt idx="1">
                  <c:v>18.2</c:v>
                </c:pt>
                <c:pt idx="2">
                  <c:v>16.7</c:v>
                </c:pt>
                <c:pt idx="3">
                  <c:v>10.0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410-4248-9611-95C88E82D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-2099806504"/>
        <c:axId val="-2104989480"/>
      </c:barChart>
      <c:catAx>
        <c:axId val="-2099806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 </a:t>
                </a:r>
              </a:p>
            </c:rich>
          </c:tx>
          <c:layout>
            <c:manualLayout>
              <c:xMode val="edge"/>
              <c:yMode val="edge"/>
              <c:x val="0.313976279674976"/>
              <c:y val="0.88085106382978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4989480"/>
        <c:crosses val="autoZero"/>
        <c:auto val="1"/>
        <c:lblAlgn val="ctr"/>
        <c:lblOffset val="100"/>
        <c:noMultiLvlLbl val="0"/>
      </c:catAx>
      <c:valAx>
        <c:axId val="-2104989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0998502246630055"/>
              <c:y val="0.2380736025018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9806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705021208345"/>
          <c:y val="0.272768414586475"/>
          <c:w val="0.223294978791655"/>
          <c:h val="0.4079379013793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659358730932"/>
          <c:y val="0.0728087370484458"/>
          <c:w val="0.640887487666138"/>
          <c:h val="0.7275586141203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Sheet1!$B$128</c:f>
              <c:strCache>
                <c:ptCount val="1"/>
                <c:pt idx="0">
                  <c:v>Severe underweight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Sheet1!$C$126:$G$126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Sheet1!$C$128:$G$128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A45-4CAD-BD91-61FADED040A7}"/>
            </c:ext>
          </c:extLst>
        </c:ser>
        <c:ser>
          <c:idx val="1"/>
          <c:order val="1"/>
          <c:tx>
            <c:strRef>
              <c:f>Sheet1!$B$137</c:f>
              <c:strCache>
                <c:ptCount val="1"/>
                <c:pt idx="0">
                  <c:v>Moderate underweight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Sheet1!$C$126:$G$126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Sheet1!$C$137:$G$137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8.3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A45-4CAD-BD91-61FADED04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-2104257240"/>
        <c:axId val="-2103794968"/>
      </c:barChart>
      <c:catAx>
        <c:axId val="-2104257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 </a:t>
                </a:r>
              </a:p>
            </c:rich>
          </c:tx>
          <c:layout>
            <c:manualLayout>
              <c:xMode val="edge"/>
              <c:yMode val="edge"/>
              <c:x val="0.318858457720244"/>
              <c:y val="0.8968664901205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3794968"/>
        <c:crosses val="autoZero"/>
        <c:auto val="1"/>
        <c:lblAlgn val="ctr"/>
        <c:lblOffset val="100"/>
        <c:noMultiLvlLbl val="0"/>
      </c:catAx>
      <c:valAx>
        <c:axId val="-210379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0998502246630055"/>
              <c:y val="0.31705669247238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4257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3218505574971"/>
          <c:y val="0.214648182978808"/>
          <c:w val="0.253453153602929"/>
          <c:h val="0.3858810143831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Mjabuliseni Ngidi</dc:creator>
  <cp:keywords/>
  <dc:description/>
  <cp:lastModifiedBy>Charles Rethman</cp:lastModifiedBy>
  <cp:revision>2</cp:revision>
  <dcterms:created xsi:type="dcterms:W3CDTF">2017-02-22T15:43:00Z</dcterms:created>
  <dcterms:modified xsi:type="dcterms:W3CDTF">2017-02-22T15:43:00Z</dcterms:modified>
</cp:coreProperties>
</file>