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Evidencia Lectura 10</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METODOLOGÍA PARA TRADUCIR CASOS DE USO A CASOS DE PRUEBAS</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Tipos de prueba:</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-Unitarios: Probar funciones del sistema de manera individual.</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-Aceptación: Un checklist de si los requisitos propuestos cumplen con las necesidades de la organización/empresa.</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-Regresión: Cuando ya lo probé y encontré un defecto en el sistema, hago correcciones y lo vuelvo a probar.</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-Integración: Tener una visión sistémica y probar las funciones del sistema como uno.</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1) Elaborar el diagrama de caso de uso</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2) Describir cada caso de uso -&gt; Arbol de decisiones (es el que de manera gráfica me ayuda a identificar todos los flujos del proceso de un caso de uso). Y de manera recomendada se pide que se haga un diagrama de actividades por cada requisito funcional.</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3) Identificar los escenarios (y nombrarlos)</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4) Identificar los casos de prueba (valores: válidos, inválidos, aplica, no aplica, etc).</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5) Elaborar tabla con valores de pruebas reales.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NOTA: No se recomienda que la persona que diseñe la prueba, sea la persona que codifique la función. Esto debido a que lo que se espera en pruebas es que el sistema FALLE, entonces si la misma persona que diseña la prueba, la codifique, es muy probable que la codifique para que todo funcione.</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