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24"/>
          <w:szCs w:val="24"/>
        </w:rPr>
      </w:pPr>
      <w:r w:rsidDel="00000000" w:rsidR="00000000" w:rsidRPr="00000000">
        <w:rPr>
          <w:b w:val="1"/>
          <w:sz w:val="24"/>
          <w:szCs w:val="24"/>
          <w:rtl w:val="0"/>
        </w:rPr>
        <w:t xml:space="preserve">Evidencia Lectura 6</w:t>
      </w:r>
    </w:p>
    <w:p w:rsidR="00000000" w:rsidDel="00000000" w:rsidP="00000000" w:rsidRDefault="00000000" w:rsidRPr="00000000" w14:paraId="00000002">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Las columnas subrayadas son la llave primaria de cada una de las entidades (puede ser una llave primaria compuesta).</w:t>
      </w:r>
    </w:p>
    <w:p w:rsidR="00000000" w:rsidDel="00000000" w:rsidP="00000000" w:rsidRDefault="00000000" w:rsidRPr="00000000" w14:paraId="00000003">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Las llaves primarias garantizan unicidad dentro de la tabla.</w:t>
      </w:r>
    </w:p>
    <w:p w:rsidR="00000000" w:rsidDel="00000000" w:rsidP="00000000" w:rsidRDefault="00000000" w:rsidRPr="00000000" w14:paraId="00000004">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Relación N:N: Se define una tabla para la relación que va a heredar las llaves primarias de todas las entidades involucradas, más los atributos que se generan por la relación.</w:t>
      </w:r>
    </w:p>
    <w:p w:rsidR="00000000" w:rsidDel="00000000" w:rsidP="00000000" w:rsidRDefault="00000000" w:rsidRPr="00000000" w14:paraId="00000005">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Relación 1:N: La entidad que esté conectada con la cardinalidad N va a agregar a su tabla la llave primaria de la entidad que esté conectada con la cardinalidad 1 como referencia (llave foránea).</w:t>
      </w:r>
    </w:p>
    <w:p w:rsidR="00000000" w:rsidDel="00000000" w:rsidP="00000000" w:rsidRDefault="00000000" w:rsidRPr="00000000" w14:paraId="00000006">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Las llaves foráneas garantizan integridad referencial.</w:t>
      </w:r>
    </w:p>
    <w:p w:rsidR="00000000" w:rsidDel="00000000" w:rsidP="00000000" w:rsidRDefault="00000000" w:rsidRPr="00000000" w14:paraId="00000007">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Relación 1:1: Se agrega una llave foránea de la llave primaria de una tabla participante a la otra.</w:t>
      </w:r>
    </w:p>
    <w:p w:rsidR="00000000" w:rsidDel="00000000" w:rsidP="00000000" w:rsidRDefault="00000000" w:rsidRPr="00000000" w14:paraId="00000008">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Relación ISA: Estas relaciones son 1:1. La superclase va a heredar su llave primaria a las subclases.</w:t>
      </w:r>
    </w:p>
    <w:p w:rsidR="00000000" w:rsidDel="00000000" w:rsidP="00000000" w:rsidRDefault="00000000" w:rsidRPr="00000000" w14:paraId="00000009">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Entidades fuertes y débiles: La entidad débil hereda la llave primaria de la entidad fuerte, y forma una llave primaria compuesta de la llave primaria heredada y su propia llave primaria.</w:t>
      </w:r>
    </w:p>
    <w:p w:rsidR="00000000" w:rsidDel="00000000" w:rsidP="00000000" w:rsidRDefault="00000000" w:rsidRPr="00000000" w14:paraId="0000000A">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Roles: Es una relación N:N. Se debe de hacer una tabla adicional para relacionar el rol con la entidad. La tabla adicional tendrá el nombre de la relación entre ellos. La llave primaria será compuesta entre la llave primaria de la entidad y el nombre del rol. La tabla del rol NO existe.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