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Performance Review</w:t>
      </w:r>
    </w:p>
    <w:p>
      <w:r>
        <w:t>The team reviewed all open accounts and recorded the headline numbers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Quarter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Revenue</w:t>
            </w:r>
          </w:p>
        </w:tc>
      </w:tr>
      <w:tr>
        <w:tc>
          <w:tcPr>
            <w:tcW w:type="dxa" w:w="1440"/>
          </w:tcPr>
          <w:p>
            <w:r>
              <w:t>A-001</w:t>
            </w:r>
          </w:p>
        </w:tc>
        <w:tc>
          <w:tcPr>
            <w:tcW w:type="dxa" w:w="1440"/>
          </w:tcPr>
          <w:p>
            <w:r>
              <w:t>North</w:t>
            </w:r>
          </w:p>
        </w:tc>
        <w:tc>
          <w:tcPr>
            <w:tcW w:type="dxa" w:w="1440"/>
          </w:tcPr>
          <w:p>
            <w:r>
              <w:t>Q1 2026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Alice</w:t>
            </w:r>
          </w:p>
        </w:tc>
        <w:tc>
          <w:tcPr>
            <w:tcW w:type="dxa" w:w="1440"/>
          </w:tcPr>
          <w:p>
            <w:r>
              <w:t>120000</w:t>
            </w:r>
          </w:p>
        </w:tc>
      </w:tr>
      <w:tr>
        <w:tc>
          <w:tcPr>
            <w:tcW w:type="dxa" w:w="1440"/>
          </w:tcPr>
          <w:p>
            <w:r>
              <w:t>A-002</w:t>
            </w:r>
          </w:p>
        </w:tc>
        <w:tc>
          <w:tcPr>
            <w:tcW w:type="dxa" w:w="1440"/>
          </w:tcPr>
          <w:p>
            <w:r>
              <w:t>South</w:t>
            </w:r>
          </w:p>
        </w:tc>
        <w:tc>
          <w:tcPr>
            <w:tcW w:type="dxa" w:w="1440"/>
          </w:tcPr>
          <w:p>
            <w:r>
              <w:t>Q1 2026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Bob</w:t>
            </w:r>
          </w:p>
        </w:tc>
        <w:tc>
          <w:tcPr>
            <w:tcW w:type="dxa" w:w="1440"/>
          </w:tcPr>
          <w:p>
            <w:r>
              <w:t>150000</w:t>
            </w:r>
          </w:p>
        </w:tc>
      </w:tr>
    </w:tbl>
    <w:p>
      <w:pPr>
        <w:pStyle w:val="Heading2"/>
      </w:pPr>
      <w:r>
        <w:t>Notes</w:t>
      </w:r>
    </w:p>
    <w:p>
      <w:r>
        <w:t>Account A-002 grew the fastest this quarter; A-001 stayed on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