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2B3A"/>
          <w:sz w:val="76"/>
        </w:rPr>
        <w:t>KONSILYS</w:t>
      </w:r>
    </w:p>
    <w:p>
      <w:pPr>
        <w:jc w:val="center"/>
      </w:pPr>
      <w:r>
        <w:rPr>
          <w:rFonts w:ascii="Calibri" w:hAnsi="Calibri"/>
          <w:b/>
          <w:color w:val="333D47"/>
          <w:sz w:val="40"/>
        </w:rPr>
        <w:t>Préparation du rendez-vous CGI</w:t>
      </w:r>
    </w:p>
    <w:p>
      <w:pPr>
        <w:jc w:val="center"/>
      </w:pPr>
      <w:r>
        <w:rPr>
          <w:rFonts w:ascii="Calibri" w:hAnsi="Calibri"/>
          <w:color w:val="2F6F3E"/>
          <w:sz w:val="26"/>
        </w:rPr>
        <w:t>Présenter &amp; positionner Konsilys pour un partenariat / rachat</w:t>
      </w:r>
    </w:p>
    <w:p/>
    <w:p/>
    <w:p/>
    <w:p/>
    <w:p/>
    <w:p>
      <w:pPr>
        <w:jc w:val="center"/>
      </w:pPr>
      <w:r>
        <w:rPr>
          <w:rFonts w:ascii="Calibri" w:hAnsi="Calibri"/>
          <w:color w:val="556370"/>
          <w:sz w:val="22"/>
        </w:rPr>
        <w:t>3 dirigeants CGI · Document de travail confidentiel · Juillet 2026</w:t>
      </w:r>
    </w:p>
    <w:p>
      <w:r>
        <w:br w:type="page"/>
      </w:r>
    </w:p>
    <w:p>
      <w:pPr>
        <w:keepNext/>
        <w:spacing w:before="300" w:after="140"/>
        <w:pBdr>
          <w:bottom w:val="single" w:sz="6" w:space="4" w:color="84CC16"/>
        </w:pBdr>
      </w:pPr>
      <w:r>
        <w:rPr>
          <w:rFonts w:ascii="Calibri" w:hAnsi="Calibri"/>
          <w:b/>
          <w:color w:val="1B2B3A"/>
          <w:sz w:val="32"/>
        </w:rPr>
        <w:t>1. Contexte &amp; objectif</w:t>
      </w:r>
    </w:p>
    <w:p>
      <w:r>
        <w:rPr>
          <w:rFonts w:ascii="Calibri" w:hAnsi="Calibri"/>
          <w:b w:val="0"/>
          <w:i w:val="0"/>
          <w:sz w:val="21"/>
        </w:rPr>
        <w:t>Tu présentes Konsilys — plateforme SaaS de pilotage d'ESN, déjà en production — à trois dirigeants de CGI, ton employeur et l'une des plus grandes ESN mondiales. Objectif visé : un partenariat ou le rachat du produit (et éventuellement de l'équipe).</w:t>
      </w:r>
    </w:p>
    <w:p>
      <w:r>
        <w:rPr>
          <w:rFonts w:ascii="Calibri" w:hAnsi="Calibri"/>
          <w:b w:val="0"/>
          <w:i/>
          <w:sz w:val="21"/>
        </w:rPr>
        <w:t>Le récit gagnant : « CGI peut, dès aujourd'hui, tirer parti d'un actif SaaS prêt — pour gagner en agilité en interne (filiales, acquisitions, BU) et pour l'ajouter à son offre — au lieu de le construire. »</w:t>
      </w:r>
    </w:p>
    <w:tbl>
      <w:tblPr>
        <w:tblStyle w:val="TableGrid"/>
        <w:tblW w:type="auto" w:w="0"/>
        <w:tblLook w:firstColumn="1" w:firstRow="1" w:lastColumn="0" w:lastRow="0" w:noHBand="0" w:noVBand="1" w:val="04A0"/>
      </w:tblPr>
      <w:tblGrid>
        <w:gridCol w:w="8640"/>
      </w:tblGrid>
      <w:tr>
        <w:tc>
          <w:tcPr>
            <w:tcW w:type="dxa" w:w="8640"/>
            <w:shd w:val="clear" w:color="auto" w:fill="F0FDF4"/>
          </w:tcPr>
          <w:p>
            <w:r/>
            <w:r>
              <w:rPr>
                <w:rFonts w:ascii="Calibri" w:hAnsi="Calibri"/>
                <w:b/>
                <w:color w:val="1B2B3A"/>
                <w:sz w:val="20"/>
              </w:rPr>
              <w:t xml:space="preserve">Règle d'or :  </w:t>
            </w:r>
            <w:r>
              <w:rPr>
                <w:rFonts w:ascii="Calibri" w:hAnsi="Calibri"/>
                <w:sz w:val="20"/>
              </w:rPr>
              <w:t>ne survends pas. Montre un produit réel, écoute leurs enjeux, et propose de dérisquer par un pilote. Un pilote crédible vaut mieux qu'une promesse d'acquisition.</w:t>
            </w:r>
          </w:p>
        </w:tc>
      </w:tr>
    </w:tbl>
    <w:p>
      <w:pPr>
        <w:spacing w:after="40"/>
      </w:pPr>
    </w:p>
    <w:p>
      <w:pPr>
        <w:keepNext/>
        <w:spacing w:before="300" w:after="140"/>
        <w:pBdr>
          <w:bottom w:val="single" w:sz="6" w:space="4" w:color="84CC16"/>
        </w:pBdr>
      </w:pPr>
      <w:r>
        <w:rPr>
          <w:rFonts w:ascii="Calibri" w:hAnsi="Calibri"/>
          <w:b/>
          <w:color w:val="1B2B3A"/>
          <w:sz w:val="32"/>
        </w:rPr>
        <w:t>2. Priorité n°1 avant le rendez-vous : la propriété intellectuelle</w:t>
      </w:r>
    </w:p>
    <w:tbl>
      <w:tblPr>
        <w:tblStyle w:val="TableGrid"/>
        <w:tblW w:type="auto" w:w="0"/>
        <w:tblLook w:firstColumn="1" w:firstRow="1" w:lastColumn="0" w:lastRow="0" w:noHBand="0" w:noVBand="1" w:val="04A0"/>
      </w:tblPr>
      <w:tblGrid>
        <w:gridCol w:w="8640"/>
      </w:tblGrid>
      <w:tr>
        <w:tc>
          <w:tcPr>
            <w:tcW w:type="dxa" w:w="8640"/>
            <w:shd w:val="clear" w:color="auto" w:fill="FFF4E5"/>
          </w:tcPr>
          <w:p>
            <w:r/>
            <w:r>
              <w:rPr>
                <w:rFonts w:ascii="Calibri" w:hAnsi="Calibri"/>
                <w:b/>
                <w:color w:val="B4610F"/>
                <w:sz w:val="20"/>
              </w:rPr>
              <w:t xml:space="preserve">À régler impérativement.  </w:t>
            </w:r>
            <w:r>
              <w:rPr>
                <w:rFonts w:ascii="Calibri" w:hAnsi="Calibri"/>
                <w:sz w:val="20"/>
              </w:rPr>
              <w:t>Tu es salarié de CGI. Selon ton contrat (clause de PI) et les conditions de développement (temps/ressources personnels, aucune donnée ou code CGI), CGI pourrait déjà détenir des droits sur Konsilys — ce qui change tout dans une négociation de rachat.</w:t>
            </w:r>
          </w:p>
        </w:tc>
      </w:tr>
    </w:tbl>
    <w:p>
      <w:pPr>
        <w:spacing w:after="40"/>
      </w:pPr>
    </w:p>
    <w:p>
      <w:r>
        <w:rPr>
          <w:rFonts w:ascii="Calibri" w:hAnsi="Calibri"/>
          <w:b/>
          <w:i w:val="0"/>
          <w:sz w:val="21"/>
        </w:rPr>
        <w:t>Actions :</w:t>
      </w:r>
    </w:p>
    <w:p>
      <w:pPr>
        <w:pStyle w:val="ListBullet"/>
        <w:spacing w:after="60"/>
      </w:pPr>
      <w:r>
        <w:rPr>
          <w:rFonts w:ascii="Calibri" w:hAnsi="Calibri"/>
          <w:sz w:val="21"/>
        </w:rPr>
        <w:t>Relis ta clause de PI / d'invention de salarié et, si possible, consulte un avocat (droit du travail / PI) avant le rendez-vous.</w:t>
      </w:r>
    </w:p>
    <w:p>
      <w:pPr>
        <w:pStyle w:val="ListBullet"/>
        <w:spacing w:after="60"/>
      </w:pPr>
      <w:r>
        <w:rPr>
          <w:rFonts w:ascii="Calibri" w:hAnsi="Calibri"/>
          <w:sz w:val="21"/>
        </w:rPr>
        <w:t>Réunis les preuves d'un développement indépendant (historique de commits, comptes personnels, hébergement à ton nom, aucun actif CGI).</w:t>
      </w:r>
    </w:p>
    <w:p>
      <w:pPr>
        <w:pStyle w:val="ListBullet"/>
        <w:spacing w:after="60"/>
      </w:pPr>
      <w:r>
        <w:rPr>
          <w:rFonts w:ascii="Calibri" w:hAnsi="Calibri"/>
          <w:sz w:val="21"/>
        </w:rPr>
        <w:t>Prépare une position claire : soit l'IP est propre (tu peux céder/licencier), soit tu proposes d'emblée un cadre à définir. La transparence te protège ; une ambiguïté découverte en due diligence te décrédibilise.</w:t>
      </w:r>
    </w:p>
    <w:p>
      <w:pPr>
        <w:keepNext/>
        <w:spacing w:before="300" w:after="140"/>
        <w:pBdr>
          <w:bottom w:val="single" w:sz="6" w:space="4" w:color="84CC16"/>
        </w:pBdr>
      </w:pPr>
      <w:r>
        <w:rPr>
          <w:rFonts w:ascii="Calibri" w:hAnsi="Calibri"/>
          <w:b/>
          <w:color w:val="1B2B3A"/>
          <w:sz w:val="32"/>
        </w:rPr>
        <w:t>3. Les questions difficiles à anticiper</w:t>
      </w:r>
    </w:p>
    <w:p>
      <w:r>
        <w:rPr>
          <w:rFonts w:ascii="Calibri" w:hAnsi="Calibri"/>
          <w:b w:val="0"/>
          <w:i w:val="0"/>
          <w:sz w:val="21"/>
        </w:rPr>
        <w:t>Prépare des réponses courtes et factuelles. Les plus probables et une trame de réponse :</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B2B3A"/>
          </w:tcPr>
          <w:p>
            <w:pPr>
              <w:spacing w:after="40" w:before="40"/>
            </w:pPr>
            <w:r/>
            <w:r>
              <w:rPr>
                <w:rFonts w:ascii="Calibri" w:hAnsi="Calibri"/>
                <w:b/>
                <w:color w:val="FFFFFF"/>
                <w:sz w:val="20"/>
              </w:rPr>
              <w:t>Question probable</w:t>
            </w:r>
          </w:p>
        </w:tc>
        <w:tc>
          <w:tcPr>
            <w:tcW w:type="dxa" w:w="6048"/>
            <w:shd w:val="clear" w:color="auto" w:fill="1B2B3A"/>
          </w:tcPr>
          <w:p>
            <w:pPr>
              <w:spacing w:after="40" w:before="40"/>
            </w:pPr>
            <w:r/>
            <w:r>
              <w:rPr>
                <w:rFonts w:ascii="Calibri" w:hAnsi="Calibri"/>
                <w:b/>
                <w:color w:val="FFFFFF"/>
                <w:sz w:val="20"/>
              </w:rPr>
              <w:t>Trame de réponse</w:t>
            </w:r>
          </w:p>
        </w:tc>
      </w:tr>
      <w:tr>
        <w:tc>
          <w:tcPr>
            <w:tcW w:type="dxa" w:w="3312"/>
          </w:tcPr>
          <w:p>
            <w:pPr>
              <w:spacing w:after="40" w:before="40"/>
            </w:pPr>
            <w:r/>
            <w:r>
              <w:rPr>
                <w:rFonts w:ascii="Calibri" w:hAnsi="Calibri"/>
                <w:b w:val="0"/>
                <w:sz w:val="19"/>
              </w:rPr>
              <w:t>« À qui appartient Konsilys ? » (LA question)</w:t>
            </w:r>
          </w:p>
        </w:tc>
        <w:tc>
          <w:tcPr>
            <w:tcW w:type="dxa" w:w="6048"/>
          </w:tcPr>
          <w:p>
            <w:pPr>
              <w:spacing w:after="40" w:before="40"/>
            </w:pPr>
            <w:r/>
            <w:r>
              <w:rPr>
                <w:rFonts w:ascii="Calibri" w:hAnsi="Calibri"/>
                <w:b w:val="0"/>
                <w:sz w:val="19"/>
              </w:rPr>
              <w:t>Transparence et préparation. Clarifie avant : clause de PI, développement personnel, absence de code/données CGI. Si l'IP est propre, dis-le ; sinon propose un cadre. Ne prétends jamais détenir ce que tu ne détiens pas — c'est le premier point de la due diligence.</w:t>
            </w:r>
          </w:p>
        </w:tc>
      </w:tr>
      <w:tr>
        <w:tc>
          <w:tcPr>
            <w:tcW w:type="dxa" w:w="3312"/>
            <w:shd w:val="clear" w:color="auto" w:fill="F7F9FB"/>
          </w:tcPr>
          <w:p>
            <w:pPr>
              <w:spacing w:after="40" w:before="40"/>
            </w:pPr>
            <w:r/>
            <w:r>
              <w:rPr>
                <w:rFonts w:ascii="Calibri" w:hAnsi="Calibri"/>
                <w:b w:val="0"/>
                <w:sz w:val="19"/>
              </w:rPr>
              <w:t>« Conflit d'intérêt, tu es salarié ? »</w:t>
            </w:r>
          </w:p>
        </w:tc>
        <w:tc>
          <w:tcPr>
            <w:tcW w:type="dxa" w:w="6048"/>
            <w:shd w:val="clear" w:color="auto" w:fill="F7F9FB"/>
          </w:tcPr>
          <w:p>
            <w:pPr>
              <w:spacing w:after="40" w:before="40"/>
            </w:pPr>
            <w:r/>
            <w:r>
              <w:rPr>
                <w:rFonts w:ascii="Calibri" w:hAnsi="Calibri"/>
                <w:b w:val="0"/>
                <w:sz w:val="19"/>
              </w:rPr>
              <w:t>Assume et cadre : tu viens en transparence, tu as informé les bonnes personnes, et tu proposes à CGI d'en bénéficier. Ta démarche sert CGI, pas contre elle.</w:t>
            </w:r>
          </w:p>
        </w:tc>
      </w:tr>
      <w:tr>
        <w:tc>
          <w:tcPr>
            <w:tcW w:type="dxa" w:w="3312"/>
          </w:tcPr>
          <w:p>
            <w:pPr>
              <w:spacing w:after="40" w:before="40"/>
            </w:pPr>
            <w:r/>
            <w:r>
              <w:rPr>
                <w:rFonts w:ascii="Calibri" w:hAnsi="Calibri"/>
                <w:b w:val="0"/>
                <w:sz w:val="19"/>
              </w:rPr>
              <w:t>« Pourquoi ne pas le construire nous-mêmes ? »</w:t>
            </w:r>
          </w:p>
        </w:tc>
        <w:tc>
          <w:tcPr>
            <w:tcW w:type="dxa" w:w="6048"/>
          </w:tcPr>
          <w:p>
            <w:pPr>
              <w:spacing w:after="40" w:before="40"/>
            </w:pPr>
            <w:r/>
            <w:r>
              <w:rPr>
                <w:rFonts w:ascii="Calibri" w:hAnsi="Calibri"/>
                <w:b w:val="0"/>
                <w:sz w:val="19"/>
              </w:rPr>
              <w:t>Time-to-market et risque : l'actif existe, en production, testé. En interne = 12-24 mois, budget et risque d'échec. Vous achetez de la vitesse et un produit prouvé, avec l'équipe qui le connaît.</w:t>
            </w:r>
          </w:p>
        </w:tc>
      </w:tr>
      <w:tr>
        <w:tc>
          <w:tcPr>
            <w:tcW w:type="dxa" w:w="3312"/>
            <w:shd w:val="clear" w:color="auto" w:fill="F7F9FB"/>
          </w:tcPr>
          <w:p>
            <w:pPr>
              <w:spacing w:after="40" w:before="40"/>
            </w:pPr>
            <w:r/>
            <w:r>
              <w:rPr>
                <w:rFonts w:ascii="Calibri" w:hAnsi="Calibri"/>
                <w:b w:val="0"/>
                <w:sz w:val="19"/>
              </w:rPr>
              <w:t>« Sécurisé et conforme à notre échelle ? »</w:t>
            </w:r>
          </w:p>
        </w:tc>
        <w:tc>
          <w:tcPr>
            <w:tcW w:type="dxa" w:w="6048"/>
            <w:shd w:val="clear" w:color="auto" w:fill="F7F9FB"/>
          </w:tcPr>
          <w:p>
            <w:pPr>
              <w:spacing w:after="40" w:before="40"/>
            </w:pPr>
            <w:r/>
            <w:r>
              <w:rPr>
                <w:rFonts w:ascii="Calibri" w:hAnsi="Calibri"/>
                <w:b w:val="0"/>
                <w:sz w:val="19"/>
              </w:rPr>
              <w:t>Sécurité by design : isolation multi-tenant (RLS), moindre privilège, paiement délégué (Stripe), hébergement Europe / RGPD. Prêt à intégrer SSO/annuaire et à s'aligner sur vos standards (ISO 27001, souveraineté).</w:t>
            </w:r>
          </w:p>
        </w:tc>
      </w:tr>
      <w:tr>
        <w:tc>
          <w:tcPr>
            <w:tcW w:type="dxa" w:w="3312"/>
          </w:tcPr>
          <w:p>
            <w:pPr>
              <w:spacing w:after="40" w:before="40"/>
            </w:pPr>
            <w:r/>
            <w:r>
              <w:rPr>
                <w:rFonts w:ascii="Calibri" w:hAnsi="Calibri"/>
                <w:b w:val="0"/>
                <w:sz w:val="19"/>
              </w:rPr>
              <w:t>« Intégration à notre SI / ERP (SAP, AD) ? »</w:t>
            </w:r>
          </w:p>
        </w:tc>
        <w:tc>
          <w:tcPr>
            <w:tcW w:type="dxa" w:w="6048"/>
          </w:tcPr>
          <w:p>
            <w:pPr>
              <w:spacing w:after="40" w:before="40"/>
            </w:pPr>
            <w:r/>
            <w:r>
              <w:rPr>
                <w:rFonts w:ascii="Calibri" w:hAnsi="Calibri"/>
                <w:b w:val="0"/>
                <w:sz w:val="19"/>
              </w:rPr>
              <w:t>Konsilys ne remplace pas l'ERP : il comble l'opérationnel léger. API et fonctions serveur pour connecteurs (SSO, RH-paie, exports) ; Teams déjà en place. Feuille de route définie avec vos équipes.</w:t>
            </w:r>
          </w:p>
        </w:tc>
      </w:tr>
      <w:tr>
        <w:tc>
          <w:tcPr>
            <w:tcW w:type="dxa" w:w="3312"/>
            <w:shd w:val="clear" w:color="auto" w:fill="F7F9FB"/>
          </w:tcPr>
          <w:p>
            <w:pPr>
              <w:spacing w:after="40" w:before="40"/>
            </w:pPr>
            <w:r/>
            <w:r>
              <w:rPr>
                <w:rFonts w:ascii="Calibri" w:hAnsi="Calibri"/>
                <w:b w:val="0"/>
                <w:sz w:val="19"/>
              </w:rPr>
              <w:t>« Ça passe à l'échelle ? »</w:t>
            </w:r>
          </w:p>
        </w:tc>
        <w:tc>
          <w:tcPr>
            <w:tcW w:type="dxa" w:w="6048"/>
            <w:shd w:val="clear" w:color="auto" w:fill="F7F9FB"/>
          </w:tcPr>
          <w:p>
            <w:pPr>
              <w:spacing w:after="40" w:before="40"/>
            </w:pPr>
            <w:r/>
            <w:r>
              <w:rPr>
                <w:rFonts w:ascii="Calibri" w:hAnsi="Calibri"/>
                <w:b w:val="0"/>
                <w:sz w:val="19"/>
              </w:rPr>
              <w:t>SaaS multi-tenant nativement extensible (ajout d'entités/sièges sans redéploiement), base managée avec sauvegardes, front en CDN.</w:t>
            </w:r>
          </w:p>
        </w:tc>
      </w:tr>
      <w:tr>
        <w:tc>
          <w:tcPr>
            <w:tcW w:type="dxa" w:w="3312"/>
          </w:tcPr>
          <w:p>
            <w:pPr>
              <w:spacing w:after="40" w:before="40"/>
            </w:pPr>
            <w:r/>
            <w:r>
              <w:rPr>
                <w:rFonts w:ascii="Calibri" w:hAnsi="Calibri"/>
                <w:b w:val="0"/>
                <w:sz w:val="19"/>
              </w:rPr>
              <w:t>« Dépendance à une personne ? (bus factor) »</w:t>
            </w:r>
          </w:p>
        </w:tc>
        <w:tc>
          <w:tcPr>
            <w:tcW w:type="dxa" w:w="6048"/>
          </w:tcPr>
          <w:p>
            <w:pPr>
              <w:spacing w:after="40" w:before="40"/>
            </w:pPr>
            <w:r/>
            <w:r>
              <w:rPr>
                <w:rFonts w:ascii="Calibri" w:hAnsi="Calibri"/>
                <w:b w:val="0"/>
                <w:sz w:val="19"/>
              </w:rPr>
              <w:t>C'est pourquoi l'intégration de l'équipe fait partie du deal. Prépare l'état de la documentation, du code et un plan de transfert.</w:t>
            </w:r>
          </w:p>
        </w:tc>
      </w:tr>
      <w:tr>
        <w:tc>
          <w:tcPr>
            <w:tcW w:type="dxa" w:w="3312"/>
            <w:shd w:val="clear" w:color="auto" w:fill="F7F9FB"/>
          </w:tcPr>
          <w:p>
            <w:pPr>
              <w:spacing w:after="40" w:before="40"/>
            </w:pPr>
            <w:r/>
            <w:r>
              <w:rPr>
                <w:rFonts w:ascii="Calibri" w:hAnsi="Calibri"/>
                <w:b w:val="0"/>
                <w:sz w:val="19"/>
              </w:rPr>
              <w:t>« Différenciation vs le marché ? »</w:t>
            </w:r>
          </w:p>
        </w:tc>
        <w:tc>
          <w:tcPr>
            <w:tcW w:type="dxa" w:w="6048"/>
            <w:shd w:val="clear" w:color="auto" w:fill="F7F9FB"/>
          </w:tcPr>
          <w:p>
            <w:pPr>
              <w:spacing w:after="40" w:before="40"/>
            </w:pPr>
            <w:r/>
            <w:r>
              <w:rPr>
                <w:rFonts w:ascii="Calibri" w:hAnsi="Calibri"/>
                <w:b w:val="0"/>
                <w:sz w:val="19"/>
              </w:rPr>
              <w:t>Tout-en-un (staffing + missions + absences + recrutement + CRM) vs concurrents fragmentés ; déploiement en minutes vs projets ERP ; modèle par licence épousant l'usage.</w:t>
            </w:r>
          </w:p>
        </w:tc>
      </w:tr>
      <w:tr>
        <w:tc>
          <w:tcPr>
            <w:tcW w:type="dxa" w:w="3312"/>
          </w:tcPr>
          <w:p>
            <w:pPr>
              <w:spacing w:after="40" w:before="40"/>
            </w:pPr>
            <w:r/>
            <w:r>
              <w:rPr>
                <w:rFonts w:ascii="Calibri" w:hAnsi="Calibri"/>
                <w:b w:val="0"/>
                <w:sz w:val="19"/>
              </w:rPr>
              <w:t>« Combien ça vaut / structure du deal ? »</w:t>
            </w:r>
          </w:p>
        </w:tc>
        <w:tc>
          <w:tcPr>
            <w:tcW w:type="dxa" w:w="6048"/>
          </w:tcPr>
          <w:p>
            <w:pPr>
              <w:spacing w:after="40" w:before="40"/>
            </w:pPr>
            <w:r/>
            <w:r>
              <w:rPr>
                <w:rFonts w:ascii="Calibri" w:hAnsi="Calibri"/>
                <w:b w:val="0"/>
                <w:sz w:val="19"/>
              </w:rPr>
              <w:t>Ne lance pas un prix. Oriente vers un pilote qui prouve la valeur, puis une valorisation fondée sur des faits (traction, coût de reconstruction, synergies). Prépare une fourchette et une logique, pas un chiffre isolé.</w:t>
            </w:r>
          </w:p>
        </w:tc>
      </w:tr>
      <w:tr>
        <w:tc>
          <w:tcPr>
            <w:tcW w:type="dxa" w:w="3312"/>
            <w:shd w:val="clear" w:color="auto" w:fill="F7F9FB"/>
          </w:tcPr>
          <w:p>
            <w:pPr>
              <w:spacing w:after="40" w:before="40"/>
            </w:pPr>
            <w:r/>
            <w:r>
              <w:rPr>
                <w:rFonts w:ascii="Calibri" w:hAnsi="Calibri"/>
                <w:b w:val="0"/>
                <w:sz w:val="19"/>
              </w:rPr>
              <w:t>« Et nos données / clients existants ? »</w:t>
            </w:r>
          </w:p>
        </w:tc>
        <w:tc>
          <w:tcPr>
            <w:tcW w:type="dxa" w:w="6048"/>
            <w:shd w:val="clear" w:color="auto" w:fill="F7F9FB"/>
          </w:tcPr>
          <w:p>
            <w:pPr>
              <w:spacing w:after="40" w:before="40"/>
            </w:pPr>
            <w:r/>
            <w:r>
              <w:rPr>
                <w:rFonts w:ascii="Calibri" w:hAnsi="Calibri"/>
                <w:b w:val="0"/>
                <w:sz w:val="19"/>
              </w:rPr>
              <w:t>Import Excel/CSV pour démarrer ; isolation stricte par entité ; réversibilité et export. Gouvernance alignée sur vos règles lors de l'intégration.</w:t>
            </w:r>
          </w:p>
        </w:tc>
      </w:tr>
    </w:tbl>
    <w:p>
      <w:pPr>
        <w:spacing w:after="40"/>
      </w:pPr>
    </w:p>
    <w:p>
      <w:pPr>
        <w:keepNext/>
        <w:spacing w:before="300" w:after="140"/>
        <w:pBdr>
          <w:bottom w:val="single" w:sz="6" w:space="4" w:color="84CC16"/>
        </w:pBdr>
      </w:pPr>
      <w:r>
        <w:rPr>
          <w:rFonts w:ascii="Calibri" w:hAnsi="Calibri"/>
          <w:b/>
          <w:color w:val="1B2B3A"/>
          <w:sz w:val="32"/>
        </w:rPr>
        <w:t>4. Posture &amp; tactique</w:t>
      </w:r>
    </w:p>
    <w:p>
      <w:pPr>
        <w:pStyle w:val="ListBullet"/>
        <w:spacing w:after="60"/>
      </w:pPr>
      <w:r>
        <w:rPr>
          <w:rFonts w:ascii="Calibri" w:hAnsi="Calibri"/>
          <w:b/>
          <w:color w:val="1B2B3A"/>
          <w:sz w:val="21"/>
        </w:rPr>
        <w:t xml:space="preserve">Écoute d'abord. </w:t>
      </w:r>
      <w:r>
        <w:rPr>
          <w:rFonts w:ascii="Calibri" w:hAnsi="Calibri"/>
          <w:sz w:val="21"/>
        </w:rPr>
        <w:t>Commence par leurs enjeux (croissance par acquisitions, intégration, offres). Adapte interne vs offre selon leurs réactions.</w:t>
      </w:r>
    </w:p>
    <w:p>
      <w:pPr>
        <w:pStyle w:val="ListBullet"/>
        <w:spacing w:after="60"/>
      </w:pPr>
      <w:r>
        <w:rPr>
          <w:rFonts w:ascii="Calibri" w:hAnsi="Calibri"/>
          <w:b/>
          <w:color w:val="1B2B3A"/>
          <w:sz w:val="21"/>
        </w:rPr>
        <w:t xml:space="preserve">Montre, ne raconte pas. </w:t>
      </w:r>
      <w:r>
        <w:rPr>
          <w:rFonts w:ascii="Calibri" w:hAnsi="Calibri"/>
          <w:sz w:val="21"/>
        </w:rPr>
        <w:t>Une démo live d'un produit qui marche vaut 20 slides. Prépare un environnement propre.</w:t>
      </w:r>
    </w:p>
    <w:p>
      <w:pPr>
        <w:pStyle w:val="ListBullet"/>
        <w:spacing w:after="60"/>
      </w:pPr>
      <w:r>
        <w:rPr>
          <w:rFonts w:ascii="Calibri" w:hAnsi="Calibri"/>
          <w:b/>
          <w:color w:val="1B2B3A"/>
          <w:sz w:val="21"/>
        </w:rPr>
        <w:t xml:space="preserve">Vise le pilote. </w:t>
      </w:r>
      <w:r>
        <w:rPr>
          <w:rFonts w:ascii="Calibri" w:hAnsi="Calibri"/>
          <w:sz w:val="21"/>
        </w:rPr>
        <w:t>Demande un déploiement test sur une entité volontaire, cadré. C'est un « oui » facile et ça enclenche la suite.</w:t>
      </w:r>
    </w:p>
    <w:p>
      <w:pPr>
        <w:pStyle w:val="ListBullet"/>
        <w:spacing w:after="60"/>
      </w:pPr>
      <w:r>
        <w:rPr>
          <w:rFonts w:ascii="Calibri" w:hAnsi="Calibri"/>
          <w:b/>
          <w:color w:val="1B2B3A"/>
          <w:sz w:val="21"/>
        </w:rPr>
        <w:t xml:space="preserve">Reste factuel sur la valeur. </w:t>
      </w:r>
      <w:r>
        <w:rPr>
          <w:rFonts w:ascii="Calibri" w:hAnsi="Calibri"/>
          <w:sz w:val="21"/>
        </w:rPr>
        <w:t>Pas de valorisation au hasard ; parle synergies et preuve d'usage.</w:t>
      </w:r>
    </w:p>
    <w:p>
      <w:pPr>
        <w:pStyle w:val="ListBullet"/>
        <w:spacing w:after="60"/>
      </w:pPr>
      <w:r>
        <w:rPr>
          <w:rFonts w:ascii="Calibri" w:hAnsi="Calibri"/>
          <w:b/>
          <w:color w:val="1B2B3A"/>
          <w:sz w:val="21"/>
        </w:rPr>
        <w:t xml:space="preserve">Parle leur langue. </w:t>
      </w:r>
      <w:r>
        <w:rPr>
          <w:rFonts w:ascii="Calibri" w:hAnsi="Calibri"/>
          <w:sz w:val="21"/>
        </w:rPr>
        <w:t>CGI croît par acquisitions : l'angle « accélérer et dérisquer le post-merger » leur parle directement.</w:t>
      </w:r>
    </w:p>
    <w:p>
      <w:pPr>
        <w:pStyle w:val="ListBullet"/>
        <w:spacing w:after="60"/>
      </w:pPr>
      <w:r>
        <w:rPr>
          <w:rFonts w:ascii="Calibri" w:hAnsi="Calibri"/>
          <w:b/>
          <w:color w:val="1B2B3A"/>
          <w:sz w:val="21"/>
        </w:rPr>
        <w:t xml:space="preserve">Humble et confiant. </w:t>
      </w:r>
      <w:r>
        <w:rPr>
          <w:rFonts w:ascii="Calibri" w:hAnsi="Calibri"/>
          <w:sz w:val="21"/>
        </w:rPr>
        <w:t>Tu apportes un actif prêt et l'énergie produit ; eux l'échelle. C'est une addition, pas une supplication.</w:t>
      </w:r>
    </w:p>
    <w:p>
      <w:pPr>
        <w:keepNext/>
        <w:spacing w:before="300" w:after="140"/>
        <w:pBdr>
          <w:bottom w:val="single" w:sz="6" w:space="4" w:color="84CC16"/>
        </w:pBdr>
      </w:pPr>
      <w:r>
        <w:rPr>
          <w:rFonts w:ascii="Calibri" w:hAnsi="Calibri"/>
          <w:b/>
          <w:color w:val="1B2B3A"/>
          <w:sz w:val="32"/>
        </w:rPr>
        <w:t>5. Trame de démo (10-12 min)</w:t>
      </w:r>
    </w:p>
    <w:p>
      <w:pPr>
        <w:pStyle w:val="ListNumber"/>
        <w:spacing w:after="60"/>
      </w:pPr>
      <w:r>
        <w:rPr>
          <w:rFonts w:ascii="Calibri" w:hAnsi="Calibri"/>
          <w:sz w:val="21"/>
        </w:rPr>
        <w:t>30 s — Le pitch en une phrase + pourquoi CGI (agilité interne + offre).</w:t>
      </w:r>
    </w:p>
    <w:p>
      <w:pPr>
        <w:pStyle w:val="ListNumber"/>
        <w:spacing w:after="60"/>
      </w:pPr>
      <w:r>
        <w:rPr>
          <w:rFonts w:ascii="Calibri" w:hAnsi="Calibri"/>
          <w:sz w:val="21"/>
        </w:rPr>
        <w:t>2 min — Le problème concret : une entité qui pilote sur Excel, marge et staffing à l'aveugle.</w:t>
      </w:r>
    </w:p>
    <w:p>
      <w:pPr>
        <w:pStyle w:val="ListNumber"/>
        <w:spacing w:after="60"/>
      </w:pPr>
      <w:r>
        <w:rPr>
          <w:rFonts w:ascii="Calibri" w:hAnsi="Calibri"/>
          <w:sz w:val="21"/>
        </w:rPr>
        <w:t>5-6 min — Démo live : créer un espace, importer une équipe, KPIs (staffing, CA, marge), une mission, le planning, une absence validée par le N+1, un module (CRM ou recrutement).</w:t>
      </w:r>
    </w:p>
    <w:p>
      <w:pPr>
        <w:pStyle w:val="ListNumber"/>
        <w:spacing w:after="60"/>
      </w:pPr>
      <w:r>
        <w:rPr>
          <w:rFonts w:ascii="Calibri" w:hAnsi="Calibri"/>
          <w:sz w:val="21"/>
        </w:rPr>
        <w:t>2 min — L'actif &amp; l'architecture (production, multi-tenant, sécurité, Europe).</w:t>
      </w:r>
    </w:p>
    <w:p>
      <w:pPr>
        <w:pStyle w:val="ListNumber"/>
        <w:spacing w:after="60"/>
      </w:pPr>
      <w:r>
        <w:rPr>
          <w:rFonts w:ascii="Calibri" w:hAnsi="Calibri"/>
          <w:sz w:val="21"/>
        </w:rPr>
        <w:t>2 min — Les options (pilote → partenariat/acquisition) et la demande.</w:t>
      </w:r>
    </w:p>
    <w:tbl>
      <w:tblPr>
        <w:tblStyle w:val="TableGrid"/>
        <w:tblW w:type="auto" w:w="0"/>
        <w:tblLook w:firstColumn="1" w:firstRow="1" w:lastColumn="0" w:lastRow="0" w:noHBand="0" w:noVBand="1" w:val="04A0"/>
      </w:tblPr>
      <w:tblGrid>
        <w:gridCol w:w="8640"/>
      </w:tblGrid>
      <w:tr>
        <w:tc>
          <w:tcPr>
            <w:tcW w:type="dxa" w:w="8640"/>
            <w:shd w:val="clear" w:color="auto" w:fill="F0FDF4"/>
          </w:tcPr>
          <w:p>
            <w:r/>
            <w:r>
              <w:rPr>
                <w:rFonts w:ascii="Calibri" w:hAnsi="Calibri"/>
                <w:b/>
                <w:color w:val="1B2B3A"/>
                <w:sz w:val="20"/>
              </w:rPr>
              <w:t xml:space="preserve">Astuce démo :  </w:t>
            </w:r>
            <w:r>
              <w:rPr>
                <w:rFonts w:ascii="Calibri" w:hAnsi="Calibri"/>
                <w:sz w:val="20"/>
              </w:rPr>
              <w:t>utilise un jeu de données propre et réaliste. Un compte de démonstration soigné, préparé à l'avance, évite tout couac en direct.</w:t>
            </w:r>
          </w:p>
        </w:tc>
      </w:tr>
    </w:tbl>
    <w:p>
      <w:pPr>
        <w:spacing w:after="40"/>
      </w:pPr>
    </w:p>
    <w:p>
      <w:pPr>
        <w:keepNext/>
        <w:spacing w:before="300" w:after="140"/>
        <w:pBdr>
          <w:bottom w:val="single" w:sz="6" w:space="4" w:color="84CC16"/>
        </w:pBdr>
      </w:pPr>
      <w:r>
        <w:rPr>
          <w:rFonts w:ascii="Calibri" w:hAnsi="Calibri"/>
          <w:b/>
          <w:color w:val="1B2B3A"/>
          <w:sz w:val="32"/>
        </w:rPr>
        <w:t>6. Checklist des 2 prochaines semaines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2B3A"/>
          </w:tcPr>
          <w:p>
            <w:pPr>
              <w:spacing w:after="40" w:before="40"/>
            </w:pPr>
            <w:r/>
            <w:r>
              <w:rPr>
                <w:rFonts w:ascii="Calibri" w:hAnsi="Calibri"/>
                <w:b/>
                <w:color w:val="FFFFFF"/>
                <w:sz w:val="20"/>
              </w:rPr>
              <w:t>À faire</w:t>
            </w:r>
          </w:p>
        </w:tc>
        <w:tc>
          <w:tcPr>
            <w:tcW w:type="dxa" w:w="4320"/>
            <w:shd w:val="clear" w:color="auto" w:fill="1B2B3A"/>
          </w:tcPr>
          <w:p>
            <w:pPr>
              <w:spacing w:after="40" w:before="40"/>
            </w:pPr>
            <w:r/>
            <w:r>
              <w:rPr>
                <w:rFonts w:ascii="Calibri" w:hAnsi="Calibri"/>
                <w:b/>
                <w:color w:val="FFFFFF"/>
                <w:sz w:val="20"/>
              </w:rPr>
              <w:t>Pourquoi</w:t>
            </w:r>
          </w:p>
        </w:tc>
      </w:tr>
      <w:tr>
        <w:tc>
          <w:tcPr>
            <w:tcW w:type="dxa" w:w="4320"/>
          </w:tcPr>
          <w:p>
            <w:pPr>
              <w:spacing w:after="40" w:before="40"/>
            </w:pPr>
            <w:r/>
            <w:r>
              <w:rPr>
                <w:rFonts w:ascii="Calibri" w:hAnsi="Calibri"/>
                <w:b w:val="0"/>
                <w:sz w:val="19"/>
              </w:rPr>
              <w:t>Clarifier l'IP (avis juridique)</w:t>
            </w:r>
          </w:p>
        </w:tc>
        <w:tc>
          <w:tcPr>
            <w:tcW w:type="dxa" w:w="4320"/>
          </w:tcPr>
          <w:p>
            <w:pPr>
              <w:spacing w:after="40" w:before="40"/>
            </w:pPr>
            <w:r/>
            <w:r>
              <w:rPr>
                <w:rFonts w:ascii="Calibri" w:hAnsi="Calibri"/>
                <w:b w:val="0"/>
                <w:sz w:val="19"/>
              </w:rPr>
              <w:t>Sans ça, pas de rachat crédible — bloquant.</w:t>
            </w:r>
          </w:p>
        </w:tc>
      </w:tr>
      <w:tr>
        <w:tc>
          <w:tcPr>
            <w:tcW w:type="dxa" w:w="4320"/>
            <w:shd w:val="clear" w:color="auto" w:fill="F7F9FB"/>
          </w:tcPr>
          <w:p>
            <w:pPr>
              <w:spacing w:after="40" w:before="40"/>
            </w:pPr>
            <w:r/>
            <w:r>
              <w:rPr>
                <w:rFonts w:ascii="Calibri" w:hAnsi="Calibri"/>
                <w:b w:val="0"/>
                <w:sz w:val="19"/>
              </w:rPr>
              <w:t>Environnement de démo propre + jeu de données</w:t>
            </w:r>
          </w:p>
        </w:tc>
        <w:tc>
          <w:tcPr>
            <w:tcW w:type="dxa" w:w="4320"/>
            <w:shd w:val="clear" w:color="auto" w:fill="F7F9FB"/>
          </w:tcPr>
          <w:p>
            <w:pPr>
              <w:spacing w:after="40" w:before="40"/>
            </w:pPr>
            <w:r/>
            <w:r>
              <w:rPr>
                <w:rFonts w:ascii="Calibri" w:hAnsi="Calibri"/>
                <w:b w:val="0"/>
                <w:sz w:val="19"/>
              </w:rPr>
              <w:t>La démo live est ton meilleur argument.</w:t>
            </w:r>
          </w:p>
        </w:tc>
      </w:tr>
      <w:tr>
        <w:tc>
          <w:tcPr>
            <w:tcW w:type="dxa" w:w="4320"/>
          </w:tcPr>
          <w:p>
            <w:pPr>
              <w:spacing w:after="40" w:before="40"/>
            </w:pPr>
            <w:r/>
            <w:r>
              <w:rPr>
                <w:rFonts w:ascii="Calibri" w:hAnsi="Calibri"/>
                <w:b w:val="0"/>
                <w:sz w:val="19"/>
              </w:rPr>
              <w:t>Chiffrer la traction (entreprises, consultants, retours)</w:t>
            </w:r>
          </w:p>
        </w:tc>
        <w:tc>
          <w:tcPr>
            <w:tcW w:type="dxa" w:w="4320"/>
          </w:tcPr>
          <w:p>
            <w:pPr>
              <w:spacing w:after="40" w:before="40"/>
            </w:pPr>
            <w:r/>
            <w:r>
              <w:rPr>
                <w:rFonts w:ascii="Calibri" w:hAnsi="Calibri"/>
                <w:b w:val="0"/>
                <w:sz w:val="19"/>
              </w:rPr>
              <w:t>Remplace les « À COMPLÉTER » du deck par des faits.</w:t>
            </w:r>
          </w:p>
        </w:tc>
      </w:tr>
      <w:tr>
        <w:tc>
          <w:tcPr>
            <w:tcW w:type="dxa" w:w="4320"/>
            <w:shd w:val="clear" w:color="auto" w:fill="F7F9FB"/>
          </w:tcPr>
          <w:p>
            <w:pPr>
              <w:spacing w:after="40" w:before="40"/>
            </w:pPr>
            <w:r/>
            <w:r>
              <w:rPr>
                <w:rFonts w:ascii="Calibri" w:hAnsi="Calibri"/>
                <w:b w:val="0"/>
                <w:sz w:val="19"/>
              </w:rPr>
              <w:t>Renseigner la slide Équipe</w:t>
            </w:r>
          </w:p>
        </w:tc>
        <w:tc>
          <w:tcPr>
            <w:tcW w:type="dxa" w:w="4320"/>
            <w:shd w:val="clear" w:color="auto" w:fill="F7F9FB"/>
          </w:tcPr>
          <w:p>
            <w:pPr>
              <w:spacing w:after="40" w:before="40"/>
            </w:pPr>
            <w:r/>
            <w:r>
              <w:rPr>
                <w:rFonts w:ascii="Calibri" w:hAnsi="Calibri"/>
                <w:b w:val="0"/>
                <w:sz w:val="19"/>
              </w:rPr>
              <w:t>Décisif dans une acquisition produit.</w:t>
            </w:r>
          </w:p>
        </w:tc>
      </w:tr>
      <w:tr>
        <w:tc>
          <w:tcPr>
            <w:tcW w:type="dxa" w:w="4320"/>
          </w:tcPr>
          <w:p>
            <w:pPr>
              <w:spacing w:after="40" w:before="40"/>
            </w:pPr>
            <w:r/>
            <w:r>
              <w:rPr>
                <w:rFonts w:ascii="Calibri" w:hAnsi="Calibri"/>
                <w:b w:val="0"/>
                <w:sz w:val="19"/>
              </w:rPr>
              <w:t>Définir la demande précise (quelle entité pour le pilote ?)</w:t>
            </w:r>
          </w:p>
        </w:tc>
        <w:tc>
          <w:tcPr>
            <w:tcW w:type="dxa" w:w="4320"/>
          </w:tcPr>
          <w:p>
            <w:pPr>
              <w:spacing w:after="40" w:before="40"/>
            </w:pPr>
            <w:r/>
            <w:r>
              <w:rPr>
                <w:rFonts w:ascii="Calibri" w:hAnsi="Calibri"/>
                <w:b w:val="0"/>
                <w:sz w:val="19"/>
              </w:rPr>
              <w:t>Un « oui » facile et concret.</w:t>
            </w:r>
          </w:p>
        </w:tc>
      </w:tr>
      <w:tr>
        <w:tc>
          <w:tcPr>
            <w:tcW w:type="dxa" w:w="4320"/>
            <w:shd w:val="clear" w:color="auto" w:fill="F7F9FB"/>
          </w:tcPr>
          <w:p>
            <w:pPr>
              <w:spacing w:after="40" w:before="40"/>
            </w:pPr>
            <w:r/>
            <w:r>
              <w:rPr>
                <w:rFonts w:ascii="Calibri" w:hAnsi="Calibri"/>
                <w:b w:val="0"/>
                <w:sz w:val="19"/>
              </w:rPr>
              <w:t>Répéter le pitch (10-12 min) + Q&amp;A</w:t>
            </w:r>
          </w:p>
        </w:tc>
        <w:tc>
          <w:tcPr>
            <w:tcW w:type="dxa" w:w="4320"/>
            <w:shd w:val="clear" w:color="auto" w:fill="F7F9FB"/>
          </w:tcPr>
          <w:p>
            <w:pPr>
              <w:spacing w:after="40" w:before="40"/>
            </w:pPr>
            <w:r/>
            <w:r>
              <w:rPr>
                <w:rFonts w:ascii="Calibri" w:hAnsi="Calibri"/>
                <w:b w:val="0"/>
                <w:sz w:val="19"/>
              </w:rPr>
              <w:t>La fluidité inspire confiance.</w:t>
            </w:r>
          </w:p>
        </w:tc>
      </w:tr>
      <w:tr>
        <w:tc>
          <w:tcPr>
            <w:tcW w:type="dxa" w:w="4320"/>
          </w:tcPr>
          <w:p>
            <w:pPr>
              <w:spacing w:after="40" w:before="40"/>
            </w:pPr>
            <w:r/>
            <w:r>
              <w:rPr>
                <w:rFonts w:ascii="Calibri" w:hAnsi="Calibri"/>
                <w:b w:val="0"/>
                <w:sz w:val="19"/>
              </w:rPr>
              <w:t>One-pager à laisser aux 3 dirigeants</w:t>
            </w:r>
          </w:p>
        </w:tc>
        <w:tc>
          <w:tcPr>
            <w:tcW w:type="dxa" w:w="4320"/>
          </w:tcPr>
          <w:p>
            <w:pPr>
              <w:spacing w:after="40" w:before="40"/>
            </w:pPr>
            <w:r/>
            <w:r>
              <w:rPr>
                <w:rFonts w:ascii="Calibri" w:hAnsi="Calibri"/>
                <w:b w:val="0"/>
                <w:sz w:val="19"/>
              </w:rPr>
              <w:t>Support de décision.</w:t>
            </w:r>
          </w:p>
        </w:tc>
      </w:tr>
      <w:tr>
        <w:tc>
          <w:tcPr>
            <w:tcW w:type="dxa" w:w="4320"/>
            <w:shd w:val="clear" w:color="auto" w:fill="F7F9FB"/>
          </w:tcPr>
          <w:p>
            <w:pPr>
              <w:spacing w:after="40" w:before="40"/>
            </w:pPr>
            <w:r/>
            <w:r>
              <w:rPr>
                <w:rFonts w:ascii="Calibri" w:hAnsi="Calibri"/>
                <w:b w:val="0"/>
                <w:sz w:val="19"/>
              </w:rPr>
              <w:t>Logique de valorisation (fourchette + raisonnement)</w:t>
            </w:r>
          </w:p>
        </w:tc>
        <w:tc>
          <w:tcPr>
            <w:tcW w:type="dxa" w:w="4320"/>
            <w:shd w:val="clear" w:color="auto" w:fill="F7F9FB"/>
          </w:tcPr>
          <w:p>
            <w:pPr>
              <w:spacing w:after="40" w:before="40"/>
            </w:pPr>
            <w:r/>
            <w:r>
              <w:rPr>
                <w:rFonts w:ascii="Calibri" w:hAnsi="Calibri"/>
                <w:b w:val="0"/>
                <w:sz w:val="19"/>
              </w:rPr>
              <w:t>Ne pas être pris au dépourvu sur le prix.</w:t>
            </w:r>
          </w:p>
        </w:tc>
      </w:tr>
    </w:tbl>
    <w:p>
      <w:pPr>
        <w:spacing w:after="40"/>
      </w:pPr>
    </w:p>
    <w:p>
      <w:pPr>
        <w:keepNext/>
        <w:spacing w:before="300" w:after="140"/>
        <w:pBdr>
          <w:bottom w:val="single" w:sz="6" w:space="4" w:color="84CC16"/>
        </w:pBdr>
      </w:pPr>
      <w:r>
        <w:rPr>
          <w:rFonts w:ascii="Calibri" w:hAnsi="Calibri"/>
          <w:b/>
          <w:color w:val="1B2B3A"/>
          <w:sz w:val="32"/>
        </w:rPr>
        <w:t>7. One-pager à laisser (résumé)</w:t>
      </w:r>
    </w:p>
    <w:p>
      <w:r>
        <w:rPr>
          <w:rFonts w:ascii="Calibri" w:hAnsi="Calibri"/>
          <w:b w:val="0"/>
          <w:i w:val="0"/>
          <w:sz w:val="21"/>
        </w:rPr>
        <w:t>Konsilys — plateforme SaaS de pilotage des ESN, en production. Staffing, missions &amp; marge, planning, absences (validation N+1), recrutement et CRM. Multi-tenant, sécurisée, hébergée en Europe, déployable en minutes.</w:t>
      </w:r>
    </w:p>
    <w:p>
      <w:r>
        <w:rPr>
          <w:rFonts w:ascii="Calibri" w:hAnsi="Calibri"/>
          <w:b w:val="0"/>
          <w:i w:val="0"/>
          <w:sz w:val="21"/>
        </w:rPr>
        <w:t>Opportunité pour CGI : (1) agilité interne pour filiales/acquisitions/BU sans toucher à l'ERP ; (2) actif produit à distribuer ou intégrer à l'offre.</w:t>
      </w:r>
    </w:p>
    <w:p>
      <w:r>
        <w:rPr>
          <w:rFonts w:ascii="Calibri" w:hAnsi="Calibri"/>
          <w:b w:val="0"/>
          <w:i w:val="0"/>
          <w:sz w:val="21"/>
        </w:rPr>
        <w:t>Demande : un pilote cadré sur une entité, puis discussion d'un partenariat ou d'une acquisition.</w:t>
      </w:r>
    </w:p>
    <w:p>
      <w:r>
        <w:rPr>
          <w:rFonts w:ascii="Calibri" w:hAnsi="Calibri"/>
          <w:b w:val="0"/>
          <w:i/>
          <w:color w:val="556370"/>
          <w:sz w:val="21"/>
        </w:rPr>
        <w:t>Contact : [Votre nom] · contact@konsilys.fr · konsilys.fr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6370"/>
        <w:sz w:val="16"/>
      </w:rPr>
      <w:t>Konsilys — Préparation RDV CGI —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