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2"/>
        </w:rPr>
        <w:t>Building a Data-Driven Application with Claude Code</w:t>
      </w:r>
    </w:p>
    <w:p>
      <w:pPr>
        <w:jc w:val="center"/>
      </w:pPr>
      <w:r>
        <w:rPr>
          <w:i/>
          <w:color w:val="555555"/>
          <w:sz w:val="28"/>
        </w:rPr>
        <w:t>A Reproducible Methodology — From GitHub Setup to Local Deployment</w:t>
      </w:r>
    </w:p>
    <w:p/>
    <w:p>
      <w:pPr>
        <w:jc w:val="center"/>
      </w:pPr>
      <w:r>
        <w:rPr>
          <w:color w:val="777777"/>
          <w:sz w:val="22"/>
        </w:rPr>
        <w:t>Case study: staffing-engine — a French-language workforce</w:t>
        <w:br/>
        <w:t>capacity-planning tool (Erlang C + linear-programming optimizer)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432"/>
      </w:pPr>
      <w:r>
        <w:t>1. Purpose of this Document</w:t>
      </w:r>
    </w:p>
    <w:p>
      <w:pPr>
        <w:ind w:left="432"/>
      </w:pPr>
      <w:r>
        <w:t>2. Methodology Overview</w:t>
      </w:r>
    </w:p>
    <w:p>
      <w:pPr>
        <w:ind w:left="432"/>
      </w:pPr>
      <w:r>
        <w:t>3. Phase 1 — Repository &amp; GitHub Connection</w:t>
      </w:r>
    </w:p>
    <w:p>
      <w:pPr>
        <w:ind w:left="432"/>
      </w:pPr>
      <w:r>
        <w:t>4. Phase 2 — Environment Bootstrap (Local + Remote)</w:t>
      </w:r>
    </w:p>
    <w:p>
      <w:pPr>
        <w:ind w:left="432"/>
      </w:pPr>
      <w:r>
        <w:t>5. Phase 3 — Iterative Feature Development Loop</w:t>
      </w:r>
    </w:p>
    <w:p>
      <w:pPr>
        <w:ind w:left="432"/>
      </w:pPr>
      <w:r>
        <w:t>6. Phase 4 — Multi-Agent Orchestration</w:t>
      </w:r>
    </w:p>
    <w:p>
      <w:pPr>
        <w:ind w:left="432"/>
      </w:pPr>
      <w:r>
        <w:t>7. Phase 5 — Testing Strategy</w:t>
      </w:r>
    </w:p>
    <w:p>
      <w:pPr>
        <w:ind w:left="432"/>
      </w:pPr>
      <w:r>
        <w:t>8. Phase 6 — Review &amp; Audit Loops</w:t>
      </w:r>
    </w:p>
    <w:p>
      <w:pPr>
        <w:ind w:left="432"/>
      </w:pPr>
      <w:r>
        <w:t>9. Phase 7 — Local Deployment &amp; Verification</w:t>
      </w:r>
    </w:p>
    <w:p>
      <w:pPr>
        <w:ind w:left="432"/>
      </w:pPr>
      <w:r>
        <w:t>10. Case Study Timeline (Actual Commits)</w:t>
      </w:r>
    </w:p>
    <w:p>
      <w:pPr>
        <w:ind w:left="432"/>
      </w:pPr>
      <w:r>
        <w:t>11. Reusable Checklist for a New Project</w:t>
      </w:r>
    </w:p>
    <w:p>
      <w:pPr>
        <w:ind w:left="432"/>
      </w:pPr>
      <w:r>
        <w:t>12. Lessons Learned &amp; Anti-Patterns</w:t>
      </w:r>
    </w:p>
    <w:p>
      <w:r>
        <w:br w:type="page"/>
      </w:r>
    </w:p>
    <w:p>
      <w:pPr>
        <w:pStyle w:val="Heading1"/>
      </w:pPr>
      <w:r>
        <w:t>1. Purpose of this Document</w:t>
      </w:r>
    </w:p>
    <w:p>
      <w:r>
        <w:rPr>
          <w:b w:val="0"/>
          <w:i w:val="0"/>
        </w:rPr>
        <w:t>This document captures the working methodology used to build the staffing-engine application end-to-end with Claude Code, an agentic coding assistant. The goal is not to describe the staffing engine itself, but to extract a repeatable process — one that can be applied to any future project that goes through the same lifecycle: repository setup, iterative development, automated testing, multi-agent audits, and local deployment.</w:t>
      </w:r>
    </w:p>
    <w:p>
      <w:r>
        <w:rPr>
          <w:b w:val="0"/>
          <w:i w:val="0"/>
        </w:rPr>
        <w:t>The process below is reconstructed from the actual git history and working session of this project. It reflects what was actually done — not an idealized theoretical workflow — so it can be trusted as a template.</w:t>
      </w:r>
    </w:p>
    <w:p>
      <w:pPr>
        <w:pStyle w:val="Heading1"/>
      </w:pPr>
      <w:r>
        <w:t>2. Methodology Overview</w:t>
      </w:r>
    </w:p>
    <w:p>
      <w:r>
        <w:rPr>
          <w:b w:val="0"/>
          <w:i w:val="0"/>
        </w:rPr>
        <w:t>The development lifecycle observed in this project follows seven phases: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color="auto" w:fill="2E5B8A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168"/>
            <w:shd w:val="clear" w:color="auto" w:fill="2E5B8A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4608"/>
            <w:shd w:val="clear" w:color="auto" w:fill="2E5B8A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3168"/>
          </w:tcPr>
          <w:p>
            <w:r>
              <w:t>Repository &amp; GitHub connection</w:t>
            </w:r>
          </w:p>
        </w:tc>
        <w:tc>
          <w:tcPr>
            <w:tcW w:type="dxa" w:w="4608"/>
          </w:tcPr>
          <w:p>
            <w:r>
              <w:t>Branch strategy, remote scope, PR conventions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3168"/>
          </w:tcPr>
          <w:p>
            <w:r>
              <w:t>Environment bootstrap</w:t>
            </w:r>
          </w:p>
        </w:tc>
        <w:tc>
          <w:tcPr>
            <w:tcW w:type="dxa" w:w="4608"/>
          </w:tcPr>
          <w:p>
            <w:r>
              <w:t>Local + remote (cloud) environment parity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3168"/>
          </w:tcPr>
          <w:p>
            <w:r>
              <w:t>Iterative feature loop</w:t>
            </w:r>
          </w:p>
        </w:tc>
        <w:tc>
          <w:tcPr>
            <w:tcW w:type="dxa" w:w="4608"/>
          </w:tcPr>
          <w:p>
            <w:r>
              <w:t>Small, testable increments per user request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3168"/>
          </w:tcPr>
          <w:p>
            <w:r>
              <w:t>Multi-agent orchestration</w:t>
            </w:r>
          </w:p>
        </w:tc>
        <w:tc>
          <w:tcPr>
            <w:tcW w:type="dxa" w:w="4608"/>
          </w:tcPr>
          <w:p>
            <w:r>
              <w:t>Delegating research/audit tasks to sub-agents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3168"/>
          </w:tcPr>
          <w:p>
            <w:r>
              <w:t>Testing strategy</w:t>
            </w:r>
          </w:p>
        </w:tc>
        <w:tc>
          <w:tcPr>
            <w:tcW w:type="dxa" w:w="4608"/>
          </w:tcPr>
          <w:p>
            <w:r>
              <w:t>pytest suite run after every change, before every push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3168"/>
          </w:tcPr>
          <w:p>
            <w:r>
              <w:t>Review &amp; audit loops</w:t>
            </w:r>
          </w:p>
        </w:tc>
        <w:tc>
          <w:tcPr>
            <w:tcW w:type="dxa" w:w="4608"/>
          </w:tcPr>
          <w:p>
            <w:r>
              <w:t>External "auditor" passes + fix cycles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3168"/>
          </w:tcPr>
          <w:p>
            <w:r>
              <w:t>Local deployment &amp; verification</w:t>
            </w:r>
          </w:p>
        </w:tc>
        <w:tc>
          <w:tcPr>
            <w:tcW w:type="dxa" w:w="4608"/>
          </w:tcPr>
          <w:p>
            <w:r>
              <w:t>Running the Streamlit app to validate UX</w:t>
            </w:r>
          </w:p>
        </w:tc>
      </w:tr>
    </w:tbl>
    <w:p/>
    <w:p>
      <w:r>
        <w:rPr>
          <w:b w:val="0"/>
          <w:i w:val="0"/>
        </w:rPr>
        <w:t>Each phase is detailed below with the concrete commands, conventions, and guardrails used in this project, so they can be copy-pasted into a new project's CLAUDE.md or onboarding notes.</w:t>
      </w:r>
    </w:p>
    <w:p>
      <w:pPr>
        <w:pStyle w:val="Heading1"/>
      </w:pPr>
      <w:r>
        <w:t>3. Phase 1 — Repository &amp; GitHub Connection</w:t>
      </w:r>
    </w:p>
    <w:p>
      <w:pPr>
        <w:pStyle w:val="Heading2"/>
      </w:pPr>
      <w:r>
        <w:t>3.1 Branch strategy</w:t>
      </w:r>
    </w:p>
    <w:p>
      <w:r>
        <w:rPr>
          <w:b w:val="0"/>
          <w:i w:val="0"/>
        </w:rPr>
        <w:t>Claude Code on the web / remote execution environments are assigned a dedicated feature branch per session (e.g. claude/lucid-dirac-vnkty1). This isolates work-in-progress from main and allows several parallel sessions without collision.</w:t>
      </w:r>
    </w:p>
    <w:p>
      <w:pPr>
        <w:pStyle w:val="ListBullet"/>
      </w:pPr>
      <w:r>
        <w:t>All commits for a task land on the assigned branch — never directly on main.</w:t>
      </w:r>
    </w:p>
    <w:p>
      <w:pPr>
        <w:pStyle w:val="ListBullet"/>
      </w:pPr>
      <w:r>
        <w:t>Branch names are auto-generated and stable for the lifetime of one working session.</w:t>
      </w:r>
    </w:p>
    <w:p>
      <w:pPr>
        <w:pStyle w:val="ListBullet"/>
      </w:pPr>
      <w:r>
        <w:t>If a PR opened from that branch is merged, any follow-up work restarts a fresh branch from the updated default branch — a merged PR is never reused or stacked on.</w:t>
      </w:r>
    </w:p>
    <w:p>
      <w:pPr>
        <w:pStyle w:val="Heading2"/>
      </w:pPr>
      <w:r>
        <w:t>3.2 Repository scope</w:t>
      </w:r>
    </w:p>
    <w:p>
      <w:r>
        <w:rPr>
          <w:b w:val="0"/>
          <w:i w:val="0"/>
        </w:rPr>
        <w:t>Access is explicitly scoped to a named list of repositories (e.g. charlesbld/claude). This is a safety boundary: the agent must not read from or write to repositories outside this list, and must not use cross-repo search tools to bypass that boundary.</w:t>
      </w:r>
    </w:p>
    <w:p>
      <w:pPr>
        <w:pStyle w:val="Heading2"/>
      </w:pPr>
      <w:r>
        <w:t>3.3 GitHub interaction tools</w:t>
      </w:r>
    </w:p>
    <w:p>
      <w:r>
        <w:rPr>
          <w:b w:val="0"/>
          <w:i w:val="0"/>
        </w:rPr>
        <w:t>All GitHub operations (PRs, issues, review comments, CI status) go through a GitHub MCP server rather than a raw gh CLI. This gives structured, auditable calls instead of shell-invoked git/gh commands, and lets the agent subscribe to webhook-driven PR activity events (new comments, CI results) instead of polling.</w:t>
      </w:r>
    </w:p>
    <w:p>
      <w:pPr>
        <w:pStyle w:val="Heading2"/>
      </w:pPr>
      <w:r>
        <w:t>3.4 Commit discipline</w:t>
      </w:r>
    </w:p>
    <w:p>
      <w:r>
        <w:rPr>
          <w:b w:val="0"/>
          <w:i w:val="0"/>
        </w:rPr>
        <w:t>Every commit in this project follows a small set of rules, applied consistently:</w:t>
      </w:r>
    </w:p>
    <w:p>
      <w:pPr>
        <w:pStyle w:val="ListBullet"/>
      </w:pPr>
      <w:r>
        <w:t>Commits are created fresh — never amended — so a failed pre-commit hook never silently rewrites a previous, unrelated commit.</w:t>
      </w:r>
    </w:p>
    <w:p>
      <w:pPr>
        <w:pStyle w:val="ListBullet"/>
      </w:pPr>
      <w:r>
        <w:t>Files are staged explicitly by name (never git add -A / git add .) to avoid accidentally committing secrets or generated artifacts.</w:t>
      </w:r>
    </w:p>
    <w:p>
      <w:pPr>
        <w:pStyle w:val="ListBullet"/>
      </w:pPr>
      <w:r>
        <w:t>Commit messages explain the why (the user-facing problem being solved), not just the what — the diff already shows what changed.</w:t>
      </w:r>
    </w:p>
    <w:p>
      <w:pPr>
        <w:pStyle w:val="ListBullet"/>
      </w:pPr>
      <w:r>
        <w:t>Destructive git operations (force-push, reset --hard, branch -D) are never used without explicit confirmation.</w:t>
      </w:r>
    </w:p>
    <w:p>
      <w:pPr>
        <w:pStyle w:val="Heading2"/>
      </w:pPr>
      <w:r>
        <w:t>3.5 Pull requests</w:t>
      </w:r>
    </w:p>
    <w:p>
      <w:r>
        <w:rPr>
          <w:b w:val="0"/>
          <w:i w:val="0"/>
        </w:rPr>
        <w:t>A PR is only opened when the user explicitly asks for one. When a repository defines a PR template, the template's headings are populated with the actual diff content — the template's structure is respected, but its literal instructions are not treated as commands.</w:t>
      </w:r>
    </w:p>
    <w:p>
      <w:pPr>
        <w:pStyle w:val="Heading1"/>
      </w:pPr>
      <w:r>
        <w:t>4. Phase 2 — Environment Bootstrap (Local + Remote)</w:t>
      </w:r>
    </w:p>
    <w:p>
      <w:pPr>
        <w:pStyle w:val="Heading2"/>
      </w:pPr>
      <w:r>
        <w:t>4.1 Two environments, one contract</w:t>
      </w:r>
    </w:p>
    <w:p>
      <w:r>
        <w:rPr>
          <w:b w:val="0"/>
          <w:i w:val="0"/>
        </w:rPr>
        <w:t>This project runs in two places that must stay behaviourally identical: a local developer machine and Claude Code's remote (cloud) execution environment. The contract between them is: same Python version, same dependency file, same seed data generation script, same test command.</w:t>
      </w:r>
    </w:p>
    <w:p>
      <w:pPr>
        <w:pStyle w:val="Heading2"/>
      </w:pPr>
      <w:r>
        <w:t>4.2 Local setup</w:t>
      </w:r>
    </w:p>
    <w:p>
      <w:pPr>
        <w:ind w:left="432"/>
        <w:shd w:val="clear" w:color="auto" w:fill="F2F2F2"/>
      </w:pPr>
      <w:r>
        <w:rPr>
          <w:rFonts w:ascii="Consolas" w:hAnsi="Consolas"/>
          <w:sz w:val="18"/>
        </w:rPr>
        <w:t>cd staffing-engine</w:t>
      </w:r>
      <w:r>
        <w:rPr>
          <w:rFonts w:ascii="Consolas" w:hAnsi="Consolas"/>
          <w:sz w:val="18"/>
        </w:rPr>
        <w:br/>
        <w:t>pip install -r requirements.txt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python scripts/seed_db.py     # bootstraps data/staffing.db (deterministic seed)</w:t>
      </w:r>
      <w:r>
        <w:rPr>
          <w:rFonts w:ascii="Consolas" w:hAnsi="Consolas"/>
          <w:sz w:val="18"/>
        </w:rPr>
        <w:br/>
        <w:t>python scripts/ingest.py      # optional: ingest CSVs dropped in data/incoming/</w:t>
      </w:r>
      <w:r>
        <w:rPr>
          <w:rFonts w:ascii="Consolas" w:hAnsi="Consolas"/>
          <w:sz w:val="18"/>
        </w:rPr>
        <w:br/>
        <w:t>streamlit run app/app.py      # launches the UI (auto-seeds DB if missing)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pytest -q                     # runs the full validation suite</w:t>
      </w:r>
    </w:p>
    <w:p>
      <w:pPr>
        <w:pStyle w:val="Heading2"/>
      </w:pPr>
      <w:r>
        <w:t>4.3 Deterministic seed data</w:t>
      </w:r>
    </w:p>
    <w:p>
      <w:r>
        <w:rPr>
          <w:b w:val="0"/>
          <w:i w:val="0"/>
        </w:rPr>
        <w:t>scripts/seed_db.py uses a fixed random seed (SEED = 42) so that every environment — local laptop, CI runner, or ephemeral cloud container — produces byte-identical synthetic data. This is what makes tests reproducible across machines.</w:t>
      </w:r>
    </w:p>
    <w:p>
      <w:pPr>
        <w:pStyle w:val="Heading2"/>
      </w:pPr>
      <w:r>
        <w:t>4.4 Ephemeral cloud disk awareness</w:t>
      </w:r>
    </w:p>
    <w:p>
      <w:r>
        <w:rPr>
          <w:b w:val="0"/>
          <w:i w:val="0"/>
        </w:rPr>
        <w:t>The remote execution environment's disk is ephemeral: every redeploy starts from a fresh clone. ensure_db() in app/common.py detects a missing database and re-runs the seed script automatically, then re-ingests any CSVs found in data/incoming/. Anything meant to survive a redeploy (edited reference data, renamed IDs) must be written to a version-controlled file, not just to the SQLite file — this is the reasoning behind the data/master/*.csv mechanism described in section 10.</w:t>
      </w:r>
    </w:p>
    <w:p>
      <w:pPr>
        <w:pStyle w:val="Heading2"/>
      </w:pPr>
      <w:r>
        <w:t>4.5 Sandbox / proxy awareness</w:t>
      </w:r>
    </w:p>
    <w:p>
      <w:r>
        <w:rPr>
          <w:b w:val="0"/>
          <w:i w:val="0"/>
        </w:rPr>
        <w:t>Outbound network calls in the remote environment go through a pre-configured proxy. Playwright/Chromium are pre-installed and pinned to a fixed browser path rather than downloaded on demand. Knowing these constraints up front avoids wasted iterations chasing false network errors.</w:t>
      </w:r>
    </w:p>
    <w:p>
      <w:pPr>
        <w:pStyle w:val="Heading1"/>
      </w:pPr>
      <w:r>
        <w:t>5. Phase 3 — Iterative Feature Development Loop</w:t>
      </w:r>
    </w:p>
    <w:p>
      <w:r>
        <w:rPr>
          <w:b w:val="0"/>
          <w:i w:val="0"/>
        </w:rPr>
        <w:t>The single most important discipline observed across this project's history is a tight, repeatable loop applied to every user request, however small:</w:t>
      </w:r>
    </w:p>
    <w:p>
      <w:pPr>
        <w:pStyle w:val="ListNumber"/>
      </w:pPr>
      <w:r>
        <w:t>Read before writing — never edit a file that has not been read in the current context.</w:t>
      </w:r>
    </w:p>
    <w:p>
      <w:pPr>
        <w:pStyle w:val="ListNumber"/>
      </w:pPr>
      <w:r>
        <w:t>Make the smallest change that satisfies the request — no speculative abstractions, no unrelated refactors.</w:t>
      </w:r>
    </w:p>
    <w:p>
      <w:pPr>
        <w:pStyle w:val="ListNumber"/>
      </w:pPr>
      <w:r>
        <w:t>Run the full test suite (pytest -q) after every change, not just at the end of a session.</w:t>
      </w:r>
    </w:p>
    <w:p>
      <w:pPr>
        <w:pStyle w:val="ListNumber"/>
      </w:pPr>
      <w:r>
        <w:t>Commit with a descriptive message the moment a coherent unit of work is done — do not batch unrelated changes into one commit.</w:t>
      </w:r>
    </w:p>
    <w:p>
      <w:pPr>
        <w:pStyle w:val="ListNumber"/>
      </w:pPr>
      <w:r>
        <w:t>Push to the assigned branch immediately after a successful commit.</w:t>
      </w:r>
    </w:p>
    <w:p>
      <w:pPr>
        <w:pStyle w:val="ListNumber"/>
      </w:pPr>
      <w:r>
        <w:t>Report back in one or two sentences: what changed, what's next.</w:t>
      </w:r>
    </w:p>
    <w:p>
      <w:r>
        <w:rPr>
          <w:b w:val="0"/>
          <w:i w:val="0"/>
        </w:rPr>
        <w:t>This project's git log shows this loop executed dozens of times in sequence — each commit is small, each is preceded by a green test run, and each maps to one user ask (see section 10 for the literal timeline).</w:t>
      </w:r>
    </w:p>
    <w:p>
      <w:pPr>
        <w:pStyle w:val="Heading2"/>
      </w:pPr>
      <w:r>
        <w:t>5.1 Why small commits matter here</w:t>
      </w:r>
    </w:p>
    <w:p>
      <w:r>
        <w:rPr>
          <w:b w:val="0"/>
          <w:i w:val="0"/>
        </w:rPr>
        <w:t>Because an LP-based optimizer and Erlang C model are involved, a silent regression is expensive to detect after the fact — the model can still produce a plausible-looking but wrong schedule. Small commits with a green test suite at every step make it trivial to bisect a regression back to the exact change that caused it.</w:t>
      </w:r>
    </w:p>
    <w:p>
      <w:pPr>
        <w:pStyle w:val="Heading1"/>
      </w:pPr>
      <w:r>
        <w:t>6. Phase 4 — Multi-Agent Orchestration</w:t>
      </w:r>
    </w:p>
    <w:p>
      <w:pPr>
        <w:pStyle w:val="Heading2"/>
      </w:pPr>
      <w:r>
        <w:t>6.1 When to delegate</w:t>
      </w:r>
    </w:p>
    <w:p>
      <w:r>
        <w:rPr>
          <w:b w:val="0"/>
          <w:i w:val="0"/>
        </w:rPr>
        <w:t>The primary agent (the one holding the conversation) delegates to sub-agents only for work that is genuinely independent and would otherwise pollute the main context window with large amounts of raw search output. In this project, delegation was used for:</w:t>
      </w:r>
    </w:p>
    <w:p>
      <w:pPr>
        <w:pStyle w:val="ListBullet"/>
      </w:pPr>
      <w:r>
        <w:t>A full-file audit of every place a raw dimension ID (region_id, task_type_id, ...) was displayed to the user — 30+ locations across a 2,700-line file. An Explore-type agent was launched with a precise, self-contained brief and asked to report a line-numbered inventory.</w:t>
      </w:r>
    </w:p>
    <w:p>
      <w:pPr>
        <w:pStyle w:val="ListBullet"/>
      </w:pPr>
      <w:r>
        <w:t>A second-pass "auditor" review of the optimizer and data layer that surfaced two confirmed defects (capacity double-counting in the LP model, and silent solver infeasibility) later fixed directly by the primary agent.</w:t>
      </w:r>
    </w:p>
    <w:p>
      <w:pPr>
        <w:pStyle w:val="Heading2"/>
      </w:pPr>
      <w:r>
        <w:t>6.2 Agent selection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2E5B8A"/>
          </w:tcPr>
          <w:p>
            <w:r>
              <w:rPr>
                <w:b/>
                <w:color w:val="FFFFFF"/>
              </w:rPr>
              <w:t>Agent type</w:t>
            </w:r>
          </w:p>
        </w:tc>
        <w:tc>
          <w:tcPr>
            <w:tcW w:type="dxa" w:w="3744"/>
            <w:shd w:val="clear" w:color="auto" w:fill="2E5B8A"/>
          </w:tcPr>
          <w:p>
            <w:r>
              <w:rPr>
                <w:b/>
                <w:color w:val="FFFFFF"/>
              </w:rPr>
              <w:t>Used for</w:t>
            </w:r>
          </w:p>
        </w:tc>
        <w:tc>
          <w:tcPr>
            <w:tcW w:type="dxa" w:w="3888"/>
            <w:shd w:val="clear" w:color="auto" w:fill="2E5B8A"/>
          </w:tcPr>
          <w:p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2304"/>
          </w:tcPr>
          <w:p>
            <w:r>
              <w:t>Explore</w:t>
            </w:r>
          </w:p>
        </w:tc>
        <w:tc>
          <w:tcPr>
            <w:tcW w:type="dxa" w:w="3744"/>
          </w:tcPr>
          <w:p>
            <w:r>
              <w:t>Locating every occurrence of a pattern across a large file</w:t>
            </w:r>
          </w:p>
        </w:tc>
        <w:tc>
          <w:tcPr>
            <w:tcW w:type="dxa" w:w="3888"/>
          </w:tcPr>
          <w:p>
            <w:r>
              <w:t>Read-only, fast, does not carry the overhead of full tool access</w:t>
            </w:r>
          </w:p>
        </w:tc>
      </w:tr>
      <w:tr>
        <w:tc>
          <w:tcPr>
            <w:tcW w:type="dxa" w:w="2304"/>
          </w:tcPr>
          <w:p>
            <w:r>
              <w:t>general-purpose</w:t>
            </w:r>
          </w:p>
        </w:tc>
        <w:tc>
          <w:tcPr>
            <w:tcW w:type="dxa" w:w="3744"/>
          </w:tcPr>
          <w:p>
            <w:r>
              <w:t>Multi-step research that also needs to reason, not just search</w:t>
            </w:r>
          </w:p>
        </w:tc>
        <w:tc>
          <w:tcPr>
            <w:tcW w:type="dxa" w:w="3888"/>
          </w:tcPr>
          <w:p>
            <w:r>
              <w:t>Full tool access when the task genuinely requires it</w:t>
            </w:r>
          </w:p>
        </w:tc>
      </w:tr>
      <w:tr>
        <w:tc>
          <w:tcPr>
            <w:tcW w:type="dxa" w:w="2304"/>
          </w:tcPr>
          <w:p>
            <w:r>
              <w:t>(none — primary agent)</w:t>
            </w:r>
          </w:p>
        </w:tc>
        <w:tc>
          <w:tcPr>
            <w:tcW w:type="dxa" w:w="3744"/>
          </w:tcPr>
          <w:p>
            <w:r>
              <w:t>Any task with an implementation decision or user-facing judgment call</w:t>
            </w:r>
          </w:p>
        </w:tc>
        <w:tc>
          <w:tcPr>
            <w:tcW w:type="dxa" w:w="3888"/>
          </w:tcPr>
          <w:p>
            <w:r>
              <w:t>Delegating "understanding" produces shallow results; decisions stay with the agent that has full conversation context</w:t>
            </w:r>
          </w:p>
        </w:tc>
      </w:tr>
    </w:tbl>
    <w:p>
      <w:pPr>
        <w:pStyle w:val="Heading2"/>
      </w:pPr>
      <w:r>
        <w:t>6.3 Writing an effective sub-agent brief</w:t>
      </w:r>
    </w:p>
    <w:p>
      <w:r>
        <w:rPr>
          <w:b w:val="0"/>
          <w:i w:val="0"/>
        </w:rPr>
        <w:t>Every delegated task in this project followed the same brief structure:</w:t>
      </w:r>
    </w:p>
    <w:p>
      <w:pPr>
        <w:pStyle w:val="ListBullet"/>
      </w:pPr>
      <w:r>
        <w:t>State the goal in one sentence (what question needs answering).</w:t>
      </w:r>
    </w:p>
    <w:p>
      <w:pPr>
        <w:pStyle w:val="ListBullet"/>
      </w:pPr>
      <w:r>
        <w:t>Give the exact file path(s) and any known line ranges.</w:t>
      </w:r>
    </w:p>
    <w:p>
      <w:pPr>
        <w:pStyle w:val="ListBullet"/>
      </w:pPr>
      <w:r>
        <w:t>Specify the search depth needed ("quick", "medium", or "very thorough").</w:t>
      </w:r>
    </w:p>
    <w:p>
      <w:pPr>
        <w:pStyle w:val="ListBullet"/>
      </w:pPr>
      <w:r>
        <w:t>Specify the exact output format expected (e.g. "line number + context, grouped by dimension").</w:t>
      </w:r>
    </w:p>
    <w:p>
      <w:pPr>
        <w:pStyle w:val="ListBullet"/>
      </w:pPr>
      <w:r>
        <w:t>Never phrase the brief as "fix this" when the task is research — a research agent should return findings, and the primary agent applies the fix itself so it can be verified against the live conversation state.</w:t>
      </w:r>
    </w:p>
    <w:p>
      <w:pPr>
        <w:pStyle w:val="Heading2"/>
      </w:pPr>
      <w:r>
        <w:t>6.4 Looping / autonomous multi-agent patterns</w:t>
      </w:r>
    </w:p>
    <w:p>
      <w:r>
        <w:rPr>
          <w:b w:val="0"/>
          <w:i w:val="0"/>
        </w:rPr>
        <w:t>For longer-running or recurring work (e.g. babysitting a pull request through CI, or running a fixed cadence check), the agent is subscribed to event-driven notifications (PR webhook activity) rather than polled in a sleep loop. When no event-driven channel exists, a bounded wake-up schedule is used instead of a tight polling loop, with delay chosen to respect the model's prompt-cache window (under 5 minutes to stay warm, or 20–30 minutes for a genuinely idle check-in) — this avoids wasting cost on frequent, low-value re-checks.</w:t>
      </w:r>
    </w:p>
    <w:p>
      <w:pPr>
        <w:pStyle w:val="Heading1"/>
      </w:pPr>
      <w:r>
        <w:t>7. Phase 5 — Testing Strategy</w:t>
      </w:r>
    </w:p>
    <w:p>
      <w:pPr>
        <w:pStyle w:val="Heading2"/>
      </w:pPr>
      <w:r>
        <w:t>7.1 Test suite anatomy</w:t>
      </w:r>
    </w:p>
    <w:p>
      <w:r>
        <w:rPr>
          <w:b w:val="0"/>
          <w:i w:val="0"/>
        </w:rPr>
        <w:t>tests/test_v2.py is a single pytest module (~500 lines by the end of this project) covering: Erlang C correctness, LP optimizer feasibility and capacity constraints, DST edge cases in timezone conversion, type coercion safety, and — added in this session — FK cascade-rename correctness.</w:t>
      </w:r>
    </w:p>
    <w:p>
      <w:r>
        <w:rPr>
          <w:b w:val="0"/>
          <w:i w:val="0"/>
        </w:rPr>
        <w:t>Structure used throughout:</w:t>
      </w:r>
    </w:p>
    <w:p>
      <w:pPr>
        <w:pStyle w:val="ListBullet"/>
      </w:pPr>
      <w:r>
        <w:t>A single module-scoped fixture (ctx) seeds an isolated temporary SQLite database per test run — production data (data/staffing.db) is never touched by tests.</w:t>
      </w:r>
    </w:p>
    <w:p>
      <w:pPr>
        <w:pStyle w:val="ListBullet"/>
      </w:pPr>
      <w:r>
        <w:t>Each test is self-contained and asserts one property (e.g. "L2 pooled capacity is never double-counted across groups") rather than snapshotting broad output.</w:t>
      </w:r>
    </w:p>
    <w:p>
      <w:pPr>
        <w:pStyle w:val="ListBullet"/>
      </w:pPr>
      <w:r>
        <w:t>Tests that exercise the LP solver use a short time_limit to keep the suite fast (observed: ~25 tests in under a minute).</w:t>
      </w:r>
    </w:p>
    <w:p>
      <w:pPr>
        <w:pStyle w:val="Heading2"/>
      </w:pPr>
      <w:r>
        <w:t>7.2 When a test was added</w:t>
      </w:r>
    </w:p>
    <w:p>
      <w:r>
        <w:rPr>
          <w:b w:val="0"/>
          <w:i w:val="0"/>
        </w:rPr>
        <w:t>Every non-trivial behavior change in this project's history added or extended a test in the same commit — for example, the M1 capacity-double-counting fix shipped together with test_m1_no_l2_capacity_double_counting, and the cascade-rename feature shipped together with test_cascade_rename_key.</w:t>
      </w:r>
    </w:p>
    <w:p>
      <w:pPr>
        <w:pStyle w:val="Heading2"/>
      </w:pPr>
      <w:r>
        <w:t>7.3 Standard test command</w:t>
      </w:r>
    </w:p>
    <w:p>
      <w:pPr>
        <w:ind w:left="432"/>
        <w:shd w:val="clear" w:color="auto" w:fill="F2F2F2"/>
      </w:pPr>
      <w:r>
        <w:rPr>
          <w:rFonts w:ascii="Consolas" w:hAnsi="Consolas"/>
          <w:sz w:val="18"/>
        </w:rPr>
        <w:t>cd staffing-engine &amp;&amp; python -m pytest tests/ -q</w:t>
      </w:r>
    </w:p>
    <w:p>
      <w:r>
        <w:rPr>
          <w:b w:val="0"/>
          <w:i w:val="0"/>
        </w:rPr>
        <w:t>This exact command was run after every single code change in this project before any commit was made — including small ones. A failing or newly-warning test blocks the commit until understood.</w:t>
      </w:r>
    </w:p>
    <w:p>
      <w:pPr>
        <w:pStyle w:val="Heading2"/>
      </w:pPr>
      <w:r>
        <w:t>7.4 UI verification (manual, not automated)</w:t>
      </w:r>
    </w:p>
    <w:p>
      <w:r>
        <w:rPr>
          <w:b w:val="0"/>
          <w:i w:val="0"/>
        </w:rPr>
        <w:t>Streamlit UI behavior (chart rendering, data_editor round-tripping) is not covered by pytest — it was verified by the human user running the app locally after each UI-facing change, and reporting back tracebacks directly (see section 9). This is a deliberate split: pytest guarantees calculation correctness; manual runs guarantee UX correctness.</w:t>
      </w:r>
    </w:p>
    <w:p>
      <w:pPr>
        <w:pStyle w:val="Heading1"/>
      </w:pPr>
      <w:r>
        <w:t>8. Phase 6 — Review &amp; Audit Loops</w:t>
      </w:r>
    </w:p>
    <w:p>
      <w:pPr>
        <w:pStyle w:val="Heading2"/>
      </w:pPr>
      <w:r>
        <w:t>8.1 The audit-then-fix cycle</w:t>
      </w:r>
    </w:p>
    <w:p>
      <w:r>
        <w:rPr>
          <w:b w:val="0"/>
          <w:i w:val="0"/>
        </w:rPr>
        <w:t>Twice in this project, an external "auditor" pass (a structured review, either from a sub-agent or from the user relaying a separate audit report) produced a numbered list of findings (e.g. "M1", "M2", "m4-bis", "m7", "m11"). The response pattern was consistent:</w:t>
      </w:r>
    </w:p>
    <w:p>
      <w:pPr>
        <w:pStyle w:val="ListNumber"/>
      </w:pPr>
      <w:r>
        <w:t>Read every finding and independently verify it against the code — do not accept a finding at face value.</w:t>
      </w:r>
    </w:p>
    <w:p>
      <w:pPr>
        <w:pStyle w:val="ListNumber"/>
      </w:pPr>
      <w:r>
        <w:t>For findings with real architectural ambiguity (e.g. "is L2 support pooled or siloed per group?"), ask the user directly instead of guessing — this determined the entire fix design for that finding.</w:t>
      </w:r>
    </w:p>
    <w:p>
      <w:pPr>
        <w:pStyle w:val="ListNumber"/>
      </w:pPr>
      <w:r>
        <w:t>Fix confirmed findings with the smallest correct change, each backed by a new or extended test.</w:t>
      </w:r>
    </w:p>
    <w:p>
      <w:pPr>
        <w:pStyle w:val="ListNumber"/>
      </w:pPr>
      <w:r>
        <w:t>Surface previously-silent failure modes to the UI (e.g. solver infeasibility) instead of only fixing the internal state.</w:t>
      </w:r>
    </w:p>
    <w:p>
      <w:pPr>
        <w:pStyle w:val="Heading2"/>
      </w:pPr>
      <w:r>
        <w:t>8.2 Findings triage table (this project's second audit)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color="auto" w:fill="2E5B8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176"/>
            <w:shd w:val="clear" w:color="auto" w:fill="2E5B8A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4464"/>
            <w:shd w:val="clear" w:color="auto" w:fill="2E5B8A"/>
          </w:tcPr>
          <w:p>
            <w:r>
              <w:rPr>
                <w:b/>
                <w:color w:val="FFFFFF"/>
              </w:rPr>
              <w:t>Resolution</w:t>
            </w:r>
          </w:p>
        </w:tc>
      </w:tr>
      <w:tr>
        <w:tc>
          <w:tcPr>
            <w:tcW w:type="dxa" w:w="1296"/>
          </w:tcPr>
          <w:p>
            <w:r>
              <w:t>M1</w:t>
            </w:r>
          </w:p>
        </w:tc>
        <w:tc>
          <w:tcPr>
            <w:tcW w:type="dxa" w:w="4176"/>
          </w:tcPr>
          <w:p>
            <w:r>
              <w:t>Critical — capacity double-counted for pooled (L2) teams</w:t>
            </w:r>
          </w:p>
        </w:tc>
        <w:tc>
          <w:tcPr>
            <w:tcW w:type="dxa" w:w="4464"/>
          </w:tcPr>
          <w:p>
            <w:r>
              <w:t>Split LP constraints: per-group for L1, single pooled constraint for L2</w:t>
            </w:r>
          </w:p>
        </w:tc>
      </w:tr>
      <w:tr>
        <w:tc>
          <w:tcPr>
            <w:tcW w:type="dxa" w:w="1296"/>
          </w:tcPr>
          <w:p>
            <w:r>
              <w:t>M2</w:t>
            </w:r>
          </w:p>
        </w:tc>
        <w:tc>
          <w:tcPr>
            <w:tcW w:type="dxa" w:w="4176"/>
          </w:tcPr>
          <w:p>
            <w:r>
              <w:t>Critical — LP infeasibility silently ignored</w:t>
            </w:r>
          </w:p>
        </w:tc>
        <w:tc>
          <w:tcPr>
            <w:tcW w:type="dxa" w:w="4464"/>
          </w:tcPr>
          <w:p>
            <w:r>
              <w:t>Module-level warning accumulator surfaced as a UI warning</w:t>
            </w:r>
          </w:p>
        </w:tc>
      </w:tr>
      <w:tr>
        <w:tc>
          <w:tcPr>
            <w:tcW w:type="dxa" w:w="1296"/>
          </w:tcPr>
          <w:p>
            <w:r>
              <w:t>m4-bis</w:t>
            </w:r>
          </w:p>
        </w:tc>
        <w:tc>
          <w:tcPr>
            <w:tcW w:type="dxa" w:w="4176"/>
          </w:tcPr>
          <w:p>
            <w:r>
              <w:t>Minor — duplicate keys allowed on save</w:t>
            </w:r>
          </w:p>
        </w:tc>
        <w:tc>
          <w:tcPr>
            <w:tcW w:type="dxa" w:w="4464"/>
          </w:tcPr>
          <w:p>
            <w:r>
              <w:t>Reject duplicate keys before write</w:t>
            </w:r>
          </w:p>
        </w:tc>
      </w:tr>
      <w:tr>
        <w:tc>
          <w:tcPr>
            <w:tcW w:type="dxa" w:w="1296"/>
          </w:tcPr>
          <w:p>
            <w:r>
              <w:t>m7</w:t>
            </w:r>
          </w:p>
        </w:tc>
        <w:tc>
          <w:tcPr>
            <w:tcW w:type="dxa" w:w="4176"/>
          </w:tcPr>
          <w:p>
            <w:r>
              <w:t>Minor — silent NaN coercion</w:t>
            </w:r>
          </w:p>
        </w:tc>
        <w:tc>
          <w:tcPr>
            <w:tcW w:type="dxa" w:w="4464"/>
          </w:tcPr>
          <w:p>
            <w:r>
              <w:t>Warn when type coercion introduces new NaNs</w:t>
            </w:r>
          </w:p>
        </w:tc>
      </w:tr>
      <w:tr>
        <w:tc>
          <w:tcPr>
            <w:tcW w:type="dxa" w:w="1296"/>
          </w:tcPr>
          <w:p>
            <w:r>
              <w:t>m11</w:t>
            </w:r>
          </w:p>
        </w:tc>
        <w:tc>
          <w:tcPr>
            <w:tcW w:type="dxa" w:w="4176"/>
          </w:tcPr>
          <w:p>
            <w:r>
              <w:t>Minor — DST transition data loss</w:t>
            </w:r>
          </w:p>
        </w:tc>
        <w:tc>
          <w:tcPr>
            <w:tcW w:type="dxa" w:w="4464"/>
          </w:tcPr>
          <w:p>
            <w:r>
              <w:t>ambiguous=True preserves all DST buckets</w:t>
            </w:r>
          </w:p>
        </w:tc>
      </w:tr>
      <w:tr>
        <w:tc>
          <w:tcPr>
            <w:tcW w:type="dxa" w:w="1296"/>
          </w:tcPr>
          <w:p>
            <w:r>
              <w:t>(unlabeled)</w:t>
            </w:r>
          </w:p>
        </w:tc>
        <w:tc>
          <w:tcPr>
            <w:tcW w:type="dxa" w:w="4176"/>
          </w:tcPr>
          <w:p>
            <w:r>
              <w:t>Security — Excel formula injection on export</w:t>
            </w:r>
          </w:p>
        </w:tc>
        <w:tc>
          <w:tcPr>
            <w:tcW w:type="dxa" w:w="4464"/>
          </w:tcPr>
          <w:p>
            <w:r>
              <w:t>Sanitize cells starting with = + - @ before writing .xlsx</w:t>
            </w:r>
          </w:p>
        </w:tc>
      </w:tr>
    </w:tbl>
    <w:p>
      <w:pPr>
        <w:pStyle w:val="Heading2"/>
      </w:pPr>
      <w:r>
        <w:t>8.3 Closing the loop with the user</w:t>
      </w:r>
    </w:p>
    <w:p>
      <w:r>
        <w:rPr>
          <w:b w:val="0"/>
          <w:i w:val="0"/>
        </w:rPr>
        <w:t>After each audit-fix cycle, the user was asked a single clarifying question when a genuine design decision was open (see 8.1, point 2), rather than being asked to approve a fully-formed plan for straightforward fixes. This kept review overhead proportional to actual ambiguity.</w:t>
      </w:r>
    </w:p>
    <w:p>
      <w:pPr>
        <w:pStyle w:val="Heading1"/>
      </w:pPr>
      <w:r>
        <w:t>9. Phase 7 — Local Deployment &amp; Verification</w:t>
      </w:r>
    </w:p>
    <w:p>
      <w:pPr>
        <w:pStyle w:val="Heading2"/>
      </w:pPr>
      <w:r>
        <w:t>9.1 Local run loop</w:t>
      </w:r>
    </w:p>
    <w:p>
      <w:r>
        <w:rPr>
          <w:b w:val="0"/>
          <w:i w:val="0"/>
        </w:rPr>
        <w:t>Once a change passed the automated test suite and was pushed, the user pulled the branch to a local Windows machine and ran the app directly:</w:t>
      </w:r>
    </w:p>
    <w:p>
      <w:pPr>
        <w:ind w:left="432"/>
        <w:shd w:val="clear" w:color="auto" w:fill="F2F2F2"/>
      </w:pPr>
      <w:r>
        <w:rPr>
          <w:rFonts w:ascii="Consolas" w:hAnsi="Consolas"/>
          <w:sz w:val="18"/>
        </w:rPr>
        <w:t>cd staffing-engine</w:t>
      </w:r>
      <w:r>
        <w:rPr>
          <w:rFonts w:ascii="Consolas" w:hAnsi="Consolas"/>
          <w:sz w:val="18"/>
        </w:rPr>
        <w:br/>
        <w:t>streamlit run app/app.py</w:t>
      </w:r>
    </w:p>
    <w:p>
      <w:r>
        <w:rPr>
          <w:b w:val="0"/>
          <w:i w:val="0"/>
        </w:rPr>
        <w:t>Any traceback produced by Streamlit was pasted back verbatim into the conversation. This is the fastest verification signal for UI-only bugs, because pytest does not exercise Streamlit widgets or the SQLite schema drift that can exist on a long-lived local database (as opposed to a freshly-seeded test database).</w:t>
      </w:r>
    </w:p>
    <w:p>
      <w:pPr>
        <w:pStyle w:val="Heading2"/>
      </w:pPr>
      <w:r>
        <w:t>9.2 Handling schema drift between test DB and local DB</w:t>
      </w:r>
    </w:p>
    <w:p>
      <w:r>
        <w:rPr>
          <w:b w:val="0"/>
          <w:i w:val="0"/>
        </w:rPr>
        <w:t>A concrete example from this project: the test suite's freshly-seeded database always has every optional column (e.g. group_id in param_aht), but the user's local data/staffing.db — created earlier, before that column existed — did not. This class of bug is invisible to pytest (which always starts from a fresh seed) and only surfaces on a real local run. The fix pattern used: guard every access to an optional column with an explicit existence check (PRAGMA table_info on the SQL side, `if col in df.columns` on the pandas side) rather than assuming the schema is always current.</w:t>
      </w:r>
    </w:p>
    <w:p>
      <w:pPr>
        <w:pStyle w:val="Heading2"/>
      </w:pPr>
      <w:r>
        <w:t>9.3 Feedback loop shape</w:t>
      </w:r>
    </w:p>
    <w:p>
      <w:r>
        <w:rPr>
          <w:b w:val="0"/>
          <w:i w:val="0"/>
        </w:rPr>
        <w:t>The verification loop that repeated throughout this project:</w:t>
      </w:r>
    </w:p>
    <w:p>
      <w:pPr>
        <w:pStyle w:val="ListNumber"/>
      </w:pPr>
      <w:r>
        <w:t>Push change to branch.</w:t>
      </w:r>
    </w:p>
    <w:p>
      <w:pPr>
        <w:pStyle w:val="ListNumber"/>
      </w:pPr>
      <w:r>
        <w:t>User pulls locally and runs the app.</w:t>
      </w:r>
    </w:p>
    <w:p>
      <w:pPr>
        <w:pStyle w:val="ListNumber"/>
      </w:pPr>
      <w:r>
        <w:t>User pastes back the exact traceback or describes the exact broken behavior — no paraphrasing.</w:t>
      </w:r>
    </w:p>
    <w:p>
      <w:pPr>
        <w:pStyle w:val="ListNumber"/>
      </w:pPr>
      <w:r>
        <w:t>Agent reproduces the root cause from the traceback alone (file, line, exception type) without asking the user to re-explain.</w:t>
      </w:r>
    </w:p>
    <w:p>
      <w:pPr>
        <w:pStyle w:val="ListNumber"/>
      </w:pPr>
      <w:r>
        <w:t>Fix is scoped narrowly, tests re-run, commit, push.</w:t>
      </w:r>
    </w:p>
    <w:p>
      <w:r>
        <w:rPr>
          <w:b w:val="0"/>
          <w:i w:val="0"/>
        </w:rPr>
        <w:t>This tight loop is only possible because the user provides full, unredacted tracebacks — a habit worth establishing explicitly in any reproducible methodology.</w:t>
      </w:r>
    </w:p>
    <w:p>
      <w:pPr>
        <w:pStyle w:val="Heading1"/>
      </w:pPr>
      <w:r>
        <w:t>10. Case Study Timeline (Actual Commits)</w:t>
      </w:r>
    </w:p>
    <w:p>
      <w:r>
        <w:rPr>
          <w:b w:val="0"/>
          <w:i w:val="0"/>
        </w:rPr>
        <w:t>The following is the literal, unedited commit sequence from this project, included so the methodology above can be checked against real history rather than a retrospective narrative.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val="clear" w:color="auto" w:fill="2E5B8A"/>
          </w:tcPr>
          <w:p>
            <w:r>
              <w:rPr>
                <w:b/>
                <w:color w:val="FFFFFF"/>
              </w:rPr>
              <w:t>Commit</w:t>
            </w:r>
          </w:p>
        </w:tc>
        <w:tc>
          <w:tcPr>
            <w:tcW w:type="dxa" w:w="8496"/>
            <w:shd w:val="clear" w:color="auto" w:fill="2E5B8A"/>
          </w:tcPr>
          <w:p>
            <w:r>
              <w:rPr>
                <w:b/>
                <w:color w:val="FFFFFF"/>
              </w:rPr>
              <w:t>What shipped</w:t>
            </w:r>
          </w:p>
        </w:tc>
      </w:tr>
      <w:tr>
        <w:tc>
          <w:tcPr>
            <w:tcW w:type="dxa" w:w="1584"/>
          </w:tcPr>
          <w:p>
            <w:r>
              <w:t>1716b32</w:t>
            </w:r>
          </w:p>
        </w:tc>
        <w:tc>
          <w:tcPr>
            <w:tcW w:type="dxa" w:w="8496"/>
          </w:tcPr>
          <w:p>
            <w:r>
              <w:t>V2 phase 1 — SQLite + Erlang C + actual/forecast model foundation</w:t>
            </w:r>
          </w:p>
        </w:tc>
      </w:tr>
      <w:tr>
        <w:tc>
          <w:tcPr>
            <w:tcW w:type="dxa" w:w="1584"/>
          </w:tcPr>
          <w:p>
            <w:r>
              <w:t>dde5ae8</w:t>
            </w:r>
          </w:p>
        </w:tc>
        <w:tc>
          <w:tcPr>
            <w:tcW w:type="dxa" w:w="8496"/>
          </w:tcPr>
          <w:p>
            <w:r>
              <w:t>V2 phase 2 — linear-programming allocation optimizer + coverage</w:t>
            </w:r>
          </w:p>
        </w:tc>
      </w:tr>
      <w:tr>
        <w:tc>
          <w:tcPr>
            <w:tcW w:type="dxa" w:w="1584"/>
          </w:tcPr>
          <w:p>
            <w:r>
              <w:t>c45eca9</w:t>
            </w:r>
          </w:p>
        </w:tc>
        <w:tc>
          <w:tcPr>
            <w:tcW w:type="dxa" w:w="8496"/>
          </w:tcPr>
          <w:p>
            <w:r>
              <w:t>V2 phase 3 — multi-page Streamlit app (BI, actual/forecast, optimizer, edit)</w:t>
            </w:r>
          </w:p>
        </w:tc>
      </w:tr>
      <w:tr>
        <w:tc>
          <w:tcPr>
            <w:tcW w:type="dxa" w:w="1584"/>
          </w:tcPr>
          <w:p>
            <w:r>
              <w:t>3440187</w:t>
            </w:r>
          </w:p>
        </w:tc>
        <w:tc>
          <w:tcPr>
            <w:tcW w:type="dxa" w:w="8496"/>
          </w:tcPr>
          <w:p>
            <w:r>
              <w:t>V2 — README rewritten for the SQLite / Erlang C / optimizer architecture</w:t>
            </w:r>
          </w:p>
        </w:tc>
      </w:tr>
      <w:tr>
        <w:tc>
          <w:tcPr>
            <w:tcW w:type="dxa" w:w="1584"/>
          </w:tcPr>
          <w:p>
            <w:r>
              <w:t>ab011a6</w:t>
            </w:r>
          </w:p>
        </w:tc>
        <w:tc>
          <w:tcPr>
            <w:tcW w:type="dxa" w:w="8496"/>
          </w:tcPr>
          <w:p>
            <w:r>
              <w:t>V2 — editable group mapping as a pivot table</w:t>
            </w:r>
          </w:p>
        </w:tc>
      </w:tr>
      <w:tr>
        <w:tc>
          <w:tcPr>
            <w:tcW w:type="dxa" w:w="1584"/>
          </w:tcPr>
          <w:p>
            <w:r>
              <w:t>7c37368</w:t>
            </w:r>
          </w:p>
        </w:tc>
        <w:tc>
          <w:tcPr>
            <w:tcW w:type="dxa" w:w="8496"/>
          </w:tcPr>
          <w:p>
            <w:r>
              <w:t>V2 — actual vs forecast shown across all months</w:t>
            </w:r>
          </w:p>
        </w:tc>
      </w:tr>
      <w:tr>
        <w:tc>
          <w:tcPr>
            <w:tcW w:type="dxa" w:w="1584"/>
          </w:tcPr>
          <w:p>
            <w:r>
              <w:t>2f51a84</w:t>
            </w:r>
          </w:p>
        </w:tc>
        <w:tc>
          <w:tcPr>
            <w:tcW w:type="dxa" w:w="8496"/>
          </w:tcPr>
          <w:p>
            <w:r>
              <w:t>V2 — optional short shifts (1h/2h) in the optimizer</w:t>
            </w:r>
          </w:p>
        </w:tc>
      </w:tr>
      <w:tr>
        <w:tc>
          <w:tcPr>
            <w:tcW w:type="dxa" w:w="1584"/>
          </w:tcPr>
          <w:p>
            <w:r>
              <w:t>05efe0c</w:t>
            </w:r>
          </w:p>
        </w:tc>
        <w:tc>
          <w:tcPr>
            <w:tcW w:type="dxa" w:w="8496"/>
          </w:tcPr>
          <w:p>
            <w:r>
              <w:t>Disable Streamlit telemetry for fully offline operation</w:t>
            </w:r>
          </w:p>
        </w:tc>
      </w:tr>
      <w:tr>
        <w:tc>
          <w:tcPr>
            <w:tcW w:type="dxa" w:w="1584"/>
          </w:tcPr>
          <w:p>
            <w:r>
              <w:t>2cc1d6b</w:t>
            </w:r>
          </w:p>
        </w:tc>
        <w:tc>
          <w:tcPr>
            <w:tcW w:type="dxa" w:w="8496"/>
          </w:tcPr>
          <w:p>
            <w:r>
              <w:t>Add monthly CSV ingestion workflow</w:t>
            </w:r>
          </w:p>
        </w:tc>
      </w:tr>
      <w:tr>
        <w:tc>
          <w:tcPr>
            <w:tcW w:type="dxa" w:w="1584"/>
          </w:tcPr>
          <w:p>
            <w:r>
              <w:t>d13d755</w:t>
            </w:r>
          </w:p>
        </w:tc>
        <w:tc>
          <w:tcPr>
            <w:tcW w:type="dxa" w:w="8496"/>
          </w:tcPr>
          <w:p>
            <w:r>
              <w:t>Fix coverage crash when numeric columns are stored as TEXT</w:t>
            </w:r>
          </w:p>
        </w:tc>
      </w:tr>
      <w:tr>
        <w:tc>
          <w:tcPr>
            <w:tcW w:type="dxa" w:w="1584"/>
          </w:tcPr>
          <w:p>
            <w:r>
              <w:t>339e0c3</w:t>
            </w:r>
          </w:p>
        </w:tc>
        <w:tc>
          <w:tcPr>
            <w:tcW w:type="dxa" w:w="8496"/>
          </w:tcPr>
          <w:p>
            <w:r>
              <w:t>Add group-based routing, team_group table, step-by-step UI pages</w:t>
            </w:r>
          </w:p>
        </w:tc>
      </w:tr>
      <w:tr>
        <w:tc>
          <w:tcPr>
            <w:tcW w:type="dxa" w:w="1584"/>
          </w:tcPr>
          <w:p>
            <w:r>
              <w:t>4beada1</w:t>
            </w:r>
          </w:p>
        </w:tc>
        <w:tc>
          <w:tcPr>
            <w:tcW w:type="dxa" w:w="8496"/>
          </w:tcPr>
          <w:p>
            <w:r>
              <w:t>Fix 3 blocking engine bugs (CRIT-1,2,3) + unit tests</w:t>
            </w:r>
          </w:p>
        </w:tc>
      </w:tr>
      <w:tr>
        <w:tc>
          <w:tcPr>
            <w:tcW w:type="dxa" w:w="1584"/>
          </w:tcPr>
          <w:p>
            <w:r>
              <w:t>df9372e</w:t>
            </w:r>
          </w:p>
        </w:tc>
        <w:tc>
          <w:tcPr>
            <w:tcW w:type="dxa" w:w="8496"/>
          </w:tcPr>
          <w:p>
            <w:r>
              <w:t>Exportable monthly Excel report (3 tabs)</w:t>
            </w:r>
          </w:p>
        </w:tc>
      </w:tr>
      <w:tr>
        <w:tc>
          <w:tcPr>
            <w:tcW w:type="dxa" w:w="1584"/>
          </w:tcPr>
          <w:p>
            <w:r>
              <w:t>3c4b253</w:t>
            </w:r>
          </w:p>
        </w:tc>
        <w:tc>
          <w:tcPr>
            <w:tcW w:type="dxa" w:w="8496"/>
          </w:tcPr>
          <w:p>
            <w:r>
              <w:t>Real vs target occupancy table per team</w:t>
            </w:r>
          </w:p>
        </w:tc>
      </w:tr>
      <w:tr>
        <w:tc>
          <w:tcPr>
            <w:tcW w:type="dxa" w:w="1584"/>
          </w:tcPr>
          <w:p>
            <w:r>
              <w:t>2c7ee8b</w:t>
            </w:r>
          </w:p>
        </w:tc>
        <w:tc>
          <w:tcPr>
            <w:tcW w:type="dxa" w:w="8496"/>
          </w:tcPr>
          <w:p>
            <w:r>
              <w:t>Integrate country_calendar() for public holidays in the dow profile</w:t>
            </w:r>
          </w:p>
        </w:tc>
      </w:tr>
      <w:tr>
        <w:tc>
          <w:tcPr>
            <w:tcW w:type="dxa" w:w="1584"/>
          </w:tcPr>
          <w:p>
            <w:r>
              <w:t>e3d56d8</w:t>
            </w:r>
          </w:p>
        </w:tc>
        <w:tc>
          <w:tcPr>
            <w:tcW w:type="dxa" w:w="8496"/>
          </w:tcPr>
          <w:p>
            <w:r>
              <w:t>Optional group-level SLA / AHT parameters</w:t>
            </w:r>
          </w:p>
        </w:tc>
      </w:tr>
      <w:tr>
        <w:tc>
          <w:tcPr>
            <w:tcW w:type="dxa" w:w="1584"/>
          </w:tcPr>
          <w:p>
            <w:r>
              <w:t>155df6c</w:t>
            </w:r>
          </w:p>
        </w:tc>
        <w:tc>
          <w:tcPr>
            <w:tcW w:type="dxa" w:w="8496"/>
          </w:tcPr>
          <w:p>
            <w:r>
              <w:t>Dedicated editor pages by domain + glossary</w:t>
            </w:r>
          </w:p>
        </w:tc>
      </w:tr>
      <w:tr>
        <w:tc>
          <w:tcPr>
            <w:tcW w:type="dxa" w:w="1584"/>
          </w:tcPr>
          <w:p>
            <w:r>
              <w:t>3697da7</w:t>
            </w:r>
          </w:p>
        </w:tc>
        <w:tc>
          <w:tcPr>
            <w:tcW w:type="dxa" w:w="8496"/>
          </w:tcPr>
          <w:p>
            <w:r>
              <w:t>Fix checkbox/float type error + missing group_id column</w:t>
            </w:r>
          </w:p>
        </w:tc>
      </w:tr>
      <w:tr>
        <w:tc>
          <w:tcPr>
            <w:tcW w:type="dxa" w:w="1584"/>
          </w:tcPr>
          <w:p>
            <w:r>
              <w:t>3840204</w:t>
            </w:r>
          </w:p>
        </w:tc>
        <w:tc>
          <w:tcPr>
            <w:tcW w:type="dxa" w:w="8496"/>
          </w:tcPr>
          <w:p>
            <w:r>
              <w:t>Fix 3 runtime bugs found in code review</w:t>
            </w:r>
          </w:p>
        </w:tc>
      </w:tr>
      <w:tr>
        <w:tc>
          <w:tcPr>
            <w:tcW w:type="dxa" w:w="1584"/>
          </w:tcPr>
          <w:p>
            <w:r>
              <w:t>44d1413</w:t>
            </w:r>
          </w:p>
        </w:tc>
        <w:tc>
          <w:tcPr>
            <w:tcW w:type="dxa" w:w="8496"/>
          </w:tcPr>
          <w:p>
            <w:r>
              <w:t>Merge pages_app.py + pages_edit.py into a single pages.py</w:t>
            </w:r>
          </w:p>
        </w:tc>
      </w:tr>
      <w:tr>
        <w:tc>
          <w:tcPr>
            <w:tcW w:type="dxa" w:w="1584"/>
          </w:tcPr>
          <w:p>
            <w:r>
              <w:t>c14f8d7 / 91a88f9</w:t>
            </w:r>
          </w:p>
        </w:tc>
        <w:tc>
          <w:tcPr>
            <w:tcW w:type="dxa" w:w="8496"/>
          </w:tcPr>
          <w:p>
            <w:r>
              <w:t>Fix 7 confirmed audit bugs (M2, m1, m3-m6, m9)</w:t>
            </w:r>
          </w:p>
        </w:tc>
      </w:tr>
      <w:tr>
        <w:tc>
          <w:tcPr>
            <w:tcW w:type="dxa" w:w="1584"/>
          </w:tcPr>
          <w:p>
            <w:r>
              <w:t>f2f92e3</w:t>
            </w:r>
          </w:p>
        </w:tc>
        <w:tc>
          <w:tcPr>
            <w:tcW w:type="dxa" w:w="8496"/>
          </w:tcPr>
          <w:p>
            <w:r>
              <w:t>Full cleanup + audit corrections (M1 doc, m2, m7, m8, m10, m11 doc)</w:t>
            </w:r>
          </w:p>
        </w:tc>
      </w:tr>
      <w:tr>
        <w:tc>
          <w:tcPr>
            <w:tcW w:type="dxa" w:w="1584"/>
          </w:tcPr>
          <w:p>
            <w:r>
              <w:t>6f3fafa</w:t>
            </w:r>
          </w:p>
        </w:tc>
        <w:tc>
          <w:tcPr>
            <w:tcW w:type="dxa" w:w="8496"/>
          </w:tcPr>
          <w:p>
            <w:r>
              <w:t>Add documentation expanders to all 8 Streamlit pages</w:t>
            </w:r>
          </w:p>
        </w:tc>
      </w:tr>
      <w:tr>
        <w:tc>
          <w:tcPr>
            <w:tcW w:type="dxa" w:w="1584"/>
          </w:tcPr>
          <w:p>
            <w:r>
              <w:t>8ed0a23</w:t>
            </w:r>
          </w:p>
        </w:tc>
        <w:tc>
          <w:tcPr>
            <w:tcW w:type="dxa" w:w="8496"/>
          </w:tcPr>
          <w:p>
            <w:r>
              <w:t>Fix M1 L2 capacity double-counting + surface LP warnings to UI (M2)</w:t>
            </w:r>
          </w:p>
        </w:tc>
      </w:tr>
      <w:tr>
        <w:tc>
          <w:tcPr>
            <w:tcW w:type="dxa" w:w="1584"/>
          </w:tcPr>
          <w:p>
            <w:r>
              <w:t>c6cfdc1</w:t>
            </w:r>
          </w:p>
        </w:tc>
        <w:tc>
          <w:tcPr>
            <w:tcW w:type="dxa" w:w="8496"/>
          </w:tcPr>
          <w:p>
            <w:r>
              <w:t>Fix remaining minor audit items: m4-bis, m7, m11, Excel injection</w:t>
            </w:r>
          </w:p>
        </w:tc>
      </w:tr>
      <w:tr>
        <w:tc>
          <w:tcPr>
            <w:tcW w:type="dxa" w:w="1584"/>
          </w:tcPr>
          <w:p>
            <w:r>
              <w:t>7f82e0c</w:t>
            </w:r>
          </w:p>
        </w:tc>
        <w:tc>
          <w:tcPr>
            <w:tcW w:type="dxa" w:w="8496"/>
          </w:tcPr>
          <w:p>
            <w:r>
              <w:t>Add reference-data guide expander to the data-sources page</w:t>
            </w:r>
          </w:p>
        </w:tc>
      </w:tr>
      <w:tr>
        <w:tc>
          <w:tcPr>
            <w:tcW w:type="dxa" w:w="1584"/>
          </w:tcPr>
          <w:p>
            <w:r>
              <w:t>28574aa</w:t>
            </w:r>
          </w:p>
        </w:tc>
        <w:tc>
          <w:tcPr>
            <w:tcW w:type="dxa" w:w="8496"/>
          </w:tcPr>
          <w:p>
            <w:r>
              <w:t>Improve dimension-management UX in reference editors</w:t>
            </w:r>
          </w:p>
        </w:tc>
      </w:tr>
      <w:tr>
        <w:tc>
          <w:tcPr>
            <w:tcW w:type="dxa" w:w="1584"/>
          </w:tcPr>
          <w:p>
            <w:r>
              <w:t>fcdb7c4</w:t>
            </w:r>
          </w:p>
        </w:tc>
        <w:tc>
          <w:tcPr>
            <w:tcW w:type="dxa" w:w="8496"/>
          </w:tcPr>
          <w:p>
            <w:r>
              <w:t>Extend cascade guidance and rename warnings to all dimension editors</w:t>
            </w:r>
          </w:p>
        </w:tc>
      </w:tr>
      <w:tr>
        <w:tc>
          <w:tcPr>
            <w:tcW w:type="dxa" w:w="1584"/>
          </w:tcPr>
          <w:p>
            <w:r>
              <w:t>82dcdb4</w:t>
            </w:r>
          </w:p>
        </w:tc>
        <w:tc>
          <w:tcPr>
            <w:tcW w:type="dxa" w:w="8496"/>
          </w:tcPr>
          <w:p>
            <w:r>
              <w:t>Add CASCADE UPDATE: propagate ID renames to all FK tables automatically</w:t>
            </w:r>
          </w:p>
        </w:tc>
      </w:tr>
      <w:tr>
        <w:tc>
          <w:tcPr>
            <w:tcW w:type="dxa" w:w="1584"/>
          </w:tcPr>
          <w:p>
            <w:r>
              <w:t>1fb1a12</w:t>
            </w:r>
          </w:p>
        </w:tc>
        <w:tc>
          <w:tcPr>
            <w:tcW w:type="dxa" w:w="8496"/>
          </w:tcPr>
          <w:p>
            <w:r>
              <w:t>Add master data CSVs: reference tables survive redeploys</w:t>
            </w:r>
          </w:p>
        </w:tc>
      </w:tr>
      <w:tr>
        <w:tc>
          <w:tcPr>
            <w:tcW w:type="dxa" w:w="1584"/>
          </w:tcPr>
          <w:p>
            <w:r>
              <w:t>fd52499</w:t>
            </w:r>
          </w:p>
        </w:tc>
        <w:tc>
          <w:tcPr>
            <w:tcW w:type="dxa" w:w="8496"/>
          </w:tcPr>
          <w:p>
            <w:r>
              <w:t>Refresh seeded DB after master-data CSV bootstrap</w:t>
            </w:r>
          </w:p>
        </w:tc>
      </w:tr>
      <w:tr>
        <w:tc>
          <w:tcPr>
            <w:tcW w:type="dxa" w:w="1584"/>
          </w:tcPr>
          <w:p>
            <w:r>
              <w:t>3d758a2</w:t>
            </w:r>
          </w:p>
        </w:tc>
        <w:tc>
          <w:tcPr>
            <w:tcW w:type="dxa" w:w="8496"/>
          </w:tcPr>
          <w:p>
            <w:r>
              <w:t>Auto-populate dependent tables when new dimension IDs are added</w:t>
            </w:r>
          </w:p>
        </w:tc>
      </w:tr>
      <w:tr>
        <w:tc>
          <w:tcPr>
            <w:tcW w:type="dxa" w:w="1584"/>
          </w:tcPr>
          <w:p>
            <w:r>
              <w:t>f12ea5c</w:t>
            </w:r>
          </w:p>
        </w:tc>
        <w:tc>
          <w:tcPr>
            <w:tcW w:type="dxa" w:w="8496"/>
          </w:tcPr>
          <w:p>
            <w:r>
              <w:t>Display 'Label (ID)' everywhere + comprehensive cascade confirmation</w:t>
            </w:r>
          </w:p>
        </w:tc>
      </w:tr>
      <w:tr>
        <w:tc>
          <w:tcPr>
            <w:tcW w:type="dxa" w:w="1584"/>
          </w:tcPr>
          <w:p>
            <w:r>
              <w:t>750af1d</w:t>
            </w:r>
          </w:p>
        </w:tc>
        <w:tc>
          <w:tcPr>
            <w:tcW w:type="dxa" w:w="8496"/>
          </w:tcPr>
          <w:p>
            <w:r>
              <w:t>Fix group_id optional-column crashes in cascade and AHT editor</w:t>
            </w:r>
          </w:p>
        </w:tc>
      </w:tr>
    </w:tbl>
    <w:p/>
    <w:p>
      <w:r>
        <w:rPr>
          <w:b w:val="0"/>
          <w:i w:val="0"/>
        </w:rPr>
        <w:t>Reading this sequence top to bottom shows the shape of the whole project: a functional core built first (phases 1-3), followed by iterative bug-fixing driven by audits, followed by a sustained push toward making every reference-data dimension fully editable, cascading, and self-documenting from the UI — which is exactly the request that opened this conversation.</w:t>
      </w:r>
    </w:p>
    <w:p>
      <w:pPr>
        <w:pStyle w:val="Heading1"/>
      </w:pPr>
      <w:r>
        <w:t>11. Reusable Checklist for a New Project</w:t>
      </w:r>
    </w:p>
    <w:p>
      <w:pPr>
        <w:pStyle w:val="Heading2"/>
      </w:pPr>
      <w:r>
        <w:t>11.1 Repository setup</w:t>
      </w:r>
    </w:p>
    <w:p>
      <w:pPr>
        <w:pStyle w:val="ListBullet"/>
      </w:pPr>
      <w:r>
        <w:t>Create/assign a dedicated feature branch per work session; never commit to main directly.</w:t>
      </w:r>
    </w:p>
    <w:p>
      <w:pPr>
        <w:pStyle w:val="ListBullet"/>
      </w:pPr>
      <w:r>
        <w:t>Define the repository access scope explicitly before starting.</w:t>
      </w:r>
    </w:p>
    <w:p>
      <w:pPr>
        <w:pStyle w:val="ListBullet"/>
      </w:pPr>
      <w:r>
        <w:t>Decide the PR policy up front (only on explicit request; template detection; no auto-push).</w:t>
      </w:r>
    </w:p>
    <w:p>
      <w:pPr>
        <w:pStyle w:val="Heading2"/>
      </w:pPr>
      <w:r>
        <w:t>11.2 Environment</w:t>
      </w:r>
    </w:p>
    <w:p>
      <w:pPr>
        <w:pStyle w:val="ListBullet"/>
      </w:pPr>
      <w:r>
        <w:t>Write one bootstrap script that seeds deterministic data (fixed random seed).</w:t>
      </w:r>
    </w:p>
    <w:p>
      <w:pPr>
        <w:pStyle w:val="ListBullet"/>
      </w:pPr>
      <w:r>
        <w:t>Make the app auto-detect a missing database/state and self-seed on first run.</w:t>
      </w:r>
    </w:p>
    <w:p>
      <w:pPr>
        <w:pStyle w:val="ListBullet"/>
      </w:pPr>
      <w:r>
        <w:t>Persist anything that must survive an ephemeral redeploy in version-controlled files, not only in a local database or cache.</w:t>
      </w:r>
    </w:p>
    <w:p>
      <w:pPr>
        <w:pStyle w:val="Heading2"/>
      </w:pPr>
      <w:r>
        <w:t>11.3 Development loop</w:t>
      </w:r>
    </w:p>
    <w:p>
      <w:pPr>
        <w:pStyle w:val="ListBullet"/>
      </w:pPr>
      <w:r>
        <w:t>One user request → one or a few small, testable commits — never one giant commit.</w:t>
      </w:r>
    </w:p>
    <w:p>
      <w:pPr>
        <w:pStyle w:val="ListBullet"/>
      </w:pPr>
      <w:r>
        <w:t>Run the full automated test suite before every commit, not just before a push.</w:t>
      </w:r>
    </w:p>
    <w:p>
      <w:pPr>
        <w:pStyle w:val="ListBullet"/>
      </w:pPr>
      <w:r>
        <w:t>Write or extend a test in the same commit as any behavior change.</w:t>
      </w:r>
    </w:p>
    <w:p>
      <w:pPr>
        <w:pStyle w:val="ListBullet"/>
      </w:pPr>
      <w:r>
        <w:t>Report back in 1-2 sentences: what changed, what's next.</w:t>
      </w:r>
    </w:p>
    <w:p>
      <w:pPr>
        <w:pStyle w:val="Heading2"/>
      </w:pPr>
      <w:r>
        <w:t>11.4 Multi-agent use</w:t>
      </w:r>
    </w:p>
    <w:p>
      <w:pPr>
        <w:pStyle w:val="ListBullet"/>
      </w:pPr>
      <w:r>
        <w:t>Delegate only genuinely independent, large-search tasks — not tasks requiring judgment calls tied to the ongoing conversation.</w:t>
      </w:r>
    </w:p>
    <w:p>
      <w:pPr>
        <w:pStyle w:val="ListBullet"/>
      </w:pPr>
      <w:r>
        <w:t>Give sub-agents a self-contained brief: goal, file paths, depth, expected output format.</w:t>
      </w:r>
    </w:p>
    <w:p>
      <w:pPr>
        <w:pStyle w:val="ListBullet"/>
      </w:pPr>
      <w:r>
        <w:t>Prefer event-driven wake-ups (webhooks) over polling loops; if polling is unavoidable, size the interval to the model's prompt-cache window.</w:t>
      </w:r>
    </w:p>
    <w:p>
      <w:pPr>
        <w:pStyle w:val="Heading2"/>
      </w:pPr>
      <w:r>
        <w:t>11.5 Testing</w:t>
      </w:r>
    </w:p>
    <w:p>
      <w:pPr>
        <w:pStyle w:val="ListBullet"/>
      </w:pPr>
      <w:r>
        <w:t>Isolate tests from production data with a fresh, temporary database per test run.</w:t>
      </w:r>
    </w:p>
    <w:p>
      <w:pPr>
        <w:pStyle w:val="ListBullet"/>
      </w:pPr>
      <w:r>
        <w:t>Assert one property per test; avoid broad snapshot-style assertions.</w:t>
      </w:r>
    </w:p>
    <w:p>
      <w:pPr>
        <w:pStyle w:val="ListBullet"/>
      </w:pPr>
      <w:r>
        <w:t>Keep the full suite fast enough to run after every change (target: under a minute).</w:t>
      </w:r>
    </w:p>
    <w:p>
      <w:pPr>
        <w:pStyle w:val="Heading2"/>
      </w:pPr>
      <w:r>
        <w:t>11.6 Review / audit</w:t>
      </w:r>
    </w:p>
    <w:p>
      <w:pPr>
        <w:pStyle w:val="ListBullet"/>
      </w:pPr>
      <w:r>
        <w:t>Treat external audit findings as hypotheses to verify, not facts to implement blindly.</w:t>
      </w:r>
    </w:p>
    <w:p>
      <w:pPr>
        <w:pStyle w:val="ListBullet"/>
      </w:pPr>
      <w:r>
        <w:t>Ask the user one direct question when a finding hinges on an architectural decision only they can make.</w:t>
      </w:r>
    </w:p>
    <w:p>
      <w:pPr>
        <w:pStyle w:val="ListBullet"/>
      </w:pPr>
      <w:r>
        <w:t>Convert every silent failure mode found during audit into a visible one (log, warning, or UI message).</w:t>
      </w:r>
    </w:p>
    <w:p>
      <w:pPr>
        <w:pStyle w:val="Heading2"/>
      </w:pPr>
      <w:r>
        <w:t>11.7 Local verification</w:t>
      </w:r>
    </w:p>
    <w:p>
      <w:pPr>
        <w:pStyle w:val="ListBullet"/>
      </w:pPr>
      <w:r>
        <w:t>Always validate UI-facing changes with a real local run — pytest does not exercise the UI layer.</w:t>
      </w:r>
    </w:p>
    <w:p>
      <w:pPr>
        <w:pStyle w:val="ListBullet"/>
      </w:pPr>
      <w:r>
        <w:t>Ask for the exact, unredacted traceback rather than a paraphrase when something breaks locally.</w:t>
      </w:r>
    </w:p>
    <w:p>
      <w:pPr>
        <w:pStyle w:val="ListBullet"/>
      </w:pPr>
      <w:r>
        <w:t>Treat any discrepancy between a freshly-seeded test database and a long-lived local database as a schema-drift bug class of its own — guard optional columns explicitly.</w:t>
      </w:r>
    </w:p>
    <w:p>
      <w:pPr>
        <w:pStyle w:val="Heading1"/>
      </w:pPr>
      <w:r>
        <w:t>12. Lessons Learned &amp; Anti-Patterns</w:t>
      </w:r>
    </w:p>
    <w:p>
      <w:pPr>
        <w:pStyle w:val="Heading2"/>
      </w:pPr>
      <w:r>
        <w:t>12.1 What worked well</w:t>
      </w:r>
    </w:p>
    <w:p>
      <w:pPr>
        <w:pStyle w:val="ListBullet"/>
      </w:pPr>
      <w:r>
        <w:t>Small, test-backed commits made every regression trivially bisectable.</w:t>
      </w:r>
    </w:p>
    <w:p>
      <w:pPr>
        <w:pStyle w:val="ListBullet"/>
      </w:pPr>
      <w:r>
        <w:t>Asking a single clarifying question at the right moment (e.g. "pooled or siloed L2 support?") avoided building the wrong architecture twice.</w:t>
      </w:r>
    </w:p>
    <w:p>
      <w:pPr>
        <w:pStyle w:val="ListBullet"/>
      </w:pPr>
      <w:r>
        <w:t>Treating audit findings as hypotheses — rather than a to-do list to blindly clear — caught cases where a finding needed a design decision, not just a patch.</w:t>
      </w:r>
    </w:p>
    <w:p>
      <w:pPr>
        <w:pStyle w:val="ListBullet"/>
      </w:pPr>
      <w:r>
        <w:t>Keeping documentation (in-app expanders, cascade-info messages) as close as possible to the place a user would need it, generated at commit-time rather than written once and left to rot.</w:t>
      </w:r>
    </w:p>
    <w:p>
      <w:pPr>
        <w:pStyle w:val="Heading2"/>
      </w:pPr>
      <w:r>
        <w:t>12.2 Anti-patterns avoided</w:t>
      </w:r>
    </w:p>
    <w:p>
      <w:pPr>
        <w:pStyle w:val="ListBullet"/>
      </w:pPr>
      <w:r>
        <w:t>Never editing a file without reading it first in the current context.</w:t>
      </w:r>
    </w:p>
    <w:p>
      <w:pPr>
        <w:pStyle w:val="ListBullet"/>
      </w:pPr>
      <w:r>
        <w:t>Never batching unrelated fixes into a single commit, even under time pressure.</w:t>
      </w:r>
    </w:p>
    <w:p>
      <w:pPr>
        <w:pStyle w:val="ListBullet"/>
      </w:pPr>
      <w:r>
        <w:t>Never treating a freshly-seeded test database as representative of every real database — optional-column drift is a distinct bug class that pytest alone cannot catch.</w:t>
      </w:r>
    </w:p>
    <w:p>
      <w:pPr>
        <w:pStyle w:val="ListBullet"/>
      </w:pPr>
      <w:r>
        <w:t>Never silently swallowing a failure mode (e.g. LP infeasibility) just because the calculation still produces some output — surfacing it to the user is part of correctness, not an optional nicety.</w:t>
      </w:r>
    </w:p>
    <w:p>
      <w:pPr>
        <w:pStyle w:val="ListBullet"/>
      </w:pPr>
      <w:r>
        <w:t>Never renaming a reference-data ID without considering every foreign-key dependent table and every UI location that displays the raw ID — both were made systematic (FK_DEPS registry, _dn()/_with_dn() display helpers) rather than handled ad hoc.</w:t>
      </w:r>
    </w:p>
    <w:p/>
    <w:p>
      <w:r>
        <w:rPr>
          <w:b w:val="0"/>
          <w:i/>
        </w:rP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