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2162" w14:textId="77777777" w:rsidR="00DD5480" w:rsidRPr="00DD5480" w:rsidRDefault="00DD5480" w:rsidP="00DD5480">
      <w:pPr>
        <w:rPr>
          <w:b/>
          <w:bCs/>
        </w:rPr>
      </w:pPr>
      <w:r w:rsidRPr="00DD5480">
        <w:rPr>
          <w:b/>
          <w:bCs/>
        </w:rPr>
        <w:t>Data Appendix</w:t>
      </w:r>
    </w:p>
    <w:p w14:paraId="0DC19C40" w14:textId="77777777" w:rsidR="00DD5480" w:rsidRPr="00DD5480" w:rsidRDefault="00DD5480" w:rsidP="00DD5480">
      <w:pPr>
        <w:rPr>
          <w:b/>
          <w:bCs/>
        </w:rPr>
      </w:pPr>
      <w:r w:rsidRPr="00DD5480">
        <w:rPr>
          <w:b/>
          <w:bCs/>
        </w:rPr>
        <w:t>A. Data Source</w:t>
      </w:r>
    </w:p>
    <w:p w14:paraId="5793E916" w14:textId="1BCE433E" w:rsidR="00DD5480" w:rsidRPr="00DD5480" w:rsidRDefault="00DD5480" w:rsidP="00DD5480">
      <w:r w:rsidRPr="00DD5480">
        <w:t xml:space="preserve">The analysis draws on data from the World Happiness Reports, produced annually by the UN Sustainable Development Solutions Network (UN SDSN) using survey results from the Gallup World Poll. The compiled dataset was obtained from the publicly accessible Kaggle repository titled </w:t>
      </w:r>
      <w:r w:rsidRPr="00DD5480">
        <w:rPr>
          <w:i/>
          <w:iCs/>
        </w:rPr>
        <w:t>“World Happiness Report.”</w:t>
      </w:r>
      <w:r w:rsidR="00167D81">
        <w:rPr>
          <w:i/>
          <w:iCs/>
        </w:rPr>
        <w:t xml:space="preserve"> (</w:t>
      </w:r>
      <w:hyperlink r:id="rId5" w:history="1">
        <w:r w:rsidR="00167D81" w:rsidRPr="00167D81">
          <w:rPr>
            <w:rStyle w:val="Hyperlink"/>
            <w:i/>
            <w:iCs/>
          </w:rPr>
          <w:t>World Happiness Report</w:t>
        </w:r>
      </w:hyperlink>
      <w:r w:rsidR="00167D81">
        <w:rPr>
          <w:i/>
          <w:iCs/>
        </w:rPr>
        <w:t>)</w:t>
      </w:r>
      <w:r w:rsidRPr="00DD5480">
        <w:t xml:space="preserve"> This source provides harmonized annual files that combine Gallup’s primary survey measures with internationally recognized demographic and economic indicators.</w:t>
      </w:r>
    </w:p>
    <w:p w14:paraId="6061E6C7" w14:textId="77777777" w:rsidR="00DD5480" w:rsidRPr="00DD5480" w:rsidRDefault="00DD5480" w:rsidP="00DD5480">
      <w:r w:rsidRPr="00DD5480">
        <w:t>The Gallup World Poll forms the backbone of the dataset. It is one of the few global surveys that employs a consistent methodology across countries, allowing meaningful comparisons of subjective wellbeing. Its indicators—including life evaluation, social support, perceived freedom, and trust in institutions—are collected uniformly each year and are widely used in international wellbeing research.</w:t>
      </w:r>
    </w:p>
    <w:p w14:paraId="26DF4ED0" w14:textId="77777777" w:rsidR="00DD5480" w:rsidRPr="00DD5480" w:rsidRDefault="00000000" w:rsidP="00DD5480">
      <w:r>
        <w:pict w14:anchorId="358EC7FB">
          <v:rect id="_x0000_i1025" style="width:0;height:1.5pt" o:hralign="center" o:hrstd="t" o:hr="t" fillcolor="#a0a0a0" stroked="f"/>
        </w:pict>
      </w:r>
    </w:p>
    <w:p w14:paraId="5FDF5854" w14:textId="77777777" w:rsidR="00DD5480" w:rsidRPr="00DD5480" w:rsidRDefault="00DD5480" w:rsidP="00DD5480">
      <w:pPr>
        <w:rPr>
          <w:b/>
          <w:bCs/>
        </w:rPr>
      </w:pPr>
      <w:r w:rsidRPr="00DD5480">
        <w:rPr>
          <w:b/>
          <w:bCs/>
        </w:rPr>
        <w:t>B. Data Collection Process</w:t>
      </w:r>
    </w:p>
    <w:p w14:paraId="164C7565" w14:textId="77777777" w:rsidR="00DD5480" w:rsidRPr="00DD5480" w:rsidRDefault="00DD5480" w:rsidP="00DD5480">
      <w:r w:rsidRPr="00DD5480">
        <w:t>Gallup administers its survey annually in over 150 countries using nationally representative samples of adults aged 15 and older. Depending on country conditions, interviews are conducted face-to-face or by telephone. Sampling frames are stratified to reflect each country’s demographic and geographic composition, and sampling weights are provided to ensure national representativeness.</w:t>
      </w:r>
    </w:p>
    <w:p w14:paraId="0E40663B" w14:textId="77777777" w:rsidR="00DD5480" w:rsidRPr="00DD5480" w:rsidRDefault="00DD5480" w:rsidP="00DD5480">
      <w:r w:rsidRPr="00DD5480">
        <w:t xml:space="preserve">The core measure of wellbeing is the </w:t>
      </w:r>
      <w:proofErr w:type="spellStart"/>
      <w:r w:rsidRPr="00DD5480">
        <w:t>Cantril</w:t>
      </w:r>
      <w:proofErr w:type="spellEnd"/>
      <w:r w:rsidRPr="00DD5480">
        <w:t xml:space="preserve"> ladder life evaluation, where respondents rate their current life on a scale from 0 to 10. Additional indicators included in this study come from the same survey instrument: perceived social support, freedom to make life decisions, generosity, and perceptions of public- and private-sector corruption. Complementary variables—such as GDP per capita and healthy life expectancy—are sourced from official international databases but integrated into the dataset by Gallup, ensuring consistency across years and countries.</w:t>
      </w:r>
    </w:p>
    <w:p w14:paraId="579EA44C" w14:textId="77777777" w:rsidR="00DD5480" w:rsidRPr="00DD5480" w:rsidRDefault="00000000" w:rsidP="00DD5480">
      <w:r>
        <w:pict w14:anchorId="419AA8C6">
          <v:rect id="_x0000_i1026" style="width:0;height:1.5pt" o:hralign="center" o:hrstd="t" o:hr="t" fillcolor="#a0a0a0" stroked="f"/>
        </w:pict>
      </w:r>
    </w:p>
    <w:p w14:paraId="7C11E0A8" w14:textId="77777777" w:rsidR="00DD5480" w:rsidRPr="00DD5480" w:rsidRDefault="00DD5480" w:rsidP="00DD5480">
      <w:pPr>
        <w:rPr>
          <w:b/>
          <w:bCs/>
        </w:rPr>
      </w:pPr>
      <w:r w:rsidRPr="00DD5480">
        <w:rPr>
          <w:b/>
          <w:bCs/>
        </w:rPr>
        <w:t>C. Dataset Construction</w:t>
      </w:r>
    </w:p>
    <w:p w14:paraId="54E48032" w14:textId="77777777" w:rsidR="00DD5480" w:rsidRPr="00DD5480" w:rsidRDefault="00DD5480" w:rsidP="00DD5480">
      <w:r w:rsidRPr="00DD5480">
        <w:t>To build a multi-year panel, the annual files from 2015, 2016, 2018, and 2019 were consolidated into a single dataset. These four years are the only ones for which the Gallup-based explanatory variables appear in a consistent format. The 2017 release, while part of the World Happiness Report series, omits several of these core indicators and therefore cannot be merged with the other years without compromising comparability.</w:t>
      </w:r>
    </w:p>
    <w:p w14:paraId="5D16DF0B" w14:textId="77777777" w:rsidR="00DD5480" w:rsidRPr="00DD5480" w:rsidRDefault="00DD5480" w:rsidP="00DD5480">
      <w:r w:rsidRPr="00DD5480">
        <w:lastRenderedPageBreak/>
        <w:t>After integrating the available files and completing the cleaning process, the final dataset contains:</w:t>
      </w:r>
    </w:p>
    <w:p w14:paraId="5177A3E1" w14:textId="77777777" w:rsidR="00DD5480" w:rsidRPr="00DD5480" w:rsidRDefault="00DD5480" w:rsidP="00DD5480">
      <w:pPr>
        <w:numPr>
          <w:ilvl w:val="0"/>
          <w:numId w:val="1"/>
        </w:numPr>
      </w:pPr>
      <w:r w:rsidRPr="00DD5480">
        <w:t>617 country–year observations</w:t>
      </w:r>
    </w:p>
    <w:p w14:paraId="75D6C461" w14:textId="77777777" w:rsidR="00DD5480" w:rsidRPr="00DD5480" w:rsidRDefault="00DD5480" w:rsidP="00DD5480">
      <w:pPr>
        <w:numPr>
          <w:ilvl w:val="0"/>
          <w:numId w:val="1"/>
        </w:numPr>
      </w:pPr>
      <w:r w:rsidRPr="00DD5480">
        <w:t>167 unique countries</w:t>
      </w:r>
    </w:p>
    <w:p w14:paraId="4B38AEAE" w14:textId="77777777" w:rsidR="00DD5480" w:rsidRPr="00DD5480" w:rsidRDefault="00DD5480" w:rsidP="00DD5480">
      <w:pPr>
        <w:numPr>
          <w:ilvl w:val="0"/>
          <w:numId w:val="1"/>
        </w:numPr>
      </w:pPr>
      <w:r w:rsidRPr="00DD5480">
        <w:t>4 survey years (2015, 2016, 2018, 2019)</w:t>
      </w:r>
    </w:p>
    <w:p w14:paraId="58922359" w14:textId="77777777" w:rsidR="00DD5480" w:rsidRPr="00DD5480" w:rsidRDefault="00DD5480" w:rsidP="00DD5480">
      <w:pPr>
        <w:numPr>
          <w:ilvl w:val="0"/>
          <w:numId w:val="1"/>
        </w:numPr>
      </w:pPr>
      <w:r w:rsidRPr="00DD5480">
        <w:t>11 harmonized variables, including the happiness score, key predictors, region, and ranking</w:t>
      </w:r>
    </w:p>
    <w:p w14:paraId="7962FAE0" w14:textId="77777777" w:rsidR="00DD5480" w:rsidRPr="00DD5480" w:rsidRDefault="00DD5480" w:rsidP="00DD5480">
      <w:r w:rsidRPr="00DD5480">
        <w:t>This structure supports both cross-sectional comparisons of countries and longitudinal analysis of wellbeing trends.</w:t>
      </w:r>
    </w:p>
    <w:p w14:paraId="653F52A4" w14:textId="77777777" w:rsidR="00DD5480" w:rsidRPr="00DD5480" w:rsidRDefault="00000000" w:rsidP="00DD5480">
      <w:r>
        <w:pict w14:anchorId="65497D6F">
          <v:rect id="_x0000_i1027" style="width:0;height:1.5pt" o:hralign="center" o:hrstd="t" o:hr="t" fillcolor="#a0a0a0" stroked="f"/>
        </w:pict>
      </w:r>
    </w:p>
    <w:p w14:paraId="495253BD" w14:textId="77777777" w:rsidR="00DD5480" w:rsidRPr="00DD5480" w:rsidRDefault="00DD5480" w:rsidP="00DD5480">
      <w:pPr>
        <w:rPr>
          <w:b/>
          <w:bCs/>
        </w:rPr>
      </w:pPr>
      <w:r w:rsidRPr="00DD5480">
        <w:rPr>
          <w:b/>
          <w:bCs/>
        </w:rPr>
        <w:t>D. Data Preparation and Cleaning</w:t>
      </w:r>
    </w:p>
    <w:p w14:paraId="766364A8" w14:textId="77777777" w:rsidR="00DD5480" w:rsidRPr="00DD5480" w:rsidRDefault="00DD5480" w:rsidP="00DD5480">
      <w:r w:rsidRPr="00DD5480">
        <w:t>The data preparation followed several structured steps to ensure consistency and analytical integrity. First, all annual files were imported and standardized: column names were converted into a uniform format, and country labels were aligned to ensure they matched across years. Once harmonized, the files were merged into a long-format dataset indexed by country and year.</w:t>
      </w:r>
    </w:p>
    <w:p w14:paraId="5E19698E" w14:textId="77777777" w:rsidR="00DD5480" w:rsidRPr="00DD5480" w:rsidRDefault="00DD5480" w:rsidP="00DD5480">
      <w:r w:rsidRPr="00DD5480">
        <w:t>Rows with missing happiness scores or incomplete sets of explanatory variables were removed. This reduced the initial 782 observations to a final count of 617 complete records, with no duplicate country–year pairs. Numeric variables were converted to appropriate types, cleaned of formatting irregularities, and checked for valid ranges. Remaining gaps in the explanatory variables were addressed using conservative imputation strategies—either within-country interpolation or region-level medians—applied only where necessary and flagged for transparency.</w:t>
      </w:r>
    </w:p>
    <w:p w14:paraId="0FF3556A" w14:textId="77777777" w:rsidR="00DD5480" w:rsidRPr="00DD5480" w:rsidRDefault="00DD5480" w:rsidP="00DD5480">
      <w:r w:rsidRPr="00DD5480">
        <w:t>An interquartile-range (IQR) method was used to identify and remove nine extreme outliers, helping prevent undue influence on statistical models. After these steps, the dataset underwent a final round of integrity checks to verify completeness and consistency before being exported in both long and wide formats for analysis.</w:t>
      </w:r>
    </w:p>
    <w:p w14:paraId="05207B69" w14:textId="77777777" w:rsidR="00DD5480" w:rsidRPr="00DD5480" w:rsidRDefault="00000000" w:rsidP="00DD5480">
      <w:r>
        <w:pict w14:anchorId="4F5DEC6E">
          <v:rect id="_x0000_i1028" style="width:0;height:1.5pt" o:hralign="center" o:hrstd="t" o:hr="t" fillcolor="#a0a0a0" stroked="f"/>
        </w:pict>
      </w:r>
    </w:p>
    <w:p w14:paraId="4A2B0B97" w14:textId="77777777" w:rsidR="00DD5480" w:rsidRPr="00DD5480" w:rsidRDefault="00DD5480" w:rsidP="00DD5480">
      <w:pPr>
        <w:rPr>
          <w:b/>
          <w:bCs/>
        </w:rPr>
      </w:pPr>
      <w:r w:rsidRPr="00DD5480">
        <w:rPr>
          <w:b/>
          <w:bCs/>
        </w:rPr>
        <w:t>E. Data Limitations</w:t>
      </w:r>
    </w:p>
    <w:p w14:paraId="634968E6" w14:textId="024FBDFB" w:rsidR="00B343CE" w:rsidRPr="00DD5480" w:rsidRDefault="00DD5480">
      <w:r w:rsidRPr="00DD5480">
        <w:t>Several considerations should be noted. The 2017 report is excluded due to incompatible variable definitions. Survey coverage varies slightly across years, meaning not all countries appear in each wave. Finally, while most variables originate directly from Gallup surveys, healthy life expectancy and GDP per capita are taken from external international sources, which may introduce minor differences in measurement frequency or methodology.</w:t>
      </w:r>
    </w:p>
    <w:sectPr w:rsidR="00B343CE" w:rsidRPr="00DD5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A7DFC"/>
    <w:multiLevelType w:val="multilevel"/>
    <w:tmpl w:val="1CC8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0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80"/>
    <w:rsid w:val="00167D81"/>
    <w:rsid w:val="001D6794"/>
    <w:rsid w:val="003C4F9A"/>
    <w:rsid w:val="005E190C"/>
    <w:rsid w:val="007A1FF4"/>
    <w:rsid w:val="00B343CE"/>
    <w:rsid w:val="00DD5480"/>
    <w:rsid w:val="00F27920"/>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F6DA"/>
  <w15:chartTrackingRefBased/>
  <w15:docId w15:val="{B92EE57D-D68F-4833-9F1E-9181D8B8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480"/>
    <w:rPr>
      <w:rFonts w:eastAsiaTheme="majorEastAsia" w:cstheme="majorBidi"/>
      <w:color w:val="272727" w:themeColor="text1" w:themeTint="D8"/>
    </w:rPr>
  </w:style>
  <w:style w:type="paragraph" w:styleId="Title">
    <w:name w:val="Title"/>
    <w:basedOn w:val="Normal"/>
    <w:next w:val="Normal"/>
    <w:link w:val="TitleChar"/>
    <w:uiPriority w:val="10"/>
    <w:qFormat/>
    <w:rsid w:val="00DD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480"/>
    <w:pPr>
      <w:spacing w:before="160"/>
      <w:jc w:val="center"/>
    </w:pPr>
    <w:rPr>
      <w:i/>
      <w:iCs/>
      <w:color w:val="404040" w:themeColor="text1" w:themeTint="BF"/>
    </w:rPr>
  </w:style>
  <w:style w:type="character" w:customStyle="1" w:styleId="QuoteChar">
    <w:name w:val="Quote Char"/>
    <w:basedOn w:val="DefaultParagraphFont"/>
    <w:link w:val="Quote"/>
    <w:uiPriority w:val="29"/>
    <w:rsid w:val="00DD5480"/>
    <w:rPr>
      <w:i/>
      <w:iCs/>
      <w:color w:val="404040" w:themeColor="text1" w:themeTint="BF"/>
    </w:rPr>
  </w:style>
  <w:style w:type="paragraph" w:styleId="ListParagraph">
    <w:name w:val="List Paragraph"/>
    <w:basedOn w:val="Normal"/>
    <w:uiPriority w:val="34"/>
    <w:qFormat/>
    <w:rsid w:val="00DD5480"/>
    <w:pPr>
      <w:ind w:left="720"/>
      <w:contextualSpacing/>
    </w:pPr>
  </w:style>
  <w:style w:type="character" w:styleId="IntenseEmphasis">
    <w:name w:val="Intense Emphasis"/>
    <w:basedOn w:val="DefaultParagraphFont"/>
    <w:uiPriority w:val="21"/>
    <w:qFormat/>
    <w:rsid w:val="00DD5480"/>
    <w:rPr>
      <w:i/>
      <w:iCs/>
      <w:color w:val="0F4761" w:themeColor="accent1" w:themeShade="BF"/>
    </w:rPr>
  </w:style>
  <w:style w:type="paragraph" w:styleId="IntenseQuote">
    <w:name w:val="Intense Quote"/>
    <w:basedOn w:val="Normal"/>
    <w:next w:val="Normal"/>
    <w:link w:val="IntenseQuoteChar"/>
    <w:uiPriority w:val="30"/>
    <w:qFormat/>
    <w:rsid w:val="00DD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480"/>
    <w:rPr>
      <w:i/>
      <w:iCs/>
      <w:color w:val="0F4761" w:themeColor="accent1" w:themeShade="BF"/>
    </w:rPr>
  </w:style>
  <w:style w:type="character" w:styleId="IntenseReference">
    <w:name w:val="Intense Reference"/>
    <w:basedOn w:val="DefaultParagraphFont"/>
    <w:uiPriority w:val="32"/>
    <w:qFormat/>
    <w:rsid w:val="00DD5480"/>
    <w:rPr>
      <w:b/>
      <w:bCs/>
      <w:smallCaps/>
      <w:color w:val="0F4761" w:themeColor="accent1" w:themeShade="BF"/>
      <w:spacing w:val="5"/>
    </w:rPr>
  </w:style>
  <w:style w:type="character" w:styleId="Hyperlink">
    <w:name w:val="Hyperlink"/>
    <w:basedOn w:val="DefaultParagraphFont"/>
    <w:uiPriority w:val="99"/>
    <w:unhideWhenUsed/>
    <w:rsid w:val="00167D81"/>
    <w:rPr>
      <w:color w:val="467886" w:themeColor="hyperlink"/>
      <w:u w:val="single"/>
    </w:rPr>
  </w:style>
  <w:style w:type="character" w:styleId="UnresolvedMention">
    <w:name w:val="Unresolved Mention"/>
    <w:basedOn w:val="DefaultParagraphFont"/>
    <w:uiPriority w:val="99"/>
    <w:semiHidden/>
    <w:unhideWhenUsed/>
    <w:rsid w:val="00167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nsdsn/world-happin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LEUNG, Pak Hei</dc:creator>
  <cp:keywords/>
  <dc:description/>
  <cp:lastModifiedBy>LEUNG, Pak Hei</cp:lastModifiedBy>
  <cp:revision>2</cp:revision>
  <dcterms:created xsi:type="dcterms:W3CDTF">2025-11-24T02:39:00Z</dcterms:created>
  <dcterms:modified xsi:type="dcterms:W3CDTF">2025-11-24T02:39:00Z</dcterms:modified>
</cp:coreProperties>
</file>