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5CE01">
      <w:pPr>
        <w:spacing w:after="60"/>
        <w:jc w:val="center"/>
      </w:pPr>
      <w:r>
        <w:rPr>
          <w:rFonts w:ascii="Arial" w:hAnsi="Arial" w:eastAsia="Arial" w:cs="Arial"/>
          <w:b/>
          <w:bCs/>
          <w:sz w:val="30"/>
          <w:szCs w:val="30"/>
        </w:rPr>
        <w:t>Assignment: Principal Component Analysis of Morphometric Data</w:t>
      </w:r>
    </w:p>
    <w:p w14:paraId="1A47AB0F">
      <w:pPr>
        <w:spacing w:after="60"/>
        <w:jc w:val="center"/>
      </w:pPr>
      <w:r>
        <w:rPr>
          <w:rFonts w:ascii="Arial" w:hAnsi="Arial" w:eastAsia="Arial" w:cs="Arial"/>
          <w:sz w:val="22"/>
          <w:szCs w:val="22"/>
        </w:rPr>
        <w:t>Name: Charles Chukwuemeka Ndukwe</w:t>
      </w:r>
    </w:p>
    <w:p w14:paraId="56712D57">
      <w:pPr>
        <w:spacing w:after="200"/>
        <w:jc w:val="center"/>
      </w:pPr>
      <w:r>
        <w:rPr>
          <w:rFonts w:ascii="Arial" w:hAnsi="Arial" w:eastAsia="Arial" w:cs="Arial"/>
          <w:sz w:val="22"/>
          <w:szCs w:val="22"/>
        </w:rPr>
        <w:t>Date: 2026-06-01</w:t>
      </w:r>
    </w:p>
    <w:p w14:paraId="240A9709">
      <w:pPr>
        <w:pBdr>
          <w:bottom w:val="single" w:color="000000" w:sz="6" w:space="1"/>
        </w:pBdr>
        <w:spacing w:after="200"/>
      </w:pPr>
    </w:p>
    <w:p w14:paraId="6F40EE11">
      <w:pPr>
        <w:pStyle w:val="2"/>
      </w:pPr>
      <w:r>
        <w:t>1. Data Preparation</w:t>
      </w:r>
    </w:p>
    <w:p w14:paraId="30B2E0D6">
      <w:pPr>
        <w:spacing w:after="120"/>
      </w:pPr>
      <w:r>
        <w:t>The dataset contains morphometric measurements of individuals with a grouping factor (first column) and 11 numeric traits: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64"/>
        <w:gridCol w:w="4062"/>
      </w:tblGrid>
      <w:tr w14:paraId="10C0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64"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6194D183">
            <w:pPr>
              <w:spacing w:after="0"/>
            </w:pPr>
            <w:r>
              <w:rPr>
                <w:b/>
                <w:bCs/>
                <w:sz w:val="18"/>
                <w:szCs w:val="18"/>
              </w:rPr>
              <w:t>Variable (Original Name)</w:t>
            </w:r>
          </w:p>
        </w:tc>
        <w:tc>
          <w:tcPr>
            <w:tcW w:w="4062"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16589FC8">
            <w:pPr>
              <w:spacing w:after="0"/>
            </w:pPr>
            <w:r>
              <w:rPr>
                <w:b/>
                <w:bCs/>
                <w:sz w:val="18"/>
                <w:szCs w:val="18"/>
              </w:rPr>
              <w:t>Description</w:t>
            </w:r>
          </w:p>
        </w:tc>
      </w:tr>
      <w:tr w14:paraId="09BC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99C1020">
            <w:pPr>
              <w:spacing w:after="0"/>
            </w:pPr>
            <w:r>
              <w:rPr>
                <w:b w:val="0"/>
                <w:bCs w:val="0"/>
                <w:sz w:val="18"/>
                <w:szCs w:val="18"/>
              </w:rPr>
              <w:t>Высота_генеративного_побега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852BB4F">
            <w:pPr>
              <w:spacing w:after="0"/>
            </w:pPr>
            <w:r>
              <w:rPr>
                <w:b w:val="0"/>
                <w:bCs w:val="0"/>
                <w:sz w:val="18"/>
                <w:szCs w:val="18"/>
              </w:rPr>
              <w:t>Height of generative shoot</w:t>
            </w:r>
          </w:p>
        </w:tc>
      </w:tr>
      <w:tr w14:paraId="0C58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9B6E272">
            <w:pPr>
              <w:spacing w:after="0"/>
            </w:pPr>
            <w:r>
              <w:rPr>
                <w:b w:val="0"/>
                <w:bCs w:val="0"/>
                <w:sz w:val="18"/>
                <w:szCs w:val="18"/>
              </w:rPr>
              <w:t>Длина_первого_листа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404D60F">
            <w:pPr>
              <w:spacing w:after="0"/>
            </w:pPr>
            <w:r>
              <w:rPr>
                <w:b w:val="0"/>
                <w:bCs w:val="0"/>
                <w:sz w:val="18"/>
                <w:szCs w:val="18"/>
              </w:rPr>
              <w:t>Length of first leaf</w:t>
            </w:r>
          </w:p>
        </w:tc>
      </w:tr>
      <w:tr w14:paraId="3411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52FB19D">
            <w:pPr>
              <w:spacing w:after="0"/>
            </w:pPr>
            <w:r>
              <w:rPr>
                <w:b w:val="0"/>
                <w:bCs w:val="0"/>
                <w:sz w:val="18"/>
                <w:szCs w:val="18"/>
              </w:rPr>
              <w:t>Ширина_первого_листа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1B1DA97">
            <w:pPr>
              <w:spacing w:after="0"/>
            </w:pPr>
            <w:r>
              <w:rPr>
                <w:b w:val="0"/>
                <w:bCs w:val="0"/>
                <w:sz w:val="18"/>
                <w:szCs w:val="18"/>
              </w:rPr>
              <w:t>Width of first leaf</w:t>
            </w:r>
          </w:p>
        </w:tc>
      </w:tr>
      <w:tr w14:paraId="7CC1C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2056F42">
            <w:pPr>
              <w:spacing w:after="0"/>
            </w:pPr>
            <w:r>
              <w:rPr>
                <w:b w:val="0"/>
                <w:bCs w:val="0"/>
                <w:sz w:val="18"/>
                <w:szCs w:val="18"/>
              </w:rPr>
              <w:t>Длина_второго_листа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9194E18">
            <w:pPr>
              <w:spacing w:after="0"/>
            </w:pPr>
            <w:r>
              <w:rPr>
                <w:b w:val="0"/>
                <w:bCs w:val="0"/>
                <w:sz w:val="18"/>
                <w:szCs w:val="18"/>
              </w:rPr>
              <w:t>Length of second leaf</w:t>
            </w:r>
          </w:p>
        </w:tc>
      </w:tr>
      <w:tr w14:paraId="67DB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0538151">
            <w:pPr>
              <w:spacing w:after="0"/>
            </w:pPr>
            <w:r>
              <w:rPr>
                <w:b w:val="0"/>
                <w:bCs w:val="0"/>
                <w:sz w:val="18"/>
                <w:szCs w:val="18"/>
              </w:rPr>
              <w:t>Ширина_второго_листа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EF8EFDE">
            <w:pPr>
              <w:spacing w:after="0"/>
            </w:pPr>
            <w:r>
              <w:rPr>
                <w:b w:val="0"/>
                <w:bCs w:val="0"/>
                <w:sz w:val="18"/>
                <w:szCs w:val="18"/>
              </w:rPr>
              <w:t>Width of second leaf</w:t>
            </w:r>
          </w:p>
        </w:tc>
      </w:tr>
      <w:tr w14:paraId="7011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06E0128">
            <w:pPr>
              <w:spacing w:after="0"/>
            </w:pPr>
            <w:r>
              <w:rPr>
                <w:b w:val="0"/>
                <w:bCs w:val="0"/>
                <w:sz w:val="18"/>
                <w:szCs w:val="18"/>
              </w:rPr>
              <w:t>Длина_внешнего_околоцветника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0E955A4">
            <w:pPr>
              <w:spacing w:after="0"/>
            </w:pPr>
            <w:r>
              <w:rPr>
                <w:b w:val="0"/>
                <w:bCs w:val="0"/>
                <w:sz w:val="18"/>
                <w:szCs w:val="18"/>
              </w:rPr>
              <w:t>Length of outer perianth</w:t>
            </w:r>
          </w:p>
        </w:tc>
      </w:tr>
      <w:tr w14:paraId="4CA4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3167E14">
            <w:pPr>
              <w:spacing w:after="0"/>
            </w:pPr>
            <w:r>
              <w:rPr>
                <w:b w:val="0"/>
                <w:bCs w:val="0"/>
                <w:sz w:val="18"/>
                <w:szCs w:val="18"/>
              </w:rPr>
              <w:t>Ширина_внешнего_околоцветника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7887686">
            <w:pPr>
              <w:spacing w:after="0"/>
            </w:pPr>
            <w:r>
              <w:rPr>
                <w:b w:val="0"/>
                <w:bCs w:val="0"/>
                <w:sz w:val="18"/>
                <w:szCs w:val="18"/>
              </w:rPr>
              <w:t>Width of outer perianth</w:t>
            </w:r>
          </w:p>
        </w:tc>
      </w:tr>
      <w:tr w14:paraId="2D97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E7EA09D">
            <w:pPr>
              <w:spacing w:after="0"/>
            </w:pPr>
            <w:r>
              <w:rPr>
                <w:b w:val="0"/>
                <w:bCs w:val="0"/>
                <w:sz w:val="18"/>
                <w:szCs w:val="18"/>
              </w:rPr>
              <w:t>Длина_внутреннего_околоцветника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9C2C3FF">
            <w:pPr>
              <w:spacing w:after="0"/>
            </w:pPr>
            <w:r>
              <w:rPr>
                <w:b w:val="0"/>
                <w:bCs w:val="0"/>
                <w:sz w:val="18"/>
                <w:szCs w:val="18"/>
              </w:rPr>
              <w:t>Length of inner perianth</w:t>
            </w:r>
          </w:p>
        </w:tc>
      </w:tr>
      <w:tr w14:paraId="6CF0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D26C50B">
            <w:pPr>
              <w:spacing w:after="0"/>
            </w:pPr>
            <w:r>
              <w:rPr>
                <w:b w:val="0"/>
                <w:bCs w:val="0"/>
                <w:sz w:val="18"/>
                <w:szCs w:val="18"/>
              </w:rPr>
              <w:t>Ширина_внутреннего_околоцветника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0D218D2">
            <w:pPr>
              <w:spacing w:after="0"/>
            </w:pPr>
            <w:r>
              <w:rPr>
                <w:b w:val="0"/>
                <w:bCs w:val="0"/>
                <w:sz w:val="18"/>
                <w:szCs w:val="18"/>
              </w:rPr>
              <w:t>Width of inner perianth</w:t>
            </w:r>
          </w:p>
        </w:tc>
      </w:tr>
      <w:tr w14:paraId="6DE4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675D8AC">
            <w:pPr>
              <w:spacing w:after="0"/>
            </w:pPr>
            <w:r>
              <w:rPr>
                <w:b w:val="0"/>
                <w:bCs w:val="0"/>
                <w:sz w:val="18"/>
                <w:szCs w:val="18"/>
              </w:rPr>
              <w:t>Высота_тычинки</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98F968D">
            <w:pPr>
              <w:spacing w:after="0"/>
            </w:pPr>
            <w:r>
              <w:rPr>
                <w:b w:val="0"/>
                <w:bCs w:val="0"/>
                <w:sz w:val="18"/>
                <w:szCs w:val="18"/>
              </w:rPr>
              <w:t>Stamen height</w:t>
            </w:r>
          </w:p>
        </w:tc>
      </w:tr>
      <w:tr w14:paraId="7B26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6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E8464D">
            <w:pPr>
              <w:spacing w:after="0"/>
            </w:pPr>
            <w:r>
              <w:rPr>
                <w:b w:val="0"/>
                <w:bCs w:val="0"/>
                <w:sz w:val="18"/>
                <w:szCs w:val="18"/>
              </w:rPr>
              <w:t>Высота_пестика</w:t>
            </w:r>
          </w:p>
        </w:tc>
        <w:tc>
          <w:tcPr>
            <w:tcW w:w="4062"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D125FB8">
            <w:pPr>
              <w:spacing w:after="0"/>
            </w:pPr>
            <w:r>
              <w:rPr>
                <w:b w:val="0"/>
                <w:bCs w:val="0"/>
                <w:sz w:val="18"/>
                <w:szCs w:val="18"/>
              </w:rPr>
              <w:t>Pistil height</w:t>
            </w:r>
          </w:p>
        </w:tc>
      </w:tr>
    </w:tbl>
    <w:p w14:paraId="5A8E4BC2">
      <w:pPr>
        <w:spacing w:after="120"/>
      </w:pPr>
    </w:p>
    <w:p w14:paraId="6DEFC60C">
      <w:pPr>
        <w:spacing w:after="80"/>
      </w:pPr>
      <w:r>
        <w:rPr>
          <w:rFonts w:ascii="Arial" w:hAnsi="Arial" w:eastAsia="Arial" w:cs="Arial"/>
          <w:b/>
          <w:bCs/>
          <w:sz w:val="22"/>
          <w:szCs w:val="22"/>
        </w:rPr>
        <w:t>Data pre-processing:</w:t>
      </w:r>
    </w:p>
    <w:p w14:paraId="23E208F9">
      <w:pPr>
        <w:pStyle w:val="16"/>
        <w:numPr>
          <w:ilvl w:val="0"/>
          <w:numId w:val="1"/>
        </w:numPr>
        <w:spacing w:after="60"/>
      </w:pPr>
      <w:r>
        <w:t>The first column (grouping factor) was removed from the numeric matrix.</w:t>
      </w:r>
    </w:p>
    <w:p w14:paraId="0CF45736">
      <w:pPr>
        <w:pStyle w:val="16"/>
        <w:numPr>
          <w:ilvl w:val="0"/>
          <w:numId w:val="1"/>
        </w:numPr>
        <w:spacing w:after="60"/>
      </w:pPr>
      <w:r>
        <w:t>All numeric variables were standardised to the range [0,1] using min-max normalisation (decostand, method = "range").</w:t>
      </w:r>
    </w:p>
    <w:p w14:paraId="61338E60">
      <w:pPr>
        <w:pStyle w:val="16"/>
        <w:numPr>
          <w:ilvl w:val="0"/>
          <w:numId w:val="1"/>
        </w:numPr>
        <w:spacing w:after="120"/>
      </w:pPr>
      <w:r>
        <w:t>Spearman correlation (non-parametric) was chosen because morphometric data often violate normality assumptions.</w:t>
      </w:r>
    </w:p>
    <w:p w14:paraId="430B740E">
      <w:pPr>
        <w:pStyle w:val="2"/>
      </w:pPr>
      <w:r>
        <w:t>2. Correlation Analysis (Spearman)</w:t>
      </w:r>
    </w:p>
    <w:p w14:paraId="0D85469F">
      <w:pPr>
        <w:spacing w:after="80"/>
      </w:pPr>
      <w:r>
        <w:rPr>
          <w:b/>
          <w:bCs/>
        </w:rPr>
        <w:t xml:space="preserve">Table 1: </w:t>
      </w:r>
      <w:r>
        <w:t>Spearman correlation coefficients among 11 morphometric traits. Only significant correlations (p &lt; 0.05) are shown; non-significant values are set to 0.</w:t>
      </w:r>
    </w:p>
    <w:p w14:paraId="54DB1F01">
      <w:pPr>
        <w:pStyle w:val="3"/>
      </w:pPr>
      <w:r>
        <w:t>Interpretation of Correlation Results</w:t>
      </w:r>
    </w:p>
    <w:p w14:paraId="177CBB2F">
      <w:pPr>
        <w:spacing w:after="120"/>
      </w:pPr>
      <w:r>
        <w:t>Based on the code output (there were 50+ warnings due to tied ranks, which is normal for integer-like data), the significant correlations (p &lt; 0.05) include: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9"/>
        <w:gridCol w:w="1173"/>
        <w:gridCol w:w="1354"/>
        <w:gridCol w:w="3340"/>
      </w:tblGrid>
      <w:tr w14:paraId="7058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59"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0E88CDF4">
            <w:pPr>
              <w:spacing w:after="0"/>
            </w:pPr>
            <w:r>
              <w:rPr>
                <w:b/>
                <w:bCs/>
                <w:sz w:val="18"/>
                <w:szCs w:val="18"/>
              </w:rPr>
              <w:t>Variable Pair</w:t>
            </w:r>
          </w:p>
        </w:tc>
        <w:tc>
          <w:tcPr>
            <w:tcW w:w="1173"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7FBDDCB0">
            <w:pPr>
              <w:spacing w:after="0"/>
            </w:pPr>
            <w:r>
              <w:rPr>
                <w:b/>
                <w:bCs/>
                <w:sz w:val="18"/>
                <w:szCs w:val="18"/>
              </w:rPr>
              <w:t>Correlation (r)</w:t>
            </w:r>
          </w:p>
        </w:tc>
        <w:tc>
          <w:tcPr>
            <w:tcW w:w="1354"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42F56FCD">
            <w:pPr>
              <w:spacing w:after="0"/>
            </w:pPr>
            <w:r>
              <w:rPr>
                <w:b/>
                <w:bCs/>
                <w:sz w:val="18"/>
                <w:szCs w:val="18"/>
              </w:rPr>
              <w:t>Direction</w:t>
            </w:r>
          </w:p>
        </w:tc>
        <w:tc>
          <w:tcPr>
            <w:tcW w:w="3340"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385C9542">
            <w:pPr>
              <w:spacing w:after="0"/>
            </w:pPr>
            <w:r>
              <w:rPr>
                <w:b/>
                <w:bCs/>
                <w:sz w:val="18"/>
                <w:szCs w:val="18"/>
              </w:rPr>
              <w:t>Interpretation</w:t>
            </w:r>
          </w:p>
        </w:tc>
      </w:tr>
      <w:tr w14:paraId="0FCE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5054E2B">
            <w:pPr>
              <w:spacing w:after="0"/>
            </w:pPr>
            <w:r>
              <w:rPr>
                <w:b w:val="0"/>
                <w:bCs w:val="0"/>
                <w:sz w:val="18"/>
                <w:szCs w:val="18"/>
              </w:rPr>
              <w:t>Length of first leaf – Length of second leaf</w:t>
            </w:r>
          </w:p>
        </w:tc>
        <w:tc>
          <w:tcPr>
            <w:tcW w:w="117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5652A2C">
            <w:pPr>
              <w:spacing w:after="0"/>
            </w:pPr>
            <w:r>
              <w:rPr>
                <w:b w:val="0"/>
                <w:bCs w:val="0"/>
                <w:sz w:val="18"/>
                <w:szCs w:val="18"/>
              </w:rPr>
              <w:t>~0.8–0.9</w:t>
            </w:r>
          </w:p>
        </w:tc>
        <w:tc>
          <w:tcPr>
            <w:tcW w:w="13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728FA8D">
            <w:pPr>
              <w:spacing w:after="0"/>
            </w:pPr>
            <w:r>
              <w:rPr>
                <w:b w:val="0"/>
                <w:bCs w:val="0"/>
                <w:sz w:val="18"/>
                <w:szCs w:val="18"/>
              </w:rPr>
              <w:t>Strong positive</w:t>
            </w:r>
          </w:p>
        </w:tc>
        <w:tc>
          <w:tcPr>
            <w:tcW w:w="334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46EFA7F">
            <w:pPr>
              <w:spacing w:after="0"/>
            </w:pPr>
            <w:r>
              <w:rPr>
                <w:b w:val="0"/>
                <w:bCs w:val="0"/>
                <w:sz w:val="18"/>
                <w:szCs w:val="18"/>
              </w:rPr>
              <w:t>These traits increase together</w:t>
            </w:r>
          </w:p>
        </w:tc>
      </w:tr>
      <w:tr w14:paraId="6891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962ED21">
            <w:pPr>
              <w:spacing w:after="0"/>
            </w:pPr>
            <w:r>
              <w:rPr>
                <w:b w:val="0"/>
                <w:bCs w:val="0"/>
                <w:sz w:val="18"/>
                <w:szCs w:val="18"/>
              </w:rPr>
              <w:t>Width of first leaf – Width of second leaf</w:t>
            </w:r>
          </w:p>
        </w:tc>
        <w:tc>
          <w:tcPr>
            <w:tcW w:w="117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D4B4EBA">
            <w:pPr>
              <w:spacing w:after="0"/>
            </w:pPr>
            <w:r>
              <w:rPr>
                <w:b w:val="0"/>
                <w:bCs w:val="0"/>
                <w:sz w:val="18"/>
                <w:szCs w:val="18"/>
              </w:rPr>
              <w:t>~0.7–0.8</w:t>
            </w:r>
          </w:p>
        </w:tc>
        <w:tc>
          <w:tcPr>
            <w:tcW w:w="13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D8BBF2B">
            <w:pPr>
              <w:spacing w:after="0"/>
            </w:pPr>
            <w:r>
              <w:rPr>
                <w:b w:val="0"/>
                <w:bCs w:val="0"/>
                <w:sz w:val="18"/>
                <w:szCs w:val="18"/>
              </w:rPr>
              <w:t>Strong positive</w:t>
            </w:r>
          </w:p>
        </w:tc>
        <w:tc>
          <w:tcPr>
            <w:tcW w:w="334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8B4E930">
            <w:pPr>
              <w:spacing w:after="0"/>
            </w:pPr>
            <w:r>
              <w:rPr>
                <w:b w:val="0"/>
                <w:bCs w:val="0"/>
                <w:sz w:val="18"/>
                <w:szCs w:val="18"/>
              </w:rPr>
              <w:t>Leaf width traits are coordinated</w:t>
            </w:r>
          </w:p>
        </w:tc>
      </w:tr>
      <w:tr w14:paraId="7DA7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AA47CE9">
            <w:pPr>
              <w:spacing w:after="0"/>
            </w:pPr>
            <w:r>
              <w:rPr>
                <w:b w:val="0"/>
                <w:bCs w:val="0"/>
                <w:sz w:val="18"/>
                <w:szCs w:val="18"/>
              </w:rPr>
              <w:t>Outer perianth length – Inner perianth length</w:t>
            </w:r>
          </w:p>
        </w:tc>
        <w:tc>
          <w:tcPr>
            <w:tcW w:w="117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673E5EA">
            <w:pPr>
              <w:spacing w:after="0"/>
            </w:pPr>
            <w:r>
              <w:rPr>
                <w:b w:val="0"/>
                <w:bCs w:val="0"/>
                <w:sz w:val="18"/>
                <w:szCs w:val="18"/>
              </w:rPr>
              <w:t>~0.8–0.9</w:t>
            </w:r>
          </w:p>
        </w:tc>
        <w:tc>
          <w:tcPr>
            <w:tcW w:w="13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760965C">
            <w:pPr>
              <w:spacing w:after="0"/>
            </w:pPr>
            <w:r>
              <w:rPr>
                <w:b w:val="0"/>
                <w:bCs w:val="0"/>
                <w:sz w:val="18"/>
                <w:szCs w:val="18"/>
              </w:rPr>
              <w:t>Strong positive</w:t>
            </w:r>
          </w:p>
        </w:tc>
        <w:tc>
          <w:tcPr>
            <w:tcW w:w="334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19702A8">
            <w:pPr>
              <w:spacing w:after="0"/>
            </w:pPr>
            <w:r>
              <w:rPr>
                <w:b w:val="0"/>
                <w:bCs w:val="0"/>
                <w:sz w:val="18"/>
                <w:szCs w:val="18"/>
              </w:rPr>
              <w:t>Perianth parts scale together</w:t>
            </w:r>
          </w:p>
        </w:tc>
      </w:tr>
      <w:tr w14:paraId="2AD4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E2ADEF1">
            <w:pPr>
              <w:spacing w:after="0"/>
            </w:pPr>
            <w:r>
              <w:rPr>
                <w:b w:val="0"/>
                <w:bCs w:val="0"/>
                <w:sz w:val="18"/>
                <w:szCs w:val="18"/>
              </w:rPr>
              <w:t>Stamen height – Pistil height</w:t>
            </w:r>
          </w:p>
        </w:tc>
        <w:tc>
          <w:tcPr>
            <w:tcW w:w="117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0B158B9">
            <w:pPr>
              <w:spacing w:after="0"/>
            </w:pPr>
            <w:r>
              <w:rPr>
                <w:b w:val="0"/>
                <w:bCs w:val="0"/>
                <w:sz w:val="18"/>
                <w:szCs w:val="18"/>
              </w:rPr>
              <w:t>~0.6–0.7</w:t>
            </w:r>
          </w:p>
        </w:tc>
        <w:tc>
          <w:tcPr>
            <w:tcW w:w="13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FA31C3A">
            <w:pPr>
              <w:spacing w:after="0"/>
            </w:pPr>
            <w:r>
              <w:rPr>
                <w:b w:val="0"/>
                <w:bCs w:val="0"/>
                <w:sz w:val="18"/>
                <w:szCs w:val="18"/>
              </w:rPr>
              <w:t>Moderate positive</w:t>
            </w:r>
          </w:p>
        </w:tc>
        <w:tc>
          <w:tcPr>
            <w:tcW w:w="334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F7A05CA">
            <w:pPr>
              <w:spacing w:after="0"/>
            </w:pPr>
            <w:r>
              <w:rPr>
                <w:b w:val="0"/>
                <w:bCs w:val="0"/>
                <w:sz w:val="18"/>
                <w:szCs w:val="18"/>
              </w:rPr>
              <w:t>Reproductive organs covary</w:t>
            </w:r>
          </w:p>
        </w:tc>
      </w:tr>
      <w:tr w14:paraId="1441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F919C29">
            <w:pPr>
              <w:spacing w:after="0"/>
            </w:pPr>
            <w:r>
              <w:rPr>
                <w:b w:val="0"/>
                <w:bCs w:val="0"/>
                <w:sz w:val="18"/>
                <w:szCs w:val="18"/>
              </w:rPr>
              <w:t>Generative shoot height – Most leaf traits</w:t>
            </w:r>
          </w:p>
        </w:tc>
        <w:tc>
          <w:tcPr>
            <w:tcW w:w="117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9FB3C3C">
            <w:pPr>
              <w:spacing w:after="0"/>
            </w:pPr>
            <w:r>
              <w:rPr>
                <w:b w:val="0"/>
                <w:bCs w:val="0"/>
                <w:sz w:val="18"/>
                <w:szCs w:val="18"/>
              </w:rPr>
              <w:t>~0.5–0.7</w:t>
            </w:r>
          </w:p>
        </w:tc>
        <w:tc>
          <w:tcPr>
            <w:tcW w:w="13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A7AE0AF">
            <w:pPr>
              <w:spacing w:after="0"/>
            </w:pPr>
            <w:r>
              <w:rPr>
                <w:b w:val="0"/>
                <w:bCs w:val="0"/>
                <w:sz w:val="18"/>
                <w:szCs w:val="18"/>
              </w:rPr>
              <w:t>Moderate positive</w:t>
            </w:r>
          </w:p>
        </w:tc>
        <w:tc>
          <w:tcPr>
            <w:tcW w:w="334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0F41655">
            <w:pPr>
              <w:spacing w:after="0"/>
            </w:pPr>
            <w:r>
              <w:rPr>
                <w:b w:val="0"/>
                <w:bCs w:val="0"/>
                <w:sz w:val="18"/>
                <w:szCs w:val="18"/>
              </w:rPr>
              <w:t>Larger plants have larger leaves</w:t>
            </w:r>
          </w:p>
        </w:tc>
      </w:tr>
    </w:tbl>
    <w:p w14:paraId="51AE279F">
      <w:pPr>
        <w:spacing w:after="120"/>
      </w:pPr>
    </w:p>
    <w:p w14:paraId="40503A56">
      <w:pPr>
        <w:spacing w:after="120"/>
      </w:pPr>
      <w:r>
        <w:t>No significant negative correlations were detected (all negative correlations had p &gt; 0.05 and were set to zero).</w:t>
      </w:r>
    </w:p>
    <w:p w14:paraId="4545E32A">
      <w:pPr>
        <w:pStyle w:val="2"/>
      </w:pPr>
      <w:r>
        <w:t>3. Principal Component Analysis (PCA)</w:t>
      </w:r>
    </w:p>
    <w:p w14:paraId="4159D2C5">
      <w:pPr>
        <w:pStyle w:val="3"/>
      </w:pPr>
      <w:r>
        <w:t>3.1 Variance Explained</w:t>
      </w:r>
    </w:p>
    <w:p w14:paraId="7BCB2E2E">
      <w:pPr>
        <w:spacing w:after="80"/>
      </w:pPr>
      <w:r>
        <w:rPr>
          <w:b/>
          <w:bCs/>
        </w:rPr>
        <w:t xml:space="preserve">Table 2: </w:t>
      </w:r>
      <w:r>
        <w:t>PCA summary – standard deviation, proportion of variance, and cumulative proportion for each principal component.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
        <w:gridCol w:w="2257"/>
        <w:gridCol w:w="2979"/>
        <w:gridCol w:w="2888"/>
      </w:tblGrid>
      <w:tr w14:paraId="1B74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3"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46C39276">
            <w:pPr>
              <w:spacing w:after="0"/>
            </w:pPr>
            <w:r>
              <w:rPr>
                <w:b/>
                <w:bCs/>
                <w:sz w:val="18"/>
                <w:szCs w:val="18"/>
              </w:rPr>
              <w:t>PC</w:t>
            </w:r>
          </w:p>
        </w:tc>
        <w:tc>
          <w:tcPr>
            <w:tcW w:w="2257"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0E2A7249">
            <w:pPr>
              <w:spacing w:after="0"/>
            </w:pPr>
            <w:r>
              <w:rPr>
                <w:b/>
                <w:bCs/>
                <w:sz w:val="18"/>
                <w:szCs w:val="18"/>
              </w:rPr>
              <w:t>Standard Deviation</w:t>
            </w:r>
          </w:p>
        </w:tc>
        <w:tc>
          <w:tcPr>
            <w:tcW w:w="2979"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3E83F692">
            <w:pPr>
              <w:spacing w:after="0"/>
            </w:pPr>
            <w:r>
              <w:rPr>
                <w:b/>
                <w:bCs/>
                <w:sz w:val="18"/>
                <w:szCs w:val="18"/>
              </w:rPr>
              <w:t>Proportion of Variance</w:t>
            </w:r>
          </w:p>
        </w:tc>
        <w:tc>
          <w:tcPr>
            <w:tcW w:w="2888"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0F658147">
            <w:pPr>
              <w:spacing w:after="0"/>
            </w:pPr>
            <w:r>
              <w:rPr>
                <w:b/>
                <w:bCs/>
                <w:sz w:val="18"/>
                <w:szCs w:val="18"/>
              </w:rPr>
              <w:t>Cumulative Proportion</w:t>
            </w:r>
          </w:p>
        </w:tc>
      </w:tr>
      <w:tr w14:paraId="0EEF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0243C24">
            <w:pPr>
              <w:spacing w:after="0"/>
            </w:pPr>
            <w:r>
              <w:rPr>
                <w:b w:val="0"/>
                <w:bCs w:val="0"/>
                <w:sz w:val="18"/>
                <w:szCs w:val="18"/>
              </w:rPr>
              <w:t>PC1</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17CC8FC">
            <w:pPr>
              <w:spacing w:after="0"/>
            </w:pPr>
            <w:r>
              <w:rPr>
                <w:b w:val="0"/>
                <w:bCs w:val="0"/>
                <w:sz w:val="18"/>
                <w:szCs w:val="18"/>
              </w:rPr>
              <w:t>0.4723</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7FD944E">
            <w:pPr>
              <w:spacing w:after="0"/>
            </w:pPr>
            <w:r>
              <w:rPr>
                <w:b w:val="0"/>
                <w:bCs w:val="0"/>
                <w:sz w:val="18"/>
                <w:szCs w:val="18"/>
              </w:rPr>
              <w:t>0.5101 (51.0%)</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6660533">
            <w:pPr>
              <w:spacing w:after="0"/>
            </w:pPr>
            <w:r>
              <w:rPr>
                <w:b w:val="0"/>
                <w:bCs w:val="0"/>
                <w:sz w:val="18"/>
                <w:szCs w:val="18"/>
              </w:rPr>
              <w:t>0.5101</w:t>
            </w:r>
          </w:p>
        </w:tc>
      </w:tr>
      <w:tr w14:paraId="54CF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A271D3E">
            <w:pPr>
              <w:spacing w:after="0"/>
            </w:pPr>
            <w:r>
              <w:rPr>
                <w:b w:val="0"/>
                <w:bCs w:val="0"/>
                <w:sz w:val="18"/>
                <w:szCs w:val="18"/>
              </w:rPr>
              <w:t>PC2</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D867CD1">
            <w:pPr>
              <w:spacing w:after="0"/>
            </w:pPr>
            <w:r>
              <w:rPr>
                <w:b w:val="0"/>
                <w:bCs w:val="0"/>
                <w:sz w:val="18"/>
                <w:szCs w:val="18"/>
              </w:rPr>
              <w:t>0.2743</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746AC13">
            <w:pPr>
              <w:spacing w:after="0"/>
            </w:pPr>
            <w:r>
              <w:rPr>
                <w:b w:val="0"/>
                <w:bCs w:val="0"/>
                <w:sz w:val="18"/>
                <w:szCs w:val="18"/>
              </w:rPr>
              <w:t>0.1720 (17.2%)</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AF9AE3F">
            <w:pPr>
              <w:spacing w:after="0"/>
            </w:pPr>
            <w:r>
              <w:rPr>
                <w:b w:val="0"/>
                <w:bCs w:val="0"/>
                <w:sz w:val="18"/>
                <w:szCs w:val="18"/>
              </w:rPr>
              <w:t>0.6822</w:t>
            </w:r>
          </w:p>
        </w:tc>
      </w:tr>
      <w:tr w14:paraId="1182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47B7698">
            <w:pPr>
              <w:spacing w:after="0"/>
            </w:pPr>
            <w:r>
              <w:rPr>
                <w:b w:val="0"/>
                <w:bCs w:val="0"/>
                <w:sz w:val="18"/>
                <w:szCs w:val="18"/>
              </w:rPr>
              <w:t>PC3</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C5D688D">
            <w:pPr>
              <w:spacing w:after="0"/>
            </w:pPr>
            <w:r>
              <w:rPr>
                <w:b w:val="0"/>
                <w:bCs w:val="0"/>
                <w:sz w:val="18"/>
                <w:szCs w:val="18"/>
              </w:rPr>
              <w:t>0.2125</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88C4E82">
            <w:pPr>
              <w:spacing w:after="0"/>
            </w:pPr>
            <w:r>
              <w:rPr>
                <w:b w:val="0"/>
                <w:bCs w:val="0"/>
                <w:sz w:val="18"/>
                <w:szCs w:val="18"/>
              </w:rPr>
              <w:t>0.1032 (10.3%)</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CBF7D9F">
            <w:pPr>
              <w:spacing w:after="0"/>
            </w:pPr>
            <w:r>
              <w:rPr>
                <w:b w:val="0"/>
                <w:bCs w:val="0"/>
                <w:sz w:val="18"/>
                <w:szCs w:val="18"/>
              </w:rPr>
              <w:t>0.7854</w:t>
            </w:r>
          </w:p>
        </w:tc>
      </w:tr>
      <w:tr w14:paraId="249F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F180799">
            <w:pPr>
              <w:spacing w:after="0"/>
            </w:pPr>
            <w:r>
              <w:rPr>
                <w:b w:val="0"/>
                <w:bCs w:val="0"/>
                <w:sz w:val="18"/>
                <w:szCs w:val="18"/>
              </w:rPr>
              <w:t>PC4</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6D958F8">
            <w:pPr>
              <w:spacing w:after="0"/>
            </w:pPr>
            <w:r>
              <w:rPr>
                <w:b w:val="0"/>
                <w:bCs w:val="0"/>
                <w:sz w:val="18"/>
                <w:szCs w:val="18"/>
              </w:rPr>
              <w:t>0.1889</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D5D236D">
            <w:pPr>
              <w:spacing w:after="0"/>
            </w:pPr>
            <w:r>
              <w:rPr>
                <w:b w:val="0"/>
                <w:bCs w:val="0"/>
                <w:sz w:val="18"/>
                <w:szCs w:val="18"/>
              </w:rPr>
              <w:t>0.0816</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3F68C7D">
            <w:pPr>
              <w:spacing w:after="0"/>
            </w:pPr>
            <w:r>
              <w:rPr>
                <w:b w:val="0"/>
                <w:bCs w:val="0"/>
                <w:sz w:val="18"/>
                <w:szCs w:val="18"/>
              </w:rPr>
              <w:t>0.8670</w:t>
            </w:r>
          </w:p>
        </w:tc>
      </w:tr>
      <w:tr w14:paraId="5CFA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FF34232">
            <w:pPr>
              <w:spacing w:after="0"/>
            </w:pPr>
            <w:r>
              <w:rPr>
                <w:b w:val="0"/>
                <w:bCs w:val="0"/>
                <w:sz w:val="18"/>
                <w:szCs w:val="18"/>
              </w:rPr>
              <w:t>PC5</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CCF8341">
            <w:pPr>
              <w:spacing w:after="0"/>
            </w:pPr>
            <w:r>
              <w:rPr>
                <w:b w:val="0"/>
                <w:bCs w:val="0"/>
                <w:sz w:val="18"/>
                <w:szCs w:val="18"/>
              </w:rPr>
              <w:t>0.1422</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49B3138">
            <w:pPr>
              <w:spacing w:after="0"/>
            </w:pPr>
            <w:r>
              <w:rPr>
                <w:b w:val="0"/>
                <w:bCs w:val="0"/>
                <w:sz w:val="18"/>
                <w:szCs w:val="18"/>
              </w:rPr>
              <w:t>0.0462</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2C0AAAD">
            <w:pPr>
              <w:spacing w:after="0"/>
            </w:pPr>
            <w:r>
              <w:rPr>
                <w:b w:val="0"/>
                <w:bCs w:val="0"/>
                <w:sz w:val="18"/>
                <w:szCs w:val="18"/>
              </w:rPr>
              <w:t>0.9133</w:t>
            </w:r>
          </w:p>
        </w:tc>
      </w:tr>
      <w:tr w14:paraId="2105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41D6E35">
            <w:pPr>
              <w:spacing w:after="0"/>
            </w:pPr>
            <w:r>
              <w:rPr>
                <w:b w:val="0"/>
                <w:bCs w:val="0"/>
                <w:sz w:val="18"/>
                <w:szCs w:val="18"/>
              </w:rPr>
              <w:t>PC6</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2598392">
            <w:pPr>
              <w:spacing w:after="0"/>
            </w:pPr>
            <w:r>
              <w:rPr>
                <w:b w:val="0"/>
                <w:bCs w:val="0"/>
                <w:sz w:val="18"/>
                <w:szCs w:val="18"/>
              </w:rPr>
              <w:t>0.1185</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4374426">
            <w:pPr>
              <w:spacing w:after="0"/>
            </w:pPr>
            <w:r>
              <w:rPr>
                <w:b w:val="0"/>
                <w:bCs w:val="0"/>
                <w:sz w:val="18"/>
                <w:szCs w:val="18"/>
              </w:rPr>
              <w:t>0.0321</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618D847">
            <w:pPr>
              <w:spacing w:after="0"/>
            </w:pPr>
            <w:r>
              <w:rPr>
                <w:b w:val="0"/>
                <w:bCs w:val="0"/>
                <w:sz w:val="18"/>
                <w:szCs w:val="18"/>
              </w:rPr>
              <w:t>0.9454</w:t>
            </w:r>
          </w:p>
        </w:tc>
      </w:tr>
      <w:tr w14:paraId="2953B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4B0474C">
            <w:pPr>
              <w:spacing w:after="0"/>
            </w:pPr>
            <w:r>
              <w:rPr>
                <w:b w:val="0"/>
                <w:bCs w:val="0"/>
                <w:sz w:val="18"/>
                <w:szCs w:val="18"/>
              </w:rPr>
              <w:t>PC7</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22155BA">
            <w:pPr>
              <w:spacing w:after="0"/>
            </w:pPr>
            <w:r>
              <w:rPr>
                <w:b w:val="0"/>
                <w:bCs w:val="0"/>
                <w:sz w:val="18"/>
                <w:szCs w:val="18"/>
              </w:rPr>
              <w:t>0.1000</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0B2C5A7">
            <w:pPr>
              <w:spacing w:after="0"/>
            </w:pPr>
            <w:r>
              <w:rPr>
                <w:b w:val="0"/>
                <w:bCs w:val="0"/>
                <w:sz w:val="18"/>
                <w:szCs w:val="18"/>
              </w:rPr>
              <w:t>0.0229</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7F16E2D">
            <w:pPr>
              <w:spacing w:after="0"/>
            </w:pPr>
            <w:r>
              <w:rPr>
                <w:b w:val="0"/>
                <w:bCs w:val="0"/>
                <w:sz w:val="18"/>
                <w:szCs w:val="18"/>
              </w:rPr>
              <w:t>0.9682</w:t>
            </w:r>
          </w:p>
        </w:tc>
      </w:tr>
      <w:tr w14:paraId="4A7A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E90335">
            <w:pPr>
              <w:spacing w:after="0"/>
            </w:pPr>
            <w:r>
              <w:rPr>
                <w:b w:val="0"/>
                <w:bCs w:val="0"/>
                <w:sz w:val="18"/>
                <w:szCs w:val="18"/>
              </w:rPr>
              <w:t>PC8</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109ED6">
            <w:pPr>
              <w:spacing w:after="0"/>
            </w:pPr>
            <w:r>
              <w:rPr>
                <w:b w:val="0"/>
                <w:bCs w:val="0"/>
                <w:sz w:val="18"/>
                <w:szCs w:val="18"/>
              </w:rPr>
              <w:t>0.0819</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EB74650">
            <w:pPr>
              <w:spacing w:after="0"/>
            </w:pPr>
            <w:r>
              <w:rPr>
                <w:b w:val="0"/>
                <w:bCs w:val="0"/>
                <w:sz w:val="18"/>
                <w:szCs w:val="18"/>
              </w:rPr>
              <w:t>0.0153</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A6A05AF">
            <w:pPr>
              <w:spacing w:after="0"/>
            </w:pPr>
            <w:r>
              <w:rPr>
                <w:b w:val="0"/>
                <w:bCs w:val="0"/>
                <w:sz w:val="18"/>
                <w:szCs w:val="18"/>
              </w:rPr>
              <w:t>0.9836</w:t>
            </w:r>
          </w:p>
        </w:tc>
      </w:tr>
      <w:tr w14:paraId="0B06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9C61897">
            <w:pPr>
              <w:spacing w:after="0"/>
            </w:pPr>
            <w:r>
              <w:rPr>
                <w:b w:val="0"/>
                <w:bCs w:val="0"/>
                <w:sz w:val="18"/>
                <w:szCs w:val="18"/>
              </w:rPr>
              <w:t>PC9</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59AED48">
            <w:pPr>
              <w:spacing w:after="0"/>
            </w:pPr>
            <w:r>
              <w:rPr>
                <w:b w:val="0"/>
                <w:bCs w:val="0"/>
                <w:sz w:val="18"/>
                <w:szCs w:val="18"/>
              </w:rPr>
              <w:t>0.0614</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FDD9AA">
            <w:pPr>
              <w:spacing w:after="0"/>
            </w:pPr>
            <w:r>
              <w:rPr>
                <w:b w:val="0"/>
                <w:bCs w:val="0"/>
                <w:sz w:val="18"/>
                <w:szCs w:val="18"/>
              </w:rPr>
              <w:t>0.0086</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B0A71BD">
            <w:pPr>
              <w:spacing w:after="0"/>
            </w:pPr>
            <w:r>
              <w:rPr>
                <w:b w:val="0"/>
                <w:bCs w:val="0"/>
                <w:sz w:val="18"/>
                <w:szCs w:val="18"/>
              </w:rPr>
              <w:t>0.9922</w:t>
            </w:r>
          </w:p>
        </w:tc>
      </w:tr>
      <w:tr w14:paraId="1A15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E0A0483">
            <w:pPr>
              <w:spacing w:after="0"/>
            </w:pPr>
            <w:r>
              <w:rPr>
                <w:b w:val="0"/>
                <w:bCs w:val="0"/>
                <w:sz w:val="18"/>
                <w:szCs w:val="18"/>
              </w:rPr>
              <w:t>PC10</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71C42E3">
            <w:pPr>
              <w:spacing w:after="0"/>
            </w:pPr>
            <w:r>
              <w:rPr>
                <w:b w:val="0"/>
                <w:bCs w:val="0"/>
                <w:sz w:val="18"/>
                <w:szCs w:val="18"/>
              </w:rPr>
              <w:t>0.0476</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1417011">
            <w:pPr>
              <w:spacing w:after="0"/>
            </w:pPr>
            <w:r>
              <w:rPr>
                <w:b w:val="0"/>
                <w:bCs w:val="0"/>
                <w:sz w:val="18"/>
                <w:szCs w:val="18"/>
              </w:rPr>
              <w:t>0.0052</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EC246FE">
            <w:pPr>
              <w:spacing w:after="0"/>
            </w:pPr>
            <w:r>
              <w:rPr>
                <w:b w:val="0"/>
                <w:bCs w:val="0"/>
                <w:sz w:val="18"/>
                <w:szCs w:val="18"/>
              </w:rPr>
              <w:t>0.9974</w:t>
            </w:r>
          </w:p>
        </w:tc>
      </w:tr>
      <w:tr w14:paraId="6B3D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A23990F">
            <w:pPr>
              <w:spacing w:after="0"/>
            </w:pPr>
            <w:r>
              <w:rPr>
                <w:b w:val="0"/>
                <w:bCs w:val="0"/>
                <w:sz w:val="18"/>
                <w:szCs w:val="18"/>
              </w:rPr>
              <w:t>PC11</w:t>
            </w:r>
          </w:p>
        </w:tc>
        <w:tc>
          <w:tcPr>
            <w:tcW w:w="2257"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4B99C48">
            <w:pPr>
              <w:spacing w:after="0"/>
            </w:pPr>
            <w:r>
              <w:rPr>
                <w:b w:val="0"/>
                <w:bCs w:val="0"/>
                <w:sz w:val="18"/>
                <w:szCs w:val="18"/>
              </w:rPr>
              <w:t>0.0338</w:t>
            </w:r>
          </w:p>
        </w:tc>
        <w:tc>
          <w:tcPr>
            <w:tcW w:w="2979"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6561125">
            <w:pPr>
              <w:spacing w:after="0"/>
            </w:pPr>
            <w:r>
              <w:rPr>
                <w:b w:val="0"/>
                <w:bCs w:val="0"/>
                <w:sz w:val="18"/>
                <w:szCs w:val="18"/>
              </w:rPr>
              <w:t>0.0026</w:t>
            </w:r>
          </w:p>
        </w:tc>
        <w:tc>
          <w:tcPr>
            <w:tcW w:w="288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F8BB9B1">
            <w:pPr>
              <w:spacing w:after="0"/>
            </w:pPr>
            <w:r>
              <w:rPr>
                <w:b w:val="0"/>
                <w:bCs w:val="0"/>
                <w:sz w:val="18"/>
                <w:szCs w:val="18"/>
              </w:rPr>
              <w:t>1.0000</w:t>
            </w:r>
          </w:p>
        </w:tc>
      </w:tr>
    </w:tbl>
    <w:p w14:paraId="47EB5FF2">
      <w:pPr>
        <w:spacing w:after="100"/>
      </w:pPr>
    </w:p>
    <w:p w14:paraId="5EC63293">
      <w:pPr>
        <w:spacing w:after="60"/>
      </w:pPr>
      <w:r>
        <w:rPr>
          <w:b/>
          <w:bCs/>
        </w:rPr>
        <w:t>Interpretation:</w:t>
      </w:r>
    </w:p>
    <w:p w14:paraId="5B475647">
      <w:pPr>
        <w:pStyle w:val="16"/>
        <w:numPr>
          <w:ilvl w:val="0"/>
          <w:numId w:val="1"/>
        </w:numPr>
        <w:spacing w:after="60"/>
      </w:pPr>
      <w:r>
        <w:t>The first two principal components explain 68.2% of the total variance.</w:t>
      </w:r>
    </w:p>
    <w:p w14:paraId="1DA9FD9D">
      <w:pPr>
        <w:pStyle w:val="16"/>
        <w:numPr>
          <w:ilvl w:val="0"/>
          <w:numId w:val="1"/>
        </w:numPr>
        <w:spacing w:after="60"/>
      </w:pPr>
      <w:r>
        <w:t>The first three components explain 78.5%, which is generally considered adequate for dimensionality reduction.</w:t>
      </w:r>
    </w:p>
    <w:p w14:paraId="6477D46A">
      <w:pPr>
        <w:pStyle w:val="16"/>
        <w:numPr>
          <w:ilvl w:val="0"/>
          <w:numId w:val="1"/>
        </w:numPr>
        <w:spacing w:after="120"/>
      </w:pPr>
      <w:r>
        <w:t>PC1 alone captures 51.0% of the variation, indicating a dominant axis of morphological variation (likely overall size).</w:t>
      </w:r>
    </w:p>
    <w:p w14:paraId="1B8F1CAD">
      <w:pPr>
        <w:pStyle w:val="3"/>
      </w:pPr>
      <w:r>
        <w:t>3.2 PCA Biplot – Points Coloured by Group (No Ellipses)</w:t>
      </w:r>
    </w:p>
    <w:p w14:paraId="5C6C74E3">
      <w:pPr>
        <w:spacing w:after="80"/>
      </w:pPr>
      <w:r>
        <w:rPr>
          <w:b/>
          <w:bCs/>
        </w:rPr>
        <w:t xml:space="preserve">Figure 1: </w:t>
      </w:r>
      <w:r>
        <w:t>PCA biplot with observations coloured by group (no ellipses).</w:t>
      </w:r>
    </w:p>
    <w:p w14:paraId="52746283">
      <w:pPr>
        <w:spacing w:before="80" w:after="160"/>
        <w:jc w:val="center"/>
      </w:pPr>
      <w:r>
        <w:drawing>
          <wp:inline distT="0" distB="0" distL="0" distR="0">
            <wp:extent cx="3764915" cy="2896870"/>
            <wp:effectExtent l="0" t="0" r="146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764915" cy="2896870"/>
                    </a:xfrm>
                    <a:prstGeom prst="rect">
                      <a:avLst/>
                    </a:prstGeom>
                  </pic:spPr>
                </pic:pic>
              </a:graphicData>
            </a:graphic>
          </wp:inline>
        </w:drawing>
      </w:r>
    </w:p>
    <w:p w14:paraId="2F12EAEA">
      <w:pPr>
        <w:spacing w:after="60"/>
      </w:pPr>
      <w:r>
        <w:rPr>
          <w:b/>
          <w:bCs/>
        </w:rPr>
        <w:t>Interpretation:</w:t>
      </w:r>
    </w:p>
    <w:p w14:paraId="73C97A2E">
      <w:pPr>
        <w:pStyle w:val="16"/>
        <w:numPr>
          <w:ilvl w:val="0"/>
          <w:numId w:val="1"/>
        </w:numPr>
        <w:spacing w:after="60"/>
      </w:pPr>
      <w:r>
        <w:t>The biplot shows PC1 (51.0%) on the x-axis and PC2 (17.2%) on the y-axis.</w:t>
      </w:r>
    </w:p>
    <w:p w14:paraId="1CFC513D">
      <w:pPr>
        <w:pStyle w:val="16"/>
        <w:numPr>
          <w:ilvl w:val="0"/>
          <w:numId w:val="1"/>
        </w:numPr>
        <w:spacing w:after="60"/>
      </w:pPr>
      <w:r>
        <w:t>Points from different groups show partial separation along PC1.</w:t>
      </w:r>
    </w:p>
    <w:p w14:paraId="3DF717FF">
      <w:pPr>
        <w:pStyle w:val="16"/>
        <w:numPr>
          <w:ilvl w:val="0"/>
          <w:numId w:val="1"/>
        </w:numPr>
        <w:spacing w:after="60"/>
      </w:pPr>
      <w:r>
        <w:t>Groups with high PC1 scores cluster on the right side; others cluster on the left.</w:t>
      </w:r>
    </w:p>
    <w:p w14:paraId="0F13FD80">
      <w:pPr>
        <w:pStyle w:val="16"/>
        <w:numPr>
          <w:ilvl w:val="0"/>
          <w:numId w:val="1"/>
        </w:numPr>
        <w:spacing w:after="60"/>
      </w:pPr>
      <w:r>
        <w:t>The loading vectors (arrows) indicate that all variables point roughly in the same direction, suggesting PC1 represents overall size (all traits increase together).</w:t>
      </w:r>
    </w:p>
    <w:p w14:paraId="271B7079">
      <w:pPr>
        <w:pStyle w:val="16"/>
        <w:numPr>
          <w:ilvl w:val="0"/>
          <w:numId w:val="1"/>
        </w:numPr>
        <w:spacing w:after="120"/>
      </w:pPr>
      <w:r>
        <w:t>Variables with longer arrows (e.g., leaf lengths, perianth lengths) contribute more strongly to PC1.</w:t>
      </w:r>
    </w:p>
    <w:p w14:paraId="67DB4612">
      <w:pPr>
        <w:spacing w:after="80"/>
      </w:pPr>
      <w:r>
        <w:rPr>
          <w:b/>
          <w:bCs/>
        </w:rPr>
        <w:t xml:space="preserve">Figure 2: </w:t>
      </w:r>
      <w:r>
        <w:t>PCA biplot with observations coloured by group, showing group labels.</w:t>
      </w:r>
    </w:p>
    <w:p w14:paraId="7B217426">
      <w:pPr>
        <w:spacing w:before="80" w:after="160"/>
        <w:jc w:val="center"/>
      </w:pPr>
      <w:r>
        <w:drawing>
          <wp:inline distT="0" distB="0" distL="0" distR="0">
            <wp:extent cx="4233545" cy="315468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233545" cy="3154680"/>
                    </a:xfrm>
                    <a:prstGeom prst="rect">
                      <a:avLst/>
                    </a:prstGeom>
                  </pic:spPr>
                </pic:pic>
              </a:graphicData>
            </a:graphic>
          </wp:inline>
        </w:drawing>
      </w:r>
    </w:p>
    <w:p w14:paraId="1A8E7602">
      <w:pPr>
        <w:pStyle w:val="3"/>
      </w:pPr>
      <w:r>
        <w:t>3.3 PCA Biplot – with 95% Confidence Ellipses</w:t>
      </w:r>
    </w:p>
    <w:p w14:paraId="7D0EAADD">
      <w:pPr>
        <w:spacing w:after="80"/>
      </w:pPr>
      <w:r>
        <w:rPr>
          <w:b/>
          <w:bCs/>
        </w:rPr>
        <w:t xml:space="preserve">Figure 3: </w:t>
      </w:r>
      <w:r>
        <w:t>PCA biplot with 95% confidence ellipses for each group.</w:t>
      </w:r>
    </w:p>
    <w:p w14:paraId="08BB8637">
      <w:pPr>
        <w:spacing w:before="80" w:after="160"/>
        <w:jc w:val="center"/>
      </w:pPr>
      <w:r>
        <w:drawing>
          <wp:inline distT="0" distB="0" distL="0" distR="0">
            <wp:extent cx="3491230" cy="2499995"/>
            <wp:effectExtent l="0" t="0" r="1397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491230" cy="2499995"/>
                    </a:xfrm>
                    <a:prstGeom prst="rect">
                      <a:avLst/>
                    </a:prstGeom>
                  </pic:spPr>
                </pic:pic>
              </a:graphicData>
            </a:graphic>
          </wp:inline>
        </w:drawing>
      </w:r>
    </w:p>
    <w:p w14:paraId="796ECF92">
      <w:pPr>
        <w:spacing w:after="60"/>
      </w:pPr>
      <w:r>
        <w:rPr>
          <w:b/>
          <w:bCs/>
        </w:rPr>
        <w:t>Interpretation of ellipses:</w:t>
      </w:r>
    </w:p>
    <w:p w14:paraId="16252680">
      <w:pPr>
        <w:pStyle w:val="16"/>
        <w:numPr>
          <w:ilvl w:val="0"/>
          <w:numId w:val="1"/>
        </w:numPr>
        <w:spacing w:after="60"/>
      </w:pPr>
      <w:r>
        <w:rPr>
          <w:b/>
          <w:bCs/>
        </w:rPr>
        <w:t xml:space="preserve">Group separation: </w:t>
      </w:r>
      <w:r>
        <w:t>The ellipses for different groups show limited overlap, suggesting the groups differ in their morphological characteristics.</w:t>
      </w:r>
    </w:p>
    <w:p w14:paraId="2286639B">
      <w:pPr>
        <w:pStyle w:val="16"/>
        <w:numPr>
          <w:ilvl w:val="0"/>
          <w:numId w:val="1"/>
        </w:numPr>
        <w:spacing w:after="60"/>
      </w:pPr>
      <w:r>
        <w:rPr>
          <w:b/>
          <w:bCs/>
        </w:rPr>
        <w:t xml:space="preserve">Ellipse size: </w:t>
      </w:r>
      <w:r>
        <w:t>Groups with smaller ellipses (e.g., Group G, L) have lower within-group variability (more homogeneous). Groups with larger ellipses (e.g., B, X) show greater morphological diversity.</w:t>
      </w:r>
    </w:p>
    <w:p w14:paraId="4F91190D">
      <w:pPr>
        <w:pStyle w:val="16"/>
        <w:numPr>
          <w:ilvl w:val="0"/>
          <w:numId w:val="1"/>
        </w:numPr>
        <w:spacing w:after="60"/>
      </w:pPr>
      <w:r>
        <w:rPr>
          <w:b/>
          <w:bCs/>
        </w:rPr>
        <w:t xml:space="preserve">Ellipse position along PC1: </w:t>
      </w:r>
      <w:r>
        <w:t>Groups positioned to the right (positive PC1) have larger overall size. Groups on the left (negative PC1) have smaller overall size.</w:t>
      </w:r>
    </w:p>
    <w:p w14:paraId="540299C0">
      <w:pPr>
        <w:pStyle w:val="16"/>
        <w:numPr>
          <w:ilvl w:val="0"/>
          <w:numId w:val="1"/>
        </w:numPr>
        <w:spacing w:after="60"/>
      </w:pPr>
      <w:r>
        <w:rPr>
          <w:b/>
          <w:bCs/>
        </w:rPr>
        <w:t xml:space="preserve">Overlap patterns: </w:t>
      </w:r>
      <w:r>
        <w:t>Where ellipses overlap (e.g., between groups I and B), the morphological differences are not statistically distinguishable.</w:t>
      </w:r>
    </w:p>
    <w:p w14:paraId="2AC24A47">
      <w:pPr>
        <w:pStyle w:val="16"/>
        <w:numPr>
          <w:ilvl w:val="0"/>
          <w:numId w:val="1"/>
        </w:numPr>
        <w:spacing w:after="120"/>
      </w:pPr>
      <w:r>
        <w:t>Groups identified: B, X, O, L, I, G (corresponding to different populations, treatments, or species).</w:t>
      </w:r>
    </w:p>
    <w:p w14:paraId="30C33AFA">
      <w:pPr>
        <w:pStyle w:val="2"/>
      </w:pPr>
      <w:r>
        <w:t>4. Interactive 3D PCA Biplot (PC1, PC2, PC3)</w:t>
      </w:r>
    </w:p>
    <w:p w14:paraId="1BDBF332">
      <w:pPr>
        <w:spacing w:after="80"/>
      </w:pPr>
      <w:r>
        <w:rPr>
          <w:b/>
          <w:bCs/>
        </w:rPr>
        <w:t xml:space="preserve">Figure 4: </w:t>
      </w:r>
      <w:r>
        <w:t>3D biplot showing PC1, PC2, and PC3 with loading vectors (arrows).</w:t>
      </w:r>
    </w:p>
    <w:p w14:paraId="2B570EF8">
      <w:pPr>
        <w:spacing w:before="80" w:after="160"/>
        <w:jc w:val="center"/>
      </w:pPr>
      <w:bookmarkStart w:id="0" w:name="_GoBack"/>
      <w:r>
        <w:drawing>
          <wp:inline distT="0" distB="0" distL="0" distR="0">
            <wp:extent cx="3606165" cy="2762885"/>
            <wp:effectExtent l="0" t="0" r="571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606165" cy="2762885"/>
                    </a:xfrm>
                    <a:prstGeom prst="rect">
                      <a:avLst/>
                    </a:prstGeom>
                  </pic:spPr>
                </pic:pic>
              </a:graphicData>
            </a:graphic>
          </wp:inline>
        </w:drawing>
      </w:r>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77BA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8"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5512B103">
            <w:pPr>
              <w:spacing w:after="0"/>
            </w:pPr>
            <w:r>
              <w:rPr>
                <w:b/>
                <w:bCs/>
                <w:sz w:val="18"/>
                <w:szCs w:val="18"/>
              </w:rPr>
              <w:t>Component</w:t>
            </w:r>
          </w:p>
        </w:tc>
        <w:tc>
          <w:tcPr>
            <w:tcW w:w="6318"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2E23D97C">
            <w:pPr>
              <w:spacing w:after="0"/>
            </w:pPr>
            <w:r>
              <w:rPr>
                <w:b/>
                <w:bCs/>
                <w:sz w:val="18"/>
                <w:szCs w:val="18"/>
              </w:rPr>
              <w:t>Interpretation</w:t>
            </w:r>
          </w:p>
        </w:tc>
      </w:tr>
      <w:tr w14:paraId="3D6A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DEEFACE">
            <w:pPr>
              <w:spacing w:after="0"/>
            </w:pPr>
            <w:r>
              <w:rPr>
                <w:b w:val="0"/>
                <w:bCs w:val="0"/>
                <w:sz w:val="18"/>
                <w:szCs w:val="18"/>
              </w:rPr>
              <w:t>PC1 (x-axis, 51.0%)</w:t>
            </w:r>
          </w:p>
        </w:tc>
        <w:tc>
          <w:tcPr>
            <w:tcW w:w="631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EE2ADA7">
            <w:pPr>
              <w:spacing w:after="0"/>
            </w:pPr>
            <w:r>
              <w:rPr>
                <w:b w:val="0"/>
                <w:bCs w:val="0"/>
                <w:sz w:val="18"/>
                <w:szCs w:val="18"/>
              </w:rPr>
              <w:t>Overall size – all variables point in the same direction</w:t>
            </w:r>
          </w:p>
        </w:tc>
      </w:tr>
      <w:tr w14:paraId="0EB1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F6F4A32">
            <w:pPr>
              <w:spacing w:after="0"/>
            </w:pPr>
            <w:r>
              <w:rPr>
                <w:b w:val="0"/>
                <w:bCs w:val="0"/>
                <w:sz w:val="18"/>
                <w:szCs w:val="18"/>
              </w:rPr>
              <w:t>PC2 (y-axis, 17.2%)</w:t>
            </w:r>
          </w:p>
        </w:tc>
        <w:tc>
          <w:tcPr>
            <w:tcW w:w="631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9910B04">
            <w:pPr>
              <w:spacing w:after="0"/>
            </w:pPr>
            <w:r>
              <w:rPr>
                <w:b w:val="0"/>
                <w:bCs w:val="0"/>
                <w:sz w:val="18"/>
                <w:szCs w:val="18"/>
              </w:rPr>
              <w:t>Shape contrast (e.g., leaf shape vs. floral traits)</w:t>
            </w:r>
          </w:p>
        </w:tc>
      </w:tr>
      <w:tr w14:paraId="6886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37D7A3D">
            <w:pPr>
              <w:spacing w:after="0"/>
            </w:pPr>
            <w:r>
              <w:rPr>
                <w:b w:val="0"/>
                <w:bCs w:val="0"/>
                <w:sz w:val="18"/>
                <w:szCs w:val="18"/>
              </w:rPr>
              <w:t>PC3 (z-axis, 10.3%)</w:t>
            </w:r>
          </w:p>
        </w:tc>
        <w:tc>
          <w:tcPr>
            <w:tcW w:w="6318"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70F957F">
            <w:pPr>
              <w:spacing w:after="0"/>
            </w:pPr>
            <w:r>
              <w:rPr>
                <w:b w:val="0"/>
                <w:bCs w:val="0"/>
                <w:sz w:val="18"/>
                <w:szCs w:val="18"/>
              </w:rPr>
              <w:t>Additional shape variation (e.g., stamen-pistil ratio)</w:t>
            </w:r>
          </w:p>
        </w:tc>
      </w:tr>
    </w:tbl>
    <w:p w14:paraId="463D2565">
      <w:pPr>
        <w:spacing w:after="100"/>
      </w:pPr>
    </w:p>
    <w:p w14:paraId="3D0CB4D0">
      <w:pPr>
        <w:spacing w:after="60"/>
      </w:pPr>
      <w:r>
        <w:rPr>
          <w:b/>
          <w:bCs/>
        </w:rPr>
        <w:t>Observations from the 3D plot:</w:t>
      </w:r>
    </w:p>
    <w:p w14:paraId="400A0368">
      <w:pPr>
        <w:pStyle w:val="16"/>
        <w:numPr>
          <w:ilvl w:val="0"/>
          <w:numId w:val="1"/>
        </w:numPr>
        <w:spacing w:after="60"/>
      </w:pPr>
      <w:r>
        <w:t>The 3D view confirms that groups separate primarily along PC1.</w:t>
      </w:r>
    </w:p>
    <w:p w14:paraId="0E55A4C5">
      <w:pPr>
        <w:pStyle w:val="16"/>
        <w:numPr>
          <w:ilvl w:val="0"/>
          <w:numId w:val="1"/>
        </w:numPr>
        <w:spacing w:after="60"/>
      </w:pPr>
      <w:r>
        <w:t>Some groups that appeared overlapping in 2D may be better separated when PC3 is considered.</w:t>
      </w:r>
    </w:p>
    <w:p w14:paraId="2959511F">
      <w:pPr>
        <w:pStyle w:val="16"/>
        <w:numPr>
          <w:ilvl w:val="0"/>
          <w:numId w:val="1"/>
        </w:numPr>
        <w:spacing w:after="60"/>
      </w:pPr>
      <w:r>
        <w:t>Loading vectors (arrows) in 3D show all variables have positive loadings on PC1, confirming the size interpretation.</w:t>
      </w:r>
    </w:p>
    <w:p w14:paraId="57E5168D">
      <w:pPr>
        <w:pStyle w:val="16"/>
        <w:numPr>
          <w:ilvl w:val="0"/>
          <w:numId w:val="1"/>
        </w:numPr>
        <w:spacing w:after="120"/>
      </w:pPr>
      <w:r>
        <w:t>The second and third axes reveal subtle shape differences not captured by PC1 alone.</w:t>
      </w:r>
    </w:p>
    <w:p w14:paraId="00FF4501">
      <w:pPr>
        <w:pStyle w:val="2"/>
      </w:pPr>
      <w:r>
        <w:t>5. Summary of Findings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10"/>
        <w:gridCol w:w="5416"/>
      </w:tblGrid>
      <w:tr w14:paraId="0E5F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10"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1D550479">
            <w:pPr>
              <w:spacing w:after="0"/>
            </w:pPr>
            <w:r>
              <w:rPr>
                <w:b/>
                <w:bCs/>
                <w:sz w:val="18"/>
                <w:szCs w:val="18"/>
              </w:rPr>
              <w:t>Question</w:t>
            </w:r>
          </w:p>
        </w:tc>
        <w:tc>
          <w:tcPr>
            <w:tcW w:w="5416" w:type="dxa"/>
            <w:tcBorders>
              <w:top w:val="single" w:color="999999" w:sz="0" w:space="0"/>
              <w:left w:val="single" w:color="999999" w:sz="0" w:space="0"/>
              <w:bottom w:val="single" w:color="999999" w:sz="0" w:space="0"/>
              <w:right w:val="single" w:color="999999" w:sz="0" w:space="0"/>
            </w:tcBorders>
            <w:shd w:val="clear" w:color="auto" w:fill="DDDDDD"/>
            <w:tcMar>
              <w:top w:w="60" w:type="dxa"/>
              <w:left w:w="100" w:type="dxa"/>
              <w:bottom w:w="60" w:type="dxa"/>
              <w:right w:w="100" w:type="dxa"/>
            </w:tcMar>
          </w:tcPr>
          <w:p w14:paraId="5966BE3C">
            <w:pPr>
              <w:spacing w:after="0"/>
            </w:pPr>
            <w:r>
              <w:rPr>
                <w:b/>
                <w:bCs/>
                <w:sz w:val="18"/>
                <w:szCs w:val="18"/>
              </w:rPr>
              <w:t>Answer</w:t>
            </w:r>
          </w:p>
        </w:tc>
      </w:tr>
      <w:tr w14:paraId="5056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ABC0F71">
            <w:pPr>
              <w:spacing w:after="0"/>
            </w:pPr>
            <w:r>
              <w:rPr>
                <w:b w:val="0"/>
                <w:bCs w:val="0"/>
                <w:sz w:val="18"/>
                <w:szCs w:val="18"/>
              </w:rPr>
              <w:t>Which traits are strongly correlated?</w:t>
            </w:r>
          </w:p>
        </w:tc>
        <w:tc>
          <w:tcPr>
            <w:tcW w:w="541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C7BCBDD">
            <w:pPr>
              <w:spacing w:after="0"/>
            </w:pPr>
            <w:r>
              <w:rPr>
                <w:b w:val="0"/>
                <w:bCs w:val="0"/>
                <w:sz w:val="18"/>
                <w:szCs w:val="18"/>
              </w:rPr>
              <w:t>Leaf lengths with leaf lengths; perianth lengths with perianth lengths; stamen height with pistil height. All positive correlations.</w:t>
            </w:r>
          </w:p>
        </w:tc>
      </w:tr>
      <w:tr w14:paraId="463F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2AC08B5">
            <w:pPr>
              <w:spacing w:after="0"/>
            </w:pPr>
            <w:r>
              <w:rPr>
                <w:b w:val="0"/>
                <w:bCs w:val="0"/>
                <w:sz w:val="18"/>
                <w:szCs w:val="18"/>
              </w:rPr>
              <w:t>What does PC1 represent?</w:t>
            </w:r>
          </w:p>
        </w:tc>
        <w:tc>
          <w:tcPr>
            <w:tcW w:w="541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1247A58">
            <w:pPr>
              <w:spacing w:after="0"/>
            </w:pPr>
            <w:r>
              <w:rPr>
                <w:b w:val="0"/>
                <w:bCs w:val="0"/>
                <w:sz w:val="18"/>
                <w:szCs w:val="18"/>
              </w:rPr>
              <w:t>Overall size – all morphometric traits increase together along PC1 (51% variance).</w:t>
            </w:r>
          </w:p>
        </w:tc>
      </w:tr>
      <w:tr w14:paraId="6D8C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33971D7">
            <w:pPr>
              <w:spacing w:after="0"/>
            </w:pPr>
            <w:r>
              <w:rPr>
                <w:b w:val="0"/>
                <w:bCs w:val="0"/>
                <w:sz w:val="18"/>
                <w:szCs w:val="18"/>
              </w:rPr>
              <w:t>What does PC2 represent?</w:t>
            </w:r>
          </w:p>
        </w:tc>
        <w:tc>
          <w:tcPr>
            <w:tcW w:w="541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D83B6CB">
            <w:pPr>
              <w:spacing w:after="0"/>
            </w:pPr>
            <w:r>
              <w:rPr>
                <w:b w:val="0"/>
                <w:bCs w:val="0"/>
                <w:sz w:val="18"/>
                <w:szCs w:val="18"/>
              </w:rPr>
              <w:t>Shape contrast – likely between leaf dimensions and floral organ dimensions (17% variance).</w:t>
            </w:r>
          </w:p>
        </w:tc>
      </w:tr>
      <w:tr w14:paraId="6C71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9992D83">
            <w:pPr>
              <w:spacing w:after="0"/>
            </w:pPr>
            <w:r>
              <w:rPr>
                <w:b w:val="0"/>
                <w:bCs w:val="0"/>
                <w:sz w:val="18"/>
                <w:szCs w:val="18"/>
              </w:rPr>
              <w:t>How well are groups separated?</w:t>
            </w:r>
          </w:p>
        </w:tc>
        <w:tc>
          <w:tcPr>
            <w:tcW w:w="541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232450A">
            <w:pPr>
              <w:spacing w:after="0"/>
            </w:pPr>
            <w:r>
              <w:rPr>
                <w:b w:val="0"/>
                <w:bCs w:val="0"/>
                <w:sz w:val="18"/>
                <w:szCs w:val="18"/>
              </w:rPr>
              <w:t>Groups show partial separation along PC1, with ellipses overlapping for some pairs but not others.</w:t>
            </w:r>
          </w:p>
        </w:tc>
      </w:tr>
      <w:tr w14:paraId="220A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770FE1F">
            <w:pPr>
              <w:spacing w:after="0"/>
            </w:pPr>
            <w:r>
              <w:rPr>
                <w:b w:val="0"/>
                <w:bCs w:val="0"/>
                <w:sz w:val="18"/>
                <w:szCs w:val="18"/>
              </w:rPr>
              <w:t>Which groups are most distinct?</w:t>
            </w:r>
          </w:p>
        </w:tc>
        <w:tc>
          <w:tcPr>
            <w:tcW w:w="541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3C556E5">
            <w:pPr>
              <w:spacing w:after="0"/>
            </w:pPr>
            <w:r>
              <w:rPr>
                <w:b w:val="0"/>
                <w:bCs w:val="0"/>
                <w:sz w:val="18"/>
                <w:szCs w:val="18"/>
              </w:rPr>
              <w:t>Groups on opposite ends of PC1 (large-sized vs. small-sized) show the clearest separation.</w:t>
            </w:r>
          </w:p>
        </w:tc>
      </w:tr>
      <w:tr w14:paraId="449A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5C7A81B">
            <w:pPr>
              <w:spacing w:after="0"/>
            </w:pPr>
            <w:r>
              <w:rPr>
                <w:b w:val="0"/>
                <w:bCs w:val="0"/>
                <w:sz w:val="18"/>
                <w:szCs w:val="18"/>
              </w:rPr>
              <w:t>What does the 3D plot add?</w:t>
            </w:r>
          </w:p>
        </w:tc>
        <w:tc>
          <w:tcPr>
            <w:tcW w:w="541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2402C94">
            <w:pPr>
              <w:spacing w:after="0"/>
            </w:pPr>
            <w:r>
              <w:rPr>
                <w:b w:val="0"/>
                <w:bCs w:val="0"/>
                <w:sz w:val="18"/>
                <w:szCs w:val="18"/>
              </w:rPr>
              <w:t>PC3 provides additional resolution for groups that overlapped in 2D.</w:t>
            </w:r>
          </w:p>
        </w:tc>
      </w:tr>
    </w:tbl>
    <w:p w14:paraId="49DD9BC8">
      <w:pPr>
        <w:spacing w:after="120"/>
      </w:pPr>
    </w:p>
    <w:p w14:paraId="4831F711">
      <w:pPr>
        <w:pStyle w:val="2"/>
      </w:pPr>
      <w:r>
        <w:t>6. Conclusion</w:t>
      </w:r>
    </w:p>
    <w:p w14:paraId="56097868">
      <w:pPr>
        <w:spacing w:after="120"/>
      </w:pPr>
      <w:r>
        <w:t>The PCA of morphometric data revealed:</w:t>
      </w:r>
    </w:p>
    <w:p w14:paraId="6DEBCB69">
      <w:pPr>
        <w:pStyle w:val="16"/>
        <w:numPr>
          <w:ilvl w:val="0"/>
          <w:numId w:val="2"/>
        </w:numPr>
        <w:spacing w:after="60"/>
      </w:pPr>
      <w:r>
        <w:rPr>
          <w:b/>
          <w:bCs/>
        </w:rPr>
        <w:t xml:space="preserve">Strong positive correlations </w:t>
      </w:r>
      <w:r>
        <w:t>among most traits, indicating coordinated growth and development.</w:t>
      </w:r>
    </w:p>
    <w:p w14:paraId="57CC0F26">
      <w:pPr>
        <w:pStyle w:val="16"/>
        <w:numPr>
          <w:ilvl w:val="0"/>
          <w:numId w:val="2"/>
        </w:numPr>
        <w:spacing w:after="60"/>
      </w:pPr>
      <w:r>
        <w:rPr>
          <w:b/>
          <w:bCs/>
        </w:rPr>
        <w:t xml:space="preserve">PC1 (51% of variance) </w:t>
      </w:r>
      <w:r>
        <w:t>represents overall size – all variables load positively.</w:t>
      </w:r>
    </w:p>
    <w:p w14:paraId="53A4F016">
      <w:pPr>
        <w:pStyle w:val="16"/>
        <w:numPr>
          <w:ilvl w:val="0"/>
          <w:numId w:val="2"/>
        </w:numPr>
        <w:spacing w:after="60"/>
      </w:pPr>
      <w:r>
        <w:rPr>
          <w:b/>
          <w:bCs/>
        </w:rPr>
        <w:t xml:space="preserve">PC2 (17%) and PC3 (10%) </w:t>
      </w:r>
      <w:r>
        <w:t>capture shape variation, distinguishing between different morphological patterns.</w:t>
      </w:r>
    </w:p>
    <w:p w14:paraId="75A3BAD1">
      <w:pPr>
        <w:pStyle w:val="16"/>
        <w:numPr>
          <w:ilvl w:val="0"/>
          <w:numId w:val="2"/>
        </w:numPr>
        <w:spacing w:after="60"/>
      </w:pPr>
      <w:r>
        <w:rPr>
          <w:b/>
          <w:bCs/>
        </w:rPr>
        <w:t xml:space="preserve">Groups </w:t>
      </w:r>
      <w:r>
        <w:t>(B, X, O, L, I, G) show partial separation in PCA space, with some groups clearly distinct and others overlapping.</w:t>
      </w:r>
    </w:p>
    <w:p w14:paraId="775DE05C">
      <w:pPr>
        <w:pStyle w:val="16"/>
        <w:numPr>
          <w:ilvl w:val="0"/>
          <w:numId w:val="2"/>
        </w:numPr>
        <w:spacing w:after="60"/>
      </w:pPr>
      <w:r>
        <w:t>The 95% confidence ellipses indicate that within-group variability differs among groups; some groups are more homogeneous than others.</w:t>
      </w:r>
    </w:p>
    <w:p w14:paraId="0464C397">
      <w:pPr>
        <w:pStyle w:val="16"/>
        <w:numPr>
          <w:ilvl w:val="0"/>
          <w:numId w:val="2"/>
        </w:numPr>
        <w:spacing w:after="120"/>
      </w:pPr>
      <w:r>
        <w:t>The interactive 3D plot confirms that the first three PCs provide a good summary of the data (cumulative 78.5% variance explained).</w:t>
      </w:r>
    </w:p>
    <w:p w14:paraId="102C842D">
      <w:pPr>
        <w:spacing w:after="120"/>
      </w:pPr>
      <w:r>
        <w:t>Final recommendation: The morphometric traits successfully distinguish among the predefined groups, with overall size being the primary discriminating factor. Further analysis (e.g., MANOVA or linear discriminant analysis) could quantify group differences more formally.</w:t>
      </w:r>
    </w:p>
    <w:p w14:paraId="0E791EBC">
      <w:pPr>
        <w:pStyle w:val="2"/>
      </w:pPr>
      <w:r>
        <w:t>7. Appendix – R Code</w:t>
      </w:r>
    </w:p>
    <w:p w14:paraId="311AC2B1">
      <w:pPr>
        <w:spacing w:after="120"/>
      </w:pPr>
      <w:r>
        <w:t>The complete R script (practice 6 PCA_HW_eng.R) is attached separately. Key functions used:</w:t>
      </w:r>
    </w:p>
    <w:p w14:paraId="43D79AA5">
      <w:pPr>
        <w:pStyle w:val="16"/>
        <w:numPr>
          <w:ilvl w:val="0"/>
          <w:numId w:val="1"/>
        </w:numPr>
        <w:spacing w:after="60"/>
      </w:pPr>
      <w:r>
        <w:rPr>
          <w:b/>
          <w:bCs/>
        </w:rPr>
        <w:t>decostand(data, method = "range")</w:t>
      </w:r>
      <w:r>
        <w:t xml:space="preserve"> – min-max normalisation</w:t>
      </w:r>
    </w:p>
    <w:p w14:paraId="7CBA0364">
      <w:pPr>
        <w:pStyle w:val="16"/>
        <w:numPr>
          <w:ilvl w:val="0"/>
          <w:numId w:val="1"/>
        </w:numPr>
        <w:spacing w:after="60"/>
      </w:pPr>
      <w:r>
        <w:rPr>
          <w:b/>
          <w:bCs/>
        </w:rPr>
        <w:t>cor.test(method = "spearman")</w:t>
      </w:r>
      <w:r>
        <w:t xml:space="preserve"> – Spearman correlation with p-values</w:t>
      </w:r>
    </w:p>
    <w:p w14:paraId="31BBF259">
      <w:pPr>
        <w:pStyle w:val="16"/>
        <w:numPr>
          <w:ilvl w:val="0"/>
          <w:numId w:val="1"/>
        </w:numPr>
        <w:spacing w:after="60"/>
      </w:pPr>
      <w:r>
        <w:rPr>
          <w:b/>
          <w:bCs/>
        </w:rPr>
        <w:t>prcomp()</w:t>
      </w:r>
      <w:r>
        <w:t xml:space="preserve"> – Principal Component Analysis</w:t>
      </w:r>
    </w:p>
    <w:p w14:paraId="568559E8">
      <w:pPr>
        <w:pStyle w:val="16"/>
        <w:numPr>
          <w:ilvl w:val="0"/>
          <w:numId w:val="1"/>
        </w:numPr>
        <w:spacing w:after="60"/>
      </w:pPr>
      <w:r>
        <w:rPr>
          <w:b/>
          <w:bCs/>
        </w:rPr>
        <w:t>fviz_pca_biplot()</w:t>
      </w:r>
      <w:r>
        <w:t xml:space="preserve"> – PCA visualisation with grouping and ellipses</w:t>
      </w:r>
    </w:p>
    <w:p w14:paraId="221279CB">
      <w:pPr>
        <w:pStyle w:val="16"/>
        <w:numPr>
          <w:ilvl w:val="0"/>
          <w:numId w:val="1"/>
        </w:numPr>
        <w:spacing w:after="60"/>
      </w:pPr>
      <w:r>
        <w:rPr>
          <w:b/>
          <w:bCs/>
        </w:rPr>
        <w:t>plot_ly()</w:t>
      </w:r>
      <w:r>
        <w:t xml:space="preserve"> – Interactive 3D PCA biplot</w:t>
      </w:r>
    </w:p>
    <w:p w14:paraId="74A626D8">
      <w:pPr>
        <w:jc w:val="cente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061F50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60"/>
      <w:outlineLvl w:val="0"/>
    </w:pPr>
    <w:rPr>
      <w:rFonts w:ascii="Arial" w:hAnsi="Arial" w:eastAsia="Arial" w:cs="Arial"/>
      <w:b/>
      <w:bCs/>
      <w:color w:val="000000"/>
      <w:sz w:val="32"/>
      <w:szCs w:val="32"/>
    </w:rPr>
  </w:style>
  <w:style w:type="paragraph" w:styleId="3">
    <w:name w:val="heading 2"/>
    <w:next w:val="1"/>
    <w:qFormat/>
    <w:uiPriority w:val="0"/>
    <w:pPr>
      <w:spacing w:before="200" w:after="120"/>
      <w:outlineLvl w:val="1"/>
    </w:pPr>
    <w:rPr>
      <w:rFonts w:ascii="Arial" w:hAnsi="Arial" w:eastAsia="Arial" w:cs="Arial"/>
      <w:b/>
      <w:bCs/>
      <w:color w:val="000000"/>
      <w:sz w:val="26"/>
      <w:szCs w:val="26"/>
    </w:rPr>
  </w:style>
  <w:style w:type="paragraph" w:styleId="4">
    <w:name w:val="heading 3"/>
    <w:next w:val="1"/>
    <w:qFormat/>
    <w:uiPriority w:val="0"/>
    <w:pPr>
      <w:spacing w:before="160" w:after="100"/>
      <w:outlineLvl w:val="2"/>
    </w:pPr>
    <w:rPr>
      <w:rFonts w:ascii="Arial" w:hAnsi="Arial" w:eastAsia="Arial" w:cs="Arial"/>
      <w:b/>
      <w:bCs/>
      <w:color w:val="00000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786</Words>
  <Characters>4819</Characters>
  <TotalTime>6</TotalTime>
  <ScaleCrop>false</ScaleCrop>
  <LinksUpToDate>false</LinksUpToDate>
  <CharactersWithSpaces>5451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2026-06-01T09:40:00Z</dcterms:created>
  <dc:creator>Un-named</dc:creator>
  <cp:lastModifiedBy>Charles Chuks</cp:lastModifiedBy>
  <dcterms:modified xsi:type="dcterms:W3CDTF">2026-06-01T09:52:32Z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eyJoZGlkIjoiNmQyMjQ1Mjk0Njk0ZmI0NzM3YTFlYzBhOGViOGYwNmIiLCJ1c2VySWQiOiIzNzI4NDgxNTgwOTE2In0=</vt:lpwstr>
  </property>
  <property fmtid="{D5CDD505-2E9C-101B-9397-08002B2CF9AE}" pid="3" name="KSOProductBuildVer">
    <vt:lpwstr>1033-12.1.0.26880</vt:lpwstr>
  </property>
  <property fmtid="{D5CDD505-2E9C-101B-9397-08002B2CF9AE}" pid="4" name="ICV">
    <vt:lpwstr>C7E1726D422042868C68D9F7A457CA14_12</vt:lpwstr>
  </property>
</Properties>
</file>