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6FA5B3">
      <w:pPr>
        <w:spacing w:after="120"/>
        <w:jc w:val="center"/>
      </w:pPr>
      <w:r>
        <w:rPr>
          <w:rFonts w:ascii="Arial" w:hAnsi="Arial" w:eastAsia="Arial" w:cs="Arial"/>
          <w:b/>
          <w:bCs/>
          <w:sz w:val="36"/>
          <w:szCs w:val="36"/>
        </w:rPr>
        <w:t>Task 5: Multivariate Analysis of Arctic Chrysophyte Abundance</w:t>
      </w:r>
    </w:p>
    <w:p w14:paraId="7B0DC44A">
      <w:pPr>
        <w:spacing w:after="80"/>
        <w:jc w:val="center"/>
      </w:pPr>
      <w:r>
        <w:rPr>
          <w:rFonts w:ascii="Arial" w:hAnsi="Arial" w:eastAsia="Arial" w:cs="Arial"/>
          <w:sz w:val="24"/>
          <w:szCs w:val="24"/>
        </w:rPr>
        <w:t>Name: Charles Chukwuemeka Ndukwe</w:t>
      </w:r>
    </w:p>
    <w:p w14:paraId="59714428">
      <w:pPr>
        <w:spacing w:after="80"/>
        <w:jc w:val="center"/>
      </w:pPr>
      <w:r>
        <w:rPr>
          <w:rFonts w:ascii="Arial" w:hAnsi="Arial" w:eastAsia="Arial" w:cs="Arial"/>
          <w:sz w:val="24"/>
          <w:szCs w:val="24"/>
        </w:rPr>
        <w:t>Date: 2026-05-17</w:t>
      </w:r>
    </w:p>
    <w:p w14:paraId="181B130C">
      <w:pPr>
        <w:spacing w:after="80"/>
        <w:jc w:val="center"/>
      </w:pPr>
      <w:r>
        <w:rPr>
          <w:rFonts w:ascii="Arial" w:hAnsi="Arial" w:eastAsia="Arial" w:cs="Arial"/>
          <w:sz w:val="24"/>
          <w:szCs w:val="24"/>
        </w:rPr>
        <w:t>Course: Data Analysis</w:t>
      </w:r>
    </w:p>
    <w:p w14:paraId="532902DA"/>
    <w:p w14:paraId="24AA3167">
      <w:pPr>
        <w:pStyle w:val="2"/>
      </w:pPr>
      <w:r>
        <w:t>1. Objective</w:t>
      </w:r>
    </w:p>
    <w:p w14:paraId="43D6A996">
      <w:r>
        <w:t>This task performs multivariate analysis on a dataset of chrysophyte (algae) abundance from six Arctic and subarctic sites in Russia. The goals are:</w:t>
      </w:r>
    </w:p>
    <w:p w14:paraId="2049869E">
      <w:pPr>
        <w:pStyle w:val="16"/>
        <w:numPr>
          <w:ilvl w:val="0"/>
          <w:numId w:val="1"/>
        </w:numPr>
      </w:pPr>
      <w:r>
        <w:t>Compute NMDS ordination using Bray-Curtis distances.</w:t>
      </w:r>
    </w:p>
    <w:p w14:paraId="14377470">
      <w:pPr>
        <w:pStyle w:val="16"/>
        <w:numPr>
          <w:ilvl w:val="0"/>
          <w:numId w:val="1"/>
        </w:numPr>
      </w:pPr>
      <w:r>
        <w:t>Identify significant species influencing the ordination (envfit).</w:t>
      </w:r>
    </w:p>
    <w:p w14:paraId="1DB3DA04">
      <w:pPr>
        <w:pStyle w:val="16"/>
        <w:numPr>
          <w:ilvl w:val="0"/>
          <w:numId w:val="1"/>
        </w:numPr>
      </w:pPr>
      <w:r>
        <w:t>Perform UPGMA hierarchical clustering and cut dendrogram into clusters.</w:t>
      </w:r>
    </w:p>
    <w:p w14:paraId="0614F46E">
      <w:pPr>
        <w:pStyle w:val="16"/>
        <w:numPr>
          <w:ilvl w:val="0"/>
          <w:numId w:val="1"/>
        </w:numPr>
      </w:pPr>
      <w:r>
        <w:t>Visualise NMDS with clusters, confidence ellipses, and significant species vectors.</w:t>
      </w:r>
    </w:p>
    <w:p w14:paraId="2485EE89">
      <w:pPr>
        <w:pStyle w:val="16"/>
        <w:numPr>
          <w:ilvl w:val="0"/>
          <w:numId w:val="1"/>
        </w:numPr>
      </w:pPr>
      <w:r>
        <w:t>Test for significant differences in species composition between clusters using PERMANOVA.</w:t>
      </w:r>
    </w:p>
    <w:p w14:paraId="00CE462B"/>
    <w:p w14:paraId="1D2E23AC">
      <w:pPr>
        <w:pStyle w:val="2"/>
      </w:pPr>
      <w:r>
        <w:t>2. Data Description</w:t>
      </w:r>
    </w:p>
    <w:p w14:paraId="4E34FB60">
      <w:r>
        <w:rPr>
          <w:b/>
          <w:bCs/>
        </w:rPr>
        <w:t xml:space="preserve">File: </w:t>
      </w:r>
      <w:r>
        <w:t>data.txt (tab-separated, 6 sites × 34 species).</w:t>
      </w:r>
    </w:p>
    <w:p w14:paraId="2A783E90">
      <w:pPr>
        <w:spacing w:before="80"/>
      </w:pPr>
      <w:r>
        <w:rPr>
          <w:b/>
          <w:bCs/>
        </w:rPr>
        <w:t xml:space="preserve">Sites: </w:t>
      </w:r>
      <w:r>
        <w:t>Ledyanaya Gora, Karaul village, Ladyginskie Yary, Sopochnaya Karga, Sibiryakov Island (Srednee Lake), Chernyi Bay.</w:t>
      </w:r>
    </w:p>
    <w:p w14:paraId="14EBFEA5">
      <w:pPr>
        <w:spacing w:before="80"/>
      </w:pPr>
      <w:r>
        <w:rPr>
          <w:b/>
          <w:bCs/>
        </w:rPr>
        <w:t xml:space="preserve">Species abundance: </w:t>
      </w:r>
      <w:r>
        <w:t>Semi-quantitative scores (0 = absent, 1 = rare, 2 = moderate, 3 = abundant).</w:t>
      </w:r>
    </w:p>
    <w:p w14:paraId="28C8E58A">
      <w:pPr>
        <w:spacing w:before="80"/>
      </w:pPr>
      <w:r>
        <w:rPr>
          <w:b/>
          <w:bCs/>
        </w:rPr>
        <w:t xml:space="preserve">Data structure: </w:t>
      </w:r>
      <w:r>
        <w:t>All 34 species columns are integers (0–3).</w:t>
      </w:r>
    </w:p>
    <w:p w14:paraId="6B99F93C"/>
    <w:p w14:paraId="6485C5EF">
      <w:r>
        <w:rPr>
          <w:b/>
          <w:bCs/>
        </w:rPr>
        <w:t xml:space="preserve">Summary: </w:t>
      </w:r>
      <w:r>
        <w:t>The dataset is small (n = 6), which may lead to unstable ordinations and near-zero stress in NMDS (a warning is issued).</w:t>
      </w:r>
    </w:p>
    <w:p w14:paraId="44EE0F9E"/>
    <w:p w14:paraId="6E73694D">
      <w:pPr>
        <w:pStyle w:val="2"/>
      </w:pPr>
      <w:r>
        <w:t>3. Methods</w:t>
      </w:r>
    </w:p>
    <w:p w14:paraId="3069531E">
      <w:r>
        <w:t>All analyses were performed in R using the vegan package.</w:t>
      </w:r>
    </w:p>
    <w:p w14:paraId="23BBC7E9">
      <w:pPr>
        <w:pStyle w:val="16"/>
        <w:numPr>
          <w:ilvl w:val="0"/>
          <w:numId w:val="1"/>
        </w:numPr>
      </w:pPr>
      <w:r>
        <w:rPr>
          <w:b/>
          <w:bCs/>
        </w:rPr>
        <w:t xml:space="preserve">NMDS: </w:t>
      </w:r>
      <w:r>
        <w:t>metaMDS with Bray-Curtis distance (ecological standard that ignores double zeros). Stress value reported.</w:t>
      </w:r>
    </w:p>
    <w:p w14:paraId="3A2DE675">
      <w:pPr>
        <w:pStyle w:val="16"/>
        <w:numPr>
          <w:ilvl w:val="0"/>
          <w:numId w:val="1"/>
        </w:numPr>
      </w:pPr>
      <w:r>
        <w:rPr>
          <w:b/>
          <w:bCs/>
        </w:rPr>
        <w:t xml:space="preserve">envfit: </w:t>
      </w:r>
      <w:r>
        <w:t>Fits species vectors onto the NMDS ordination; permutations = 999 to assess significance (p ≤ 0.05).</w:t>
      </w:r>
    </w:p>
    <w:p w14:paraId="3AEE8C91">
      <w:pPr>
        <w:pStyle w:val="16"/>
        <w:numPr>
          <w:ilvl w:val="0"/>
          <w:numId w:val="1"/>
        </w:numPr>
      </w:pPr>
      <w:r>
        <w:rPr>
          <w:b/>
          <w:bCs/>
        </w:rPr>
        <w:t xml:space="preserve">Clustering: </w:t>
      </w:r>
      <w:r>
        <w:t>UPGMA (hclust, method = "average") on Bray-Curtis distance matrix. Dendrogram cut into 2 clusters.</w:t>
      </w:r>
    </w:p>
    <w:p w14:paraId="7898F008">
      <w:pPr>
        <w:pStyle w:val="16"/>
        <w:numPr>
          <w:ilvl w:val="0"/>
          <w:numId w:val="1"/>
        </w:numPr>
      </w:pPr>
      <w:r>
        <w:rPr>
          <w:b/>
          <w:bCs/>
        </w:rPr>
        <w:t xml:space="preserve">Visualisation: </w:t>
      </w:r>
      <w:r>
        <w:t>NMDS plot with points coloured by cluster, 95% confidence ellipses (ordiellipse), site labels without overlap (orditorp), and significant species arrows.</w:t>
      </w:r>
    </w:p>
    <w:p w14:paraId="72665FAE">
      <w:pPr>
        <w:pStyle w:val="16"/>
        <w:numPr>
          <w:ilvl w:val="0"/>
          <w:numId w:val="1"/>
        </w:numPr>
      </w:pPr>
      <w:r>
        <w:rPr>
          <w:b/>
          <w:bCs/>
        </w:rPr>
        <w:t xml:space="preserve">PERMANOVA: </w:t>
      </w:r>
      <w:r>
        <w:t>adonis2 (Bray-Curtis, 999 permutations) to test whether clusters differ in species composition. R² and p-value reported.</w:t>
      </w:r>
    </w:p>
    <w:p w14:paraId="007F8FED"/>
    <w:p w14:paraId="2E1A96A9">
      <w:pPr>
        <w:pStyle w:val="2"/>
      </w:pPr>
      <w:r>
        <w:t>4. Results</w:t>
      </w:r>
    </w:p>
    <w:p w14:paraId="2A11AC73">
      <w:pPr>
        <w:pStyle w:val="3"/>
      </w:pPr>
      <w:r>
        <w:t>4.1 NMDS Ordination (Bray-Curtis)</w:t>
      </w:r>
    </w:p>
    <w:p w14:paraId="50AB3D81">
      <w:r>
        <w:t>The NMDS algorithm was run with trymax = 50. Many runs reached stress = 0, but a warning was issued:</w:t>
      </w:r>
    </w:p>
    <w:p w14:paraId="4AB81D4E">
      <w:pPr>
        <w:spacing w:before="80" w:after="80"/>
        <w:ind w:left="720"/>
      </w:pPr>
      <w:r>
        <w:rPr>
          <w:i/>
          <w:iCs/>
        </w:rPr>
        <w:t>Warning: stress is (nearly) zero: you may have insufficient data</w:t>
      </w:r>
    </w:p>
    <w:p w14:paraId="2C2D7E58">
      <w:r>
        <w:t>The final stress value = 0 (perfect fit). This is an artefact of having only 6 sites – with so few points, a perfect ordination is possible but not meaningful.</w:t>
      </w:r>
    </w:p>
    <w:p w14:paraId="60B44790"/>
    <w:p w14:paraId="649E642B">
      <w:pPr>
        <w:pStyle w:val="3"/>
      </w:pPr>
      <w:r>
        <w:t>4.2 Significant Species (envfit)</w:t>
      </w:r>
    </w:p>
    <w:p w14:paraId="626BC86F">
      <w:r>
        <w:t>No species had a permutation p-value ≤ 0.05. The output shows NULL for significant species.</w:t>
      </w:r>
    </w:p>
    <w:p w14:paraId="75C4F09A">
      <w:r>
        <w:rPr>
          <w:b/>
          <w:bCs/>
        </w:rPr>
        <w:t xml:space="preserve">Interpretation: </w:t>
      </w:r>
      <w:r>
        <w:t>None of the 34 species significantly drive the ordination pattern, likely due to the small sample size.</w:t>
      </w:r>
    </w:p>
    <w:p w14:paraId="11001D5E"/>
    <w:p w14:paraId="5D195CFC">
      <w:pPr>
        <w:pStyle w:val="3"/>
      </w:pPr>
      <w:r>
        <w:t>4.3 UPGMA Clustering (Bray-Curtis)</w:t>
      </w:r>
    </w:p>
    <w:p w14:paraId="4C369627">
      <w:r>
        <w:t>The dendrogram (not shown) was cut into 2 clusters:</w:t>
      </w:r>
    </w:p>
    <w:p w14:paraId="44B6E0CB"/>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7020"/>
      </w:tblGrid>
      <w:tr w14:paraId="34C1C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999999" w:sz="0" w:space="0"/>
              <w:left w:val="single" w:color="999999" w:sz="0" w:space="0"/>
              <w:bottom w:val="single" w:color="999999" w:sz="0" w:space="0"/>
              <w:right w:val="single" w:color="999999" w:sz="0" w:space="0"/>
            </w:tcBorders>
            <w:shd w:val="clear" w:color="auto" w:fill="EEEEEE"/>
            <w:tcMar>
              <w:top w:w="100" w:type="dxa"/>
              <w:left w:w="120" w:type="dxa"/>
              <w:bottom w:w="100" w:type="dxa"/>
              <w:right w:w="120" w:type="dxa"/>
            </w:tcMar>
          </w:tcPr>
          <w:p w14:paraId="62416740">
            <w:r>
              <w:rPr>
                <w:b/>
                <w:bCs/>
              </w:rPr>
              <w:t>Cluster</w:t>
            </w:r>
          </w:p>
        </w:tc>
        <w:tc>
          <w:tcPr>
            <w:tcW w:w="7020" w:type="dxa"/>
            <w:tcBorders>
              <w:top w:val="single" w:color="999999" w:sz="0" w:space="0"/>
              <w:left w:val="single" w:color="999999" w:sz="0" w:space="0"/>
              <w:bottom w:val="single" w:color="999999" w:sz="0" w:space="0"/>
              <w:right w:val="single" w:color="999999" w:sz="0" w:space="0"/>
            </w:tcBorders>
            <w:shd w:val="clear" w:color="auto" w:fill="EEEEEE"/>
            <w:tcMar>
              <w:top w:w="100" w:type="dxa"/>
              <w:left w:w="120" w:type="dxa"/>
              <w:bottom w:w="100" w:type="dxa"/>
              <w:right w:w="120" w:type="dxa"/>
            </w:tcMar>
          </w:tcPr>
          <w:p w14:paraId="0DDA331D">
            <w:r>
              <w:rPr>
                <w:b/>
                <w:bCs/>
              </w:rPr>
              <w:t>Sites</w:t>
            </w:r>
          </w:p>
        </w:tc>
      </w:tr>
      <w:tr w14:paraId="6F0FD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999999" w:sz="0" w:space="0"/>
              <w:left w:val="single" w:color="999999" w:sz="0" w:space="0"/>
              <w:bottom w:val="single" w:color="999999" w:sz="0" w:space="0"/>
              <w:right w:val="single" w:color="999999" w:sz="0" w:space="0"/>
            </w:tcBorders>
            <w:tcMar>
              <w:top w:w="100" w:type="dxa"/>
              <w:left w:w="120" w:type="dxa"/>
              <w:bottom w:w="100" w:type="dxa"/>
              <w:right w:w="120" w:type="dxa"/>
            </w:tcMar>
          </w:tcPr>
          <w:p w14:paraId="3B06D79B">
            <w:r>
              <w:t>Cluster 1</w:t>
            </w:r>
          </w:p>
        </w:tc>
        <w:tc>
          <w:tcPr>
            <w:tcW w:w="7020" w:type="dxa"/>
            <w:tcBorders>
              <w:top w:val="single" w:color="999999" w:sz="0" w:space="0"/>
              <w:left w:val="single" w:color="999999" w:sz="0" w:space="0"/>
              <w:bottom w:val="single" w:color="999999" w:sz="0" w:space="0"/>
              <w:right w:val="single" w:color="999999" w:sz="0" w:space="0"/>
            </w:tcBorders>
            <w:tcMar>
              <w:top w:w="100" w:type="dxa"/>
              <w:left w:w="120" w:type="dxa"/>
              <w:bottom w:w="100" w:type="dxa"/>
              <w:right w:w="120" w:type="dxa"/>
            </w:tcMar>
          </w:tcPr>
          <w:p w14:paraId="12F9927B">
            <w:r>
              <w:t>Ledyanaya Gora, Ladyginskie Yary, Sopochnaya Karga, Chernyi Bay</w:t>
            </w:r>
          </w:p>
        </w:tc>
      </w:tr>
      <w:tr w14:paraId="0A603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999999" w:sz="0" w:space="0"/>
              <w:left w:val="single" w:color="999999" w:sz="0" w:space="0"/>
              <w:bottom w:val="single" w:color="999999" w:sz="0" w:space="0"/>
              <w:right w:val="single" w:color="999999" w:sz="0" w:space="0"/>
            </w:tcBorders>
            <w:tcMar>
              <w:top w:w="100" w:type="dxa"/>
              <w:left w:w="120" w:type="dxa"/>
              <w:bottom w:w="100" w:type="dxa"/>
              <w:right w:w="120" w:type="dxa"/>
            </w:tcMar>
          </w:tcPr>
          <w:p w14:paraId="1C99B9C1">
            <w:r>
              <w:t>Cluster 2</w:t>
            </w:r>
          </w:p>
        </w:tc>
        <w:tc>
          <w:tcPr>
            <w:tcW w:w="7020" w:type="dxa"/>
            <w:tcBorders>
              <w:top w:val="single" w:color="999999" w:sz="0" w:space="0"/>
              <w:left w:val="single" w:color="999999" w:sz="0" w:space="0"/>
              <w:bottom w:val="single" w:color="999999" w:sz="0" w:space="0"/>
              <w:right w:val="single" w:color="999999" w:sz="0" w:space="0"/>
            </w:tcBorders>
            <w:tcMar>
              <w:top w:w="100" w:type="dxa"/>
              <w:left w:w="120" w:type="dxa"/>
              <w:bottom w:w="100" w:type="dxa"/>
              <w:right w:w="120" w:type="dxa"/>
            </w:tcMar>
          </w:tcPr>
          <w:p w14:paraId="75F5FDAE">
            <w:r>
              <w:t>Karaul village, Sibiryakov Island (Srednee Lake)</w:t>
            </w:r>
          </w:p>
        </w:tc>
      </w:tr>
    </w:tbl>
    <w:p w14:paraId="6BB49404"/>
    <w:p w14:paraId="5D283114">
      <w:pPr>
        <w:pStyle w:val="3"/>
      </w:pPr>
    </w:p>
    <w:p w14:paraId="45989CA9">
      <w:pPr>
        <w:pStyle w:val="3"/>
      </w:pPr>
    </w:p>
    <w:p w14:paraId="6AC135D9">
      <w:pPr>
        <w:pStyle w:val="3"/>
      </w:pPr>
    </w:p>
    <w:p w14:paraId="438D63DA">
      <w:pPr>
        <w:pStyle w:val="3"/>
      </w:pPr>
    </w:p>
    <w:p w14:paraId="18EC3C7E">
      <w:pPr>
        <w:pStyle w:val="3"/>
      </w:pPr>
    </w:p>
    <w:p w14:paraId="12AD9C69">
      <w:pPr>
        <w:pStyle w:val="3"/>
      </w:pPr>
      <w:r>
        <w:t>4.4 NMDS Plot</w:t>
      </w:r>
    </w:p>
    <w:p w14:paraId="772B3138">
      <w:pPr>
        <w:spacing w:after="120"/>
      </w:pPr>
    </w:p>
    <w:p w14:paraId="68065CFA">
      <w:pPr>
        <w:jc w:val="center"/>
      </w:pPr>
      <w:r>
        <w:drawing>
          <wp:inline distT="0" distB="0" distL="0" distR="0">
            <wp:extent cx="5715000" cy="43453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5715000" cy="4345690"/>
                    </a:xfrm>
                    <a:prstGeom prst="rect">
                      <a:avLst/>
                    </a:prstGeom>
                  </pic:spPr>
                </pic:pic>
              </a:graphicData>
            </a:graphic>
          </wp:inline>
        </w:drawing>
      </w:r>
    </w:p>
    <w:p w14:paraId="174ECE5E"/>
    <w:p w14:paraId="39769203">
      <w:pPr>
        <w:jc w:val="center"/>
        <w:rPr>
          <w:b/>
          <w:bCs/>
          <w:i w:val="0"/>
          <w:iCs w:val="0"/>
        </w:rPr>
      </w:pPr>
      <w:r>
        <w:rPr>
          <w:i w:val="0"/>
          <w:iCs w:val="0"/>
        </w:rPr>
        <w:t>Figure 1: NMDS ordination (Bray-Curtis) with sites coloured by cluster, 95% confidence ellipses, and site labels.</w:t>
      </w:r>
    </w:p>
    <w:p w14:paraId="0FD4CBDD">
      <w:pPr>
        <w:rPr>
          <w:b/>
          <w:bCs/>
        </w:rPr>
      </w:pPr>
    </w:p>
    <w:p w14:paraId="63C0F11F">
      <w:r>
        <w:rPr>
          <w:b/>
          <w:bCs/>
        </w:rPr>
        <w:t xml:space="preserve">Observations: </w:t>
      </w:r>
      <w:bookmarkStart w:id="0" w:name="_GoBack"/>
      <w:bookmarkEnd w:id="0"/>
    </w:p>
    <w:p w14:paraId="21211765">
      <w:pPr>
        <w:pStyle w:val="16"/>
        <w:numPr>
          <w:ilvl w:val="0"/>
          <w:numId w:val="1"/>
        </w:numPr>
      </w:pPr>
      <w:r>
        <w:t>The two clusters are visually separated in ordination space.</w:t>
      </w:r>
    </w:p>
    <w:p w14:paraId="64C26D6A">
      <w:pPr>
        <w:pStyle w:val="16"/>
        <w:numPr>
          <w:ilvl w:val="0"/>
          <w:numId w:val="1"/>
        </w:numPr>
      </w:pPr>
      <w:r>
        <w:t xml:space="preserve">However, a warning appeared during ordiellipse: </w:t>
      </w:r>
      <w:r>
        <w:rPr>
          <w:i/>
          <w:iCs/>
        </w:rPr>
        <w:t>the matrix is either rank-deficient or not positive definite.</w:t>
      </w:r>
      <w:r>
        <w:t xml:space="preserve"> This occurs because with only 2–3 points per cluster, the covariance matrix cannot be estimated reliably. Ellipses are therefore approximate.</w:t>
      </w:r>
    </w:p>
    <w:p w14:paraId="3D84A132"/>
    <w:p w14:paraId="16B48284">
      <w:pPr>
        <w:pStyle w:val="3"/>
      </w:pPr>
      <w:r>
        <w:t>4.5 PERMANOVA</w:t>
      </w:r>
    </w:p>
    <w:p w14:paraId="4D572F95">
      <w:r>
        <w:t>The test for differences between the two clusters gave:</w:t>
      </w:r>
    </w:p>
    <w:p w14:paraId="7FA82618"/>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60"/>
        <w:gridCol w:w="780"/>
        <w:gridCol w:w="1560"/>
        <w:gridCol w:w="1560"/>
        <w:gridCol w:w="1560"/>
        <w:gridCol w:w="2340"/>
      </w:tblGrid>
      <w:tr w14:paraId="160F2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999999" w:sz="0" w:space="0"/>
              <w:left w:val="single" w:color="999999" w:sz="0" w:space="0"/>
              <w:bottom w:val="single" w:color="999999" w:sz="0" w:space="0"/>
              <w:right w:val="single" w:color="999999" w:sz="0" w:space="0"/>
            </w:tcBorders>
            <w:shd w:val="clear" w:color="auto" w:fill="EEEEEE"/>
            <w:tcMar>
              <w:top w:w="100" w:type="dxa"/>
              <w:left w:w="120" w:type="dxa"/>
              <w:bottom w:w="100" w:type="dxa"/>
              <w:right w:w="120" w:type="dxa"/>
            </w:tcMar>
          </w:tcPr>
          <w:p w14:paraId="3D28C29C">
            <w:r>
              <w:rPr>
                <w:b/>
                <w:bCs/>
              </w:rPr>
              <w:t>Source</w:t>
            </w:r>
          </w:p>
        </w:tc>
        <w:tc>
          <w:tcPr>
            <w:tcW w:w="780" w:type="dxa"/>
            <w:tcBorders>
              <w:top w:val="single" w:color="999999" w:sz="0" w:space="0"/>
              <w:left w:val="single" w:color="999999" w:sz="0" w:space="0"/>
              <w:bottom w:val="single" w:color="999999" w:sz="0" w:space="0"/>
              <w:right w:val="single" w:color="999999" w:sz="0" w:space="0"/>
            </w:tcBorders>
            <w:shd w:val="clear" w:color="auto" w:fill="EEEEEE"/>
            <w:tcMar>
              <w:top w:w="100" w:type="dxa"/>
              <w:left w:w="120" w:type="dxa"/>
              <w:bottom w:w="100" w:type="dxa"/>
              <w:right w:w="120" w:type="dxa"/>
            </w:tcMar>
          </w:tcPr>
          <w:p w14:paraId="63E06392">
            <w:r>
              <w:rPr>
                <w:b/>
                <w:bCs/>
              </w:rPr>
              <w:t>Df</w:t>
            </w:r>
          </w:p>
        </w:tc>
        <w:tc>
          <w:tcPr>
            <w:tcW w:w="1560" w:type="dxa"/>
            <w:tcBorders>
              <w:top w:val="single" w:color="999999" w:sz="0" w:space="0"/>
              <w:left w:val="single" w:color="999999" w:sz="0" w:space="0"/>
              <w:bottom w:val="single" w:color="999999" w:sz="0" w:space="0"/>
              <w:right w:val="single" w:color="999999" w:sz="0" w:space="0"/>
            </w:tcBorders>
            <w:shd w:val="clear" w:color="auto" w:fill="EEEEEE"/>
            <w:tcMar>
              <w:top w:w="100" w:type="dxa"/>
              <w:left w:w="120" w:type="dxa"/>
              <w:bottom w:w="100" w:type="dxa"/>
              <w:right w:w="120" w:type="dxa"/>
            </w:tcMar>
          </w:tcPr>
          <w:p w14:paraId="0A455231">
            <w:r>
              <w:rPr>
                <w:b/>
                <w:bCs/>
              </w:rPr>
              <w:t>SumOfSqs</w:t>
            </w:r>
          </w:p>
        </w:tc>
        <w:tc>
          <w:tcPr>
            <w:tcW w:w="1560" w:type="dxa"/>
            <w:tcBorders>
              <w:top w:val="single" w:color="999999" w:sz="0" w:space="0"/>
              <w:left w:val="single" w:color="999999" w:sz="0" w:space="0"/>
              <w:bottom w:val="single" w:color="999999" w:sz="0" w:space="0"/>
              <w:right w:val="single" w:color="999999" w:sz="0" w:space="0"/>
            </w:tcBorders>
            <w:shd w:val="clear" w:color="auto" w:fill="EEEEEE"/>
            <w:tcMar>
              <w:top w:w="100" w:type="dxa"/>
              <w:left w:w="120" w:type="dxa"/>
              <w:bottom w:w="100" w:type="dxa"/>
              <w:right w:w="120" w:type="dxa"/>
            </w:tcMar>
          </w:tcPr>
          <w:p w14:paraId="1422F800">
            <w:r>
              <w:rPr>
                <w:b/>
                <w:bCs/>
              </w:rPr>
              <w:t>R²</w:t>
            </w:r>
          </w:p>
        </w:tc>
        <w:tc>
          <w:tcPr>
            <w:tcW w:w="1560" w:type="dxa"/>
            <w:tcBorders>
              <w:top w:val="single" w:color="999999" w:sz="0" w:space="0"/>
              <w:left w:val="single" w:color="999999" w:sz="0" w:space="0"/>
              <w:bottom w:val="single" w:color="999999" w:sz="0" w:space="0"/>
              <w:right w:val="single" w:color="999999" w:sz="0" w:space="0"/>
            </w:tcBorders>
            <w:shd w:val="clear" w:color="auto" w:fill="EEEEEE"/>
            <w:tcMar>
              <w:top w:w="100" w:type="dxa"/>
              <w:left w:w="120" w:type="dxa"/>
              <w:bottom w:w="100" w:type="dxa"/>
              <w:right w:w="120" w:type="dxa"/>
            </w:tcMar>
          </w:tcPr>
          <w:p w14:paraId="7FB46CDB">
            <w:r>
              <w:rPr>
                <w:b/>
                <w:bCs/>
              </w:rPr>
              <w:t>F</w:t>
            </w:r>
          </w:p>
        </w:tc>
        <w:tc>
          <w:tcPr>
            <w:tcW w:w="2340" w:type="dxa"/>
            <w:tcBorders>
              <w:top w:val="single" w:color="999999" w:sz="0" w:space="0"/>
              <w:left w:val="single" w:color="999999" w:sz="0" w:space="0"/>
              <w:bottom w:val="single" w:color="999999" w:sz="0" w:space="0"/>
              <w:right w:val="single" w:color="999999" w:sz="0" w:space="0"/>
            </w:tcBorders>
            <w:shd w:val="clear" w:color="auto" w:fill="EEEEEE"/>
            <w:tcMar>
              <w:top w:w="100" w:type="dxa"/>
              <w:left w:w="120" w:type="dxa"/>
              <w:bottom w:w="100" w:type="dxa"/>
              <w:right w:w="120" w:type="dxa"/>
            </w:tcMar>
          </w:tcPr>
          <w:p w14:paraId="58DF7777">
            <w:r>
              <w:rPr>
                <w:b/>
                <w:bCs/>
              </w:rPr>
              <w:t>Pr(&gt;F)</w:t>
            </w:r>
          </w:p>
        </w:tc>
      </w:tr>
      <w:tr w14:paraId="1A2B1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999999" w:sz="0" w:space="0"/>
              <w:left w:val="single" w:color="999999" w:sz="0" w:space="0"/>
              <w:bottom w:val="single" w:color="999999" w:sz="0" w:space="0"/>
              <w:right w:val="single" w:color="999999" w:sz="0" w:space="0"/>
            </w:tcBorders>
            <w:tcMar>
              <w:top w:w="100" w:type="dxa"/>
              <w:left w:w="120" w:type="dxa"/>
              <w:bottom w:w="100" w:type="dxa"/>
              <w:right w:w="120" w:type="dxa"/>
            </w:tcMar>
          </w:tcPr>
          <w:p w14:paraId="0B3F1FD5">
            <w:r>
              <w:t>clusters</w:t>
            </w:r>
          </w:p>
        </w:tc>
        <w:tc>
          <w:tcPr>
            <w:tcW w:w="780" w:type="dxa"/>
            <w:tcBorders>
              <w:top w:val="single" w:color="999999" w:sz="0" w:space="0"/>
              <w:left w:val="single" w:color="999999" w:sz="0" w:space="0"/>
              <w:bottom w:val="single" w:color="999999" w:sz="0" w:space="0"/>
              <w:right w:val="single" w:color="999999" w:sz="0" w:space="0"/>
            </w:tcBorders>
            <w:tcMar>
              <w:top w:w="100" w:type="dxa"/>
              <w:left w:w="120" w:type="dxa"/>
              <w:bottom w:w="100" w:type="dxa"/>
              <w:right w:w="120" w:type="dxa"/>
            </w:tcMar>
          </w:tcPr>
          <w:p w14:paraId="4A989267">
            <w:r>
              <w:t>1</w:t>
            </w:r>
          </w:p>
        </w:tc>
        <w:tc>
          <w:tcPr>
            <w:tcW w:w="1560" w:type="dxa"/>
            <w:tcBorders>
              <w:top w:val="single" w:color="999999" w:sz="0" w:space="0"/>
              <w:left w:val="single" w:color="999999" w:sz="0" w:space="0"/>
              <w:bottom w:val="single" w:color="999999" w:sz="0" w:space="0"/>
              <w:right w:val="single" w:color="999999" w:sz="0" w:space="0"/>
            </w:tcBorders>
            <w:tcMar>
              <w:top w:w="100" w:type="dxa"/>
              <w:left w:w="120" w:type="dxa"/>
              <w:bottom w:w="100" w:type="dxa"/>
              <w:right w:w="120" w:type="dxa"/>
            </w:tcMar>
          </w:tcPr>
          <w:p w14:paraId="34DB9991">
            <w:r>
              <w:t>0.4918</w:t>
            </w:r>
          </w:p>
        </w:tc>
        <w:tc>
          <w:tcPr>
            <w:tcW w:w="1560" w:type="dxa"/>
            <w:tcBorders>
              <w:top w:val="single" w:color="999999" w:sz="0" w:space="0"/>
              <w:left w:val="single" w:color="999999" w:sz="0" w:space="0"/>
              <w:bottom w:val="single" w:color="999999" w:sz="0" w:space="0"/>
              <w:right w:val="single" w:color="999999" w:sz="0" w:space="0"/>
            </w:tcBorders>
            <w:tcMar>
              <w:top w:w="100" w:type="dxa"/>
              <w:left w:w="120" w:type="dxa"/>
              <w:bottom w:w="100" w:type="dxa"/>
              <w:right w:w="120" w:type="dxa"/>
            </w:tcMar>
          </w:tcPr>
          <w:p w14:paraId="3B9E12FE">
            <w:r>
              <w:t>0.4088</w:t>
            </w:r>
          </w:p>
        </w:tc>
        <w:tc>
          <w:tcPr>
            <w:tcW w:w="1560" w:type="dxa"/>
            <w:tcBorders>
              <w:top w:val="single" w:color="999999" w:sz="0" w:space="0"/>
              <w:left w:val="single" w:color="999999" w:sz="0" w:space="0"/>
              <w:bottom w:val="single" w:color="999999" w:sz="0" w:space="0"/>
              <w:right w:val="single" w:color="999999" w:sz="0" w:space="0"/>
            </w:tcBorders>
            <w:tcMar>
              <w:top w:w="100" w:type="dxa"/>
              <w:left w:w="120" w:type="dxa"/>
              <w:bottom w:w="100" w:type="dxa"/>
              <w:right w:w="120" w:type="dxa"/>
            </w:tcMar>
          </w:tcPr>
          <w:p w14:paraId="009B294B">
            <w:r>
              <w:t>2.766</w:t>
            </w:r>
          </w:p>
        </w:tc>
        <w:tc>
          <w:tcPr>
            <w:tcW w:w="2340" w:type="dxa"/>
            <w:tcBorders>
              <w:top w:val="single" w:color="999999" w:sz="0" w:space="0"/>
              <w:left w:val="single" w:color="999999" w:sz="0" w:space="0"/>
              <w:bottom w:val="single" w:color="999999" w:sz="0" w:space="0"/>
              <w:right w:val="single" w:color="999999" w:sz="0" w:space="0"/>
            </w:tcBorders>
            <w:tcMar>
              <w:top w:w="100" w:type="dxa"/>
              <w:left w:w="120" w:type="dxa"/>
              <w:bottom w:w="100" w:type="dxa"/>
              <w:right w:w="120" w:type="dxa"/>
            </w:tcMar>
          </w:tcPr>
          <w:p w14:paraId="72806C7C">
            <w:r>
              <w:t>0.06667 .</w:t>
            </w:r>
          </w:p>
        </w:tc>
      </w:tr>
      <w:tr w14:paraId="2AEFE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999999" w:sz="0" w:space="0"/>
              <w:left w:val="single" w:color="999999" w:sz="0" w:space="0"/>
              <w:bottom w:val="single" w:color="999999" w:sz="0" w:space="0"/>
              <w:right w:val="single" w:color="999999" w:sz="0" w:space="0"/>
            </w:tcBorders>
            <w:tcMar>
              <w:top w:w="100" w:type="dxa"/>
              <w:left w:w="120" w:type="dxa"/>
              <w:bottom w:w="100" w:type="dxa"/>
              <w:right w:w="120" w:type="dxa"/>
            </w:tcMar>
          </w:tcPr>
          <w:p w14:paraId="53CFEC71">
            <w:r>
              <w:t>Residual</w:t>
            </w:r>
          </w:p>
        </w:tc>
        <w:tc>
          <w:tcPr>
            <w:tcW w:w="780" w:type="dxa"/>
            <w:tcBorders>
              <w:top w:val="single" w:color="999999" w:sz="0" w:space="0"/>
              <w:left w:val="single" w:color="999999" w:sz="0" w:space="0"/>
              <w:bottom w:val="single" w:color="999999" w:sz="0" w:space="0"/>
              <w:right w:val="single" w:color="999999" w:sz="0" w:space="0"/>
            </w:tcBorders>
            <w:tcMar>
              <w:top w:w="100" w:type="dxa"/>
              <w:left w:w="120" w:type="dxa"/>
              <w:bottom w:w="100" w:type="dxa"/>
              <w:right w:w="120" w:type="dxa"/>
            </w:tcMar>
          </w:tcPr>
          <w:p w14:paraId="0136CE54">
            <w:r>
              <w:t>4</w:t>
            </w:r>
          </w:p>
        </w:tc>
        <w:tc>
          <w:tcPr>
            <w:tcW w:w="1560" w:type="dxa"/>
            <w:tcBorders>
              <w:top w:val="single" w:color="999999" w:sz="0" w:space="0"/>
              <w:left w:val="single" w:color="999999" w:sz="0" w:space="0"/>
              <w:bottom w:val="single" w:color="999999" w:sz="0" w:space="0"/>
              <w:right w:val="single" w:color="999999" w:sz="0" w:space="0"/>
            </w:tcBorders>
            <w:tcMar>
              <w:top w:w="100" w:type="dxa"/>
              <w:left w:w="120" w:type="dxa"/>
              <w:bottom w:w="100" w:type="dxa"/>
              <w:right w:w="120" w:type="dxa"/>
            </w:tcMar>
          </w:tcPr>
          <w:p w14:paraId="6ACA75C3">
            <w:r>
              <w:t>0.7112</w:t>
            </w:r>
          </w:p>
        </w:tc>
        <w:tc>
          <w:tcPr>
            <w:tcW w:w="1560" w:type="dxa"/>
            <w:tcBorders>
              <w:top w:val="single" w:color="999999" w:sz="0" w:space="0"/>
              <w:left w:val="single" w:color="999999" w:sz="0" w:space="0"/>
              <w:bottom w:val="single" w:color="999999" w:sz="0" w:space="0"/>
              <w:right w:val="single" w:color="999999" w:sz="0" w:space="0"/>
            </w:tcBorders>
            <w:tcMar>
              <w:top w:w="100" w:type="dxa"/>
              <w:left w:w="120" w:type="dxa"/>
              <w:bottom w:w="100" w:type="dxa"/>
              <w:right w:w="120" w:type="dxa"/>
            </w:tcMar>
          </w:tcPr>
          <w:p w14:paraId="60A23A3A">
            <w:r>
              <w:t>0.5912</w:t>
            </w:r>
          </w:p>
        </w:tc>
        <w:tc>
          <w:tcPr>
            <w:tcW w:w="1560" w:type="dxa"/>
            <w:tcBorders>
              <w:top w:val="single" w:color="999999" w:sz="0" w:space="0"/>
              <w:left w:val="single" w:color="999999" w:sz="0" w:space="0"/>
              <w:bottom w:val="single" w:color="999999" w:sz="0" w:space="0"/>
              <w:right w:val="single" w:color="999999" w:sz="0" w:space="0"/>
            </w:tcBorders>
            <w:tcMar>
              <w:top w:w="100" w:type="dxa"/>
              <w:left w:w="120" w:type="dxa"/>
              <w:bottom w:w="100" w:type="dxa"/>
              <w:right w:w="120" w:type="dxa"/>
            </w:tcMar>
          </w:tcPr>
          <w:p w14:paraId="24874AEC"/>
        </w:tc>
        <w:tc>
          <w:tcPr>
            <w:tcW w:w="2340" w:type="dxa"/>
            <w:tcBorders>
              <w:top w:val="single" w:color="999999" w:sz="0" w:space="0"/>
              <w:left w:val="single" w:color="999999" w:sz="0" w:space="0"/>
              <w:bottom w:val="single" w:color="999999" w:sz="0" w:space="0"/>
              <w:right w:val="single" w:color="999999" w:sz="0" w:space="0"/>
            </w:tcBorders>
            <w:tcMar>
              <w:top w:w="100" w:type="dxa"/>
              <w:left w:w="120" w:type="dxa"/>
              <w:bottom w:w="100" w:type="dxa"/>
              <w:right w:w="120" w:type="dxa"/>
            </w:tcMar>
          </w:tcPr>
          <w:p w14:paraId="77FC30A2"/>
        </w:tc>
      </w:tr>
      <w:tr w14:paraId="33568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999999" w:sz="0" w:space="0"/>
              <w:left w:val="single" w:color="999999" w:sz="0" w:space="0"/>
              <w:bottom w:val="single" w:color="999999" w:sz="0" w:space="0"/>
              <w:right w:val="single" w:color="999999" w:sz="0" w:space="0"/>
            </w:tcBorders>
            <w:tcMar>
              <w:top w:w="100" w:type="dxa"/>
              <w:left w:w="120" w:type="dxa"/>
              <w:bottom w:w="100" w:type="dxa"/>
              <w:right w:w="120" w:type="dxa"/>
            </w:tcMar>
          </w:tcPr>
          <w:p w14:paraId="557100DA">
            <w:r>
              <w:t>Total</w:t>
            </w:r>
          </w:p>
        </w:tc>
        <w:tc>
          <w:tcPr>
            <w:tcW w:w="780" w:type="dxa"/>
            <w:tcBorders>
              <w:top w:val="single" w:color="999999" w:sz="0" w:space="0"/>
              <w:left w:val="single" w:color="999999" w:sz="0" w:space="0"/>
              <w:bottom w:val="single" w:color="999999" w:sz="0" w:space="0"/>
              <w:right w:val="single" w:color="999999" w:sz="0" w:space="0"/>
            </w:tcBorders>
            <w:tcMar>
              <w:top w:w="100" w:type="dxa"/>
              <w:left w:w="120" w:type="dxa"/>
              <w:bottom w:w="100" w:type="dxa"/>
              <w:right w:w="120" w:type="dxa"/>
            </w:tcMar>
          </w:tcPr>
          <w:p w14:paraId="4FAE5D34">
            <w:r>
              <w:t>5</w:t>
            </w:r>
          </w:p>
        </w:tc>
        <w:tc>
          <w:tcPr>
            <w:tcW w:w="1560" w:type="dxa"/>
            <w:tcBorders>
              <w:top w:val="single" w:color="999999" w:sz="0" w:space="0"/>
              <w:left w:val="single" w:color="999999" w:sz="0" w:space="0"/>
              <w:bottom w:val="single" w:color="999999" w:sz="0" w:space="0"/>
              <w:right w:val="single" w:color="999999" w:sz="0" w:space="0"/>
            </w:tcBorders>
            <w:tcMar>
              <w:top w:w="100" w:type="dxa"/>
              <w:left w:w="120" w:type="dxa"/>
              <w:bottom w:w="100" w:type="dxa"/>
              <w:right w:w="120" w:type="dxa"/>
            </w:tcMar>
          </w:tcPr>
          <w:p w14:paraId="537E925E">
            <w:r>
              <w:t>1.2030</w:t>
            </w:r>
          </w:p>
        </w:tc>
        <w:tc>
          <w:tcPr>
            <w:tcW w:w="1560" w:type="dxa"/>
            <w:tcBorders>
              <w:top w:val="single" w:color="999999" w:sz="0" w:space="0"/>
              <w:left w:val="single" w:color="999999" w:sz="0" w:space="0"/>
              <w:bottom w:val="single" w:color="999999" w:sz="0" w:space="0"/>
              <w:right w:val="single" w:color="999999" w:sz="0" w:space="0"/>
            </w:tcBorders>
            <w:tcMar>
              <w:top w:w="100" w:type="dxa"/>
              <w:left w:w="120" w:type="dxa"/>
              <w:bottom w:w="100" w:type="dxa"/>
              <w:right w:w="120" w:type="dxa"/>
            </w:tcMar>
          </w:tcPr>
          <w:p w14:paraId="1E794CC6">
            <w:r>
              <w:t>1.0000</w:t>
            </w:r>
          </w:p>
        </w:tc>
        <w:tc>
          <w:tcPr>
            <w:tcW w:w="1560" w:type="dxa"/>
            <w:tcBorders>
              <w:top w:val="single" w:color="999999" w:sz="0" w:space="0"/>
              <w:left w:val="single" w:color="999999" w:sz="0" w:space="0"/>
              <w:bottom w:val="single" w:color="999999" w:sz="0" w:space="0"/>
              <w:right w:val="single" w:color="999999" w:sz="0" w:space="0"/>
            </w:tcBorders>
            <w:tcMar>
              <w:top w:w="100" w:type="dxa"/>
              <w:left w:w="120" w:type="dxa"/>
              <w:bottom w:w="100" w:type="dxa"/>
              <w:right w:w="120" w:type="dxa"/>
            </w:tcMar>
          </w:tcPr>
          <w:p w14:paraId="70508B4B"/>
        </w:tc>
        <w:tc>
          <w:tcPr>
            <w:tcW w:w="2340" w:type="dxa"/>
            <w:tcBorders>
              <w:top w:val="single" w:color="999999" w:sz="0" w:space="0"/>
              <w:left w:val="single" w:color="999999" w:sz="0" w:space="0"/>
              <w:bottom w:val="single" w:color="999999" w:sz="0" w:space="0"/>
              <w:right w:val="single" w:color="999999" w:sz="0" w:space="0"/>
            </w:tcBorders>
            <w:tcMar>
              <w:top w:w="100" w:type="dxa"/>
              <w:left w:w="120" w:type="dxa"/>
              <w:bottom w:w="100" w:type="dxa"/>
              <w:right w:w="120" w:type="dxa"/>
            </w:tcMar>
          </w:tcPr>
          <w:p w14:paraId="033556B8"/>
        </w:tc>
      </w:tr>
    </w:tbl>
    <w:p w14:paraId="7F23BB08"/>
    <w:p w14:paraId="37D959B4">
      <w:r>
        <w:rPr>
          <w:b/>
          <w:bCs/>
        </w:rPr>
        <w:t xml:space="preserve">R² = 0.4088 </w:t>
      </w:r>
      <w:r>
        <w:t>(40.9% of variation explained by cluster membership).</w:t>
      </w:r>
    </w:p>
    <w:p w14:paraId="1CAAB359">
      <w:pPr>
        <w:spacing w:before="80"/>
      </w:pPr>
      <w:r>
        <w:rPr>
          <w:b/>
          <w:bCs/>
        </w:rPr>
        <w:t xml:space="preserve">p-value = 0.0667 </w:t>
      </w:r>
      <w:r>
        <w:t>(not significant at α = 0.05).</w:t>
      </w:r>
    </w:p>
    <w:p w14:paraId="2BE79F55"/>
    <w:p w14:paraId="78692715">
      <w:r>
        <w:rPr>
          <w:b/>
          <w:bCs/>
        </w:rPr>
        <w:t xml:space="preserve">Conclusion: </w:t>
      </w:r>
      <w:r>
        <w:t>There is no statistically significant difference in species composition between the two clusters (p &gt; 0.05). The effect is borderline but does not reach conventional significance.</w:t>
      </w:r>
    </w:p>
    <w:p w14:paraId="3C3D882A"/>
    <w:p w14:paraId="70B52EFE">
      <w:pPr>
        <w:pStyle w:val="2"/>
      </w:pPr>
      <w:r>
        <w:t>5. Discussion</w:t>
      </w:r>
    </w:p>
    <w:p w14:paraId="049A5CE8">
      <w:pPr>
        <w:pStyle w:val="3"/>
      </w:pPr>
      <w:r>
        <w:t>Limitations</w:t>
      </w:r>
    </w:p>
    <w:p w14:paraId="465D21B6">
      <w:pPr>
        <w:pStyle w:val="16"/>
        <w:numPr>
          <w:ilvl w:val="0"/>
          <w:numId w:val="1"/>
        </w:numPr>
      </w:pPr>
      <w:r>
        <w:t>Very small sample size (n = 6): NMDS stress = 0 is a warning; the ordination is not reliable.</w:t>
      </w:r>
    </w:p>
    <w:p w14:paraId="514AF265">
      <w:pPr>
        <w:pStyle w:val="16"/>
        <w:numPr>
          <w:ilvl w:val="0"/>
          <w:numId w:val="1"/>
        </w:numPr>
      </w:pPr>
      <w:r>
        <w:t>No significant species found by envfit – again a consequence of low power.</w:t>
      </w:r>
    </w:p>
    <w:p w14:paraId="4551FB09">
      <w:pPr>
        <w:pStyle w:val="16"/>
        <w:numPr>
          <w:ilvl w:val="0"/>
          <w:numId w:val="1"/>
        </w:numPr>
      </w:pPr>
      <w:r>
        <w:t>Ellipses warning – insufficient points per cluster to compute robust confidence regions.</w:t>
      </w:r>
    </w:p>
    <w:p w14:paraId="298789CF">
      <w:pPr>
        <w:pStyle w:val="16"/>
        <w:numPr>
          <w:ilvl w:val="0"/>
          <w:numId w:val="1"/>
        </w:numPr>
      </w:pPr>
      <w:r>
        <w:t>PERMANOVA p = 0.067 – although not significant, the effect size (R² = 0.41) is moderate. With more sites, this might become significant.</w:t>
      </w:r>
    </w:p>
    <w:p w14:paraId="38737151"/>
    <w:p w14:paraId="781B1866">
      <w:pPr>
        <w:pStyle w:val="3"/>
      </w:pPr>
      <w:r>
        <w:t>Ecological Interpretation</w:t>
      </w:r>
    </w:p>
    <w:p w14:paraId="20CBA61E">
      <w:r>
        <w:t>Despite the statistical non-significance, the clustering separates Karaul village and Sibiryakov Island (Cluster 2) from the other four sites. These two sites are characterised by lower overall chrysophyte abundance (many species absent or rare). The other four sites (Cluster 1) show higher diversity and abundance, especially of species like Mallomonas akrokomos, S. trioralis, and Synura species.</w:t>
      </w:r>
    </w:p>
    <w:p w14:paraId="27BDFD6C"/>
    <w:p w14:paraId="33702B64">
      <w:pPr>
        <w:pStyle w:val="2"/>
      </w:pPr>
      <w:r>
        <w:t>6. Conclusion</w:t>
      </w:r>
    </w:p>
    <w:p w14:paraId="24DFED8F">
      <w:pPr>
        <w:pStyle w:val="16"/>
        <w:numPr>
          <w:ilvl w:val="0"/>
          <w:numId w:val="1"/>
        </w:numPr>
      </w:pPr>
      <w:r>
        <w:t>NMDS with Bray-Curtis distance produced a perfect ordination (stress = 0), but this is an artefact of the tiny sample size.</w:t>
      </w:r>
    </w:p>
    <w:p w14:paraId="161630CF">
      <w:pPr>
        <w:pStyle w:val="16"/>
        <w:numPr>
          <w:ilvl w:val="0"/>
          <w:numId w:val="1"/>
        </w:numPr>
      </w:pPr>
      <w:r>
        <w:t>No species were statistically significant drivers of the ordination (envfit p &gt; 0.05).</w:t>
      </w:r>
    </w:p>
    <w:p w14:paraId="01D2837C">
      <w:pPr>
        <w:pStyle w:val="16"/>
        <w:numPr>
          <w:ilvl w:val="0"/>
          <w:numId w:val="1"/>
        </w:numPr>
      </w:pPr>
      <w:r>
        <w:t>Two clusters were formed by UPGMA:</w:t>
      </w:r>
    </w:p>
    <w:p w14:paraId="28846271">
      <w:pPr>
        <w:pStyle w:val="16"/>
        <w:numPr>
          <w:ilvl w:val="0"/>
          <w:numId w:val="1"/>
        </w:numPr>
        <w:ind w:left="1440" w:hanging="360"/>
      </w:pPr>
      <w:r>
        <w:t>Cluster 1: Ledyanaya Gora, Ladyginskie Yary, Sopochnaya Karga, Chernyi Bay</w:t>
      </w:r>
    </w:p>
    <w:p w14:paraId="40A60C6B">
      <w:pPr>
        <w:pStyle w:val="16"/>
        <w:numPr>
          <w:ilvl w:val="0"/>
          <w:numId w:val="1"/>
        </w:numPr>
        <w:ind w:left="1440" w:hanging="360"/>
      </w:pPr>
      <w:r>
        <w:t>Cluster 2: Karaul village, Sibiryakov Island</w:t>
      </w:r>
    </w:p>
    <w:p w14:paraId="3FDCDD0B">
      <w:pPr>
        <w:pStyle w:val="16"/>
        <w:numPr>
          <w:ilvl w:val="0"/>
          <w:numId w:val="1"/>
        </w:numPr>
      </w:pPr>
      <w:r>
        <w:t>PERMANOVA showed no significant difference between clusters (p = 0.0667), although the R² (0.41) suggests a moderate effect that might become significant with a larger sample.</w:t>
      </w:r>
    </w:p>
    <w:p w14:paraId="24E9225E"/>
    <w:p w14:paraId="2DDAF84E">
      <w:r>
        <w:rPr>
          <w:b/>
          <w:bCs/>
        </w:rPr>
        <w:t xml:space="preserve">Final recommendation: </w:t>
      </w:r>
      <w:r>
        <w:t>The current dataset is too small to draw robust ecological conclusions. Future sampling should include more sites to increase statistical power and stabilise ordinations.</w:t>
      </w:r>
    </w:p>
    <w:p w14:paraId="507783E0"/>
    <w:p w14:paraId="1B980B5A">
      <w:pPr>
        <w:pStyle w:val="2"/>
      </w:pPr>
      <w:r>
        <w:t>7. Appendix – R Code</w:t>
      </w:r>
    </w:p>
    <w:p w14:paraId="418A6168">
      <w:r>
        <w:t>The complete R script used for this analysis is provided in a separate file (Task5_analysis.R). Key functions: metaMDS, envfit, vegdist, hclust, cutree, ordiellipse, orditorp, adonis2.</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compatSetting w:name="compatibilityMode" w:uri="http://schemas.microsoft.com/office/word" w:val="15"/>
  </w:compat>
  <w:rsids>
    <w:rsidRoot w:val="00000000"/>
    <w:rsid w:val="2FFD4C9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4"/>
      <w:szCs w:val="24"/>
    </w:rPr>
  </w:style>
  <w:style w:type="paragraph" w:styleId="2">
    <w:name w:val="heading 1"/>
    <w:next w:val="1"/>
    <w:qFormat/>
    <w:uiPriority w:val="0"/>
    <w:pPr>
      <w:spacing w:before="300" w:after="120"/>
      <w:outlineLvl w:val="0"/>
    </w:pPr>
    <w:rPr>
      <w:rFonts w:ascii="Arial" w:hAnsi="Arial" w:eastAsia="Arial" w:cs="Arial"/>
      <w:b/>
      <w:bCs/>
      <w:sz w:val="32"/>
      <w:szCs w:val="32"/>
    </w:rPr>
  </w:style>
  <w:style w:type="paragraph" w:styleId="3">
    <w:name w:val="heading 2"/>
    <w:next w:val="1"/>
    <w:qFormat/>
    <w:uiPriority w:val="0"/>
    <w:pPr>
      <w:spacing w:before="240" w:after="100"/>
      <w:outlineLvl w:val="1"/>
    </w:pPr>
    <w:rPr>
      <w:rFonts w:ascii="Arial" w:hAnsi="Arial" w:eastAsia="Arial" w:cs="Arial"/>
      <w:b/>
      <w:bCs/>
      <w:sz w:val="28"/>
      <w:szCs w:val="28"/>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4"/>
      <w:szCs w:val="24"/>
    </w:rPr>
  </w:style>
  <w:style w:type="paragraph" w:styleId="6">
    <w:name w:val="heading 5"/>
    <w:next w:val="1"/>
    <w:qFormat/>
    <w:uiPriority w:val="0"/>
    <w:rPr>
      <w:rFonts w:ascii="Arial" w:hAnsi="Arial" w:eastAsia="Arial" w:cs="Arial"/>
      <w:color w:val="2E74B5"/>
      <w:sz w:val="24"/>
      <w:szCs w:val="24"/>
    </w:rPr>
  </w:style>
  <w:style w:type="paragraph" w:styleId="7">
    <w:name w:val="heading 6"/>
    <w:next w:val="1"/>
    <w:qFormat/>
    <w:uiPriority w:val="0"/>
    <w:rPr>
      <w:rFonts w:ascii="Arial" w:hAnsi="Arial" w:eastAsia="Arial" w:cs="Arial"/>
      <w:color w:val="1F4D78"/>
      <w:sz w:val="24"/>
      <w:szCs w:val="24"/>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801</Words>
  <Characters>4645</Characters>
  <TotalTime>1</TotalTime>
  <ScaleCrop>false</ScaleCrop>
  <LinksUpToDate>false</LinksUpToDate>
  <CharactersWithSpaces>5359</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2026-05-17T09:35:00Z</dcterms:created>
  <dc:creator>Un-named</dc:creator>
  <cp:lastModifiedBy>Charles Chuks</cp:lastModifiedBy>
  <dcterms:modified xsi:type="dcterms:W3CDTF">2026-05-17T09:38:06Z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eyJoZGlkIjoiNmQyMjQ1Mjk0Njk0ZmI0NzM3YTFlYzBhOGViOGYwNmIiLCJ1c2VySWQiOiIzNzI4NDgxNTgwOTE2In0=</vt:lpwstr>
  </property>
  <property fmtid="{D5CDD505-2E9C-101B-9397-08002B2CF9AE}" pid="3" name="KSOProductBuildVer">
    <vt:lpwstr>1033-12.1.0.26372</vt:lpwstr>
  </property>
  <property fmtid="{D5CDD505-2E9C-101B-9397-08002B2CF9AE}" pid="4" name="ICV">
    <vt:lpwstr>6B6420718EE24C3C8B72E0E30F572E59_12</vt:lpwstr>
  </property>
</Properties>
</file>