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4F72"/>
          <w:sz w:val="56"/>
          <w:szCs w:val="56"/>
        </w:rPr>
        <w:t xml:space="preserve">Personalized Outreach Playbook</w:t>
      </w:r>
    </w:p>
    <w:p>
      <w:pPr>
        <w:spacing w:before="200"/>
        <w:jc w:val="center"/>
      </w:pPr>
      <w:r>
        <w:rPr>
          <w:rFonts w:ascii="Arial" w:cs="Arial" w:eastAsia="Arial" w:hAnsi="Arial"/>
          <w:color w:val="2E86C1"/>
          <w:sz w:val="30"/>
          <w:szCs w:val="30"/>
        </w:rPr>
        <w:t xml:space="preserve">Multi-Sequence Email &amp; LinkedIn Campaigns</w:t>
      </w:r>
    </w:p>
    <w:p>
      <w:pPr>
        <w:spacing w:before="100"/>
        <w:jc w:val="center"/>
      </w:pPr>
      <w:r>
        <w:rPr>
          <w:rFonts w:ascii="Arial" w:cs="Arial" w:eastAsia="Arial" w:hAnsi="Arial"/>
          <w:color w:val="555555"/>
          <w:sz w:val="24"/>
          <w:szCs w:val="24"/>
        </w:rPr>
        <w:t xml:space="preserve">Unified Terpene Pharmacology Publication Series</w:t>
      </w:r>
    </w:p>
    <w:p>
      <w:pPr>
        <w:spacing w:before="600"/>
        <w:jc w:val="center"/>
      </w:pPr>
      <w:r>
        <w:rPr>
          <w:rFonts w:ascii="Arial" w:cs="Arial" w:eastAsia="Arial" w:hAnsi="Arial"/>
          <w:sz w:val="22"/>
          <w:szCs w:val="22"/>
        </w:rPr>
        <w:t xml:space="preserve">Charles Pelletier-Gagné  |  Sebastopol, CA  |  February 2026</w:t>
      </w:r>
    </w:p>
    <w:p>
      <w:pPr>
        <w:spacing w:before="200"/>
        <w:jc w:val="center"/>
      </w:pPr>
      <w:r>
        <w:rPr>
          <w:rFonts w:ascii="Arial" w:cs="Arial" w:eastAsia="Arial" w:hAnsi="Arial"/>
          <w:color w:val="888888"/>
          <w:sz w:val="20"/>
          <w:szCs w:val="20"/>
        </w:rPr>
        <w:t xml:space="preserve">20 Personalized Researcher Sequences  |  60+ Touchpoints</w:t>
      </w:r>
    </w:p>
    <w:p>
      <w:r>
        <w:br w:type="page"/>
      </w:r>
    </w:p>
    <w:p>
      <w:pPr>
        <w:pStyle w:val="Heading1"/>
      </w:pPr>
      <w:r>
        <w:t xml:space="preserve">How to Use This Playbook</w:t>
      </w:r>
    </w:p>
    <w:p>
      <w:pPr>
        <w:spacing w:after="60"/>
      </w:pPr>
      <w:r>
        <w:t xml:space="preserve"/>
      </w:r>
    </w:p>
    <w:p>
      <w:pPr>
        <w:spacing w:after="120"/>
      </w:pPr>
      <w:r>
        <w:t xml:space="preserve">Each researcher section contains a complete 3-touch outreach sequence: an initial email, a follow-up email (7–10 days later), and a LinkedIn connection request or message. Every message is personalized based on deep research into each person’s recent publications, grants, communication style, and institutional context.</w:t>
      </w:r>
    </w:p>
    <w:p>
      <w:pPr>
        <w:spacing w:after="60"/>
      </w:pPr>
      <w:r>
        <w:t xml:space="preserve"/>
      </w:r>
    </w:p>
    <w:p>
      <w:pPr>
        <w:spacing w:after="120"/>
      </w:pPr>
      <w:r>
        <w:rPr>
          <w:b/>
          <w:bCs/>
        </w:rPr>
        <w:t xml:space="preserve">Sequence Structure: </w:t>
      </w:r>
      <w:r>
        <w:t xml:space="preserve">Email 1 (Cold Outreach) → Email 2 (Value-Add Follow-Up, 7–10 days) → LinkedIn (Parallel or after Email 1)</w:t>
      </w:r>
    </w:p>
    <w:p>
      <w:pPr>
        <w:spacing w:after="120"/>
      </w:pPr>
      <w:r>
        <w:rPr>
          <w:b/>
          <w:bCs/>
        </w:rPr>
        <w:t xml:space="preserve">Tone Calibration: </w:t>
      </w:r>
      <w:r>
        <w:t xml:space="preserve">Each sequence is tuned to the researcher’s communication style — formal European academic, casual Australian, data-driven American, etc.</w:t>
      </w:r>
    </w:p>
    <w:p>
      <w:pPr>
        <w:spacing w:after="120"/>
      </w:pPr>
      <w:r>
        <w:rPr>
          <w:b/>
          <w:bCs/>
        </w:rPr>
        <w:t xml:space="preserve">Attachment Strategy: </w:t>
      </w:r>
      <w:r>
        <w:t xml:space="preserve">Email 1 should include a 2–3 page evidence base summary (not the full document). Email 2 includes a specific article outline or section draft relevant to their expertise.</w:t>
      </w:r>
    </w:p>
    <w:p>
      <w:pPr>
        <w:spacing w:after="120"/>
      </w:pPr>
      <w:r>
        <w:rPr>
          <w:b/>
          <w:bCs/>
        </w:rPr>
        <w:t xml:space="preserve">LinkedIn Strategy: </w:t>
      </w:r>
      <w:r>
        <w:t xml:space="preserve">Connect first, then message. If they accept, send the LinkedIn message 24–48 hours after connection. If no response to emails after 2 weeks, LinkedIn becomes the fallback channel.</w:t>
      </w:r>
    </w:p>
    <w:p>
      <w:pPr>
        <w:spacing w:after="60"/>
      </w:pPr>
      <w:r>
        <w:t xml:space="preserve"/>
      </w:r>
    </w:p>
    <w:p>
      <w:pPr>
        <w:spacing w:after="120"/>
      </w:pPr>
      <w:r>
        <w:rPr>
          <w:b/>
          <w:bCs/>
        </w:rPr>
        <w:t xml:space="preserve">Signature Block (use consistently):</w:t>
      </w:r>
    </w:p>
    <w:p>
      <w:pPr>
        <w:spacing w:after="120"/>
      </w:pPr>
      <w:r>
        <w:t xml:space="preserve">Charles Pelletier-Gagné</w:t>
      </w:r>
    </w:p>
    <w:p>
      <w:pPr>
        <w:spacing w:after="120"/>
      </w:pPr>
      <w:r>
        <w:t xml:space="preserve">Independent Researcher | Unified Terpene Pharmacology</w:t>
      </w:r>
    </w:p>
    <w:p>
      <w:pPr>
        <w:spacing w:after="120"/>
      </w:pPr>
      <w:r>
        <w:t xml:space="preserve">Sebastopol, California</w:t>
      </w:r>
    </w:p>
    <w:p>
      <w:pPr>
        <w:spacing w:after="120"/>
      </w:pPr>
      <w:r>
        <w:rPr>
          <w:i/>
          <w:iCs/>
        </w:rPr>
        <w:t xml:space="preserve">charles@funden.app</w:t>
      </w:r>
    </w:p>
    <w:p>
      <w:r>
        <w:br w:type="page"/>
      </w:r>
    </w:p>
    <w:p>
      <w:pPr>
        <w:spacing w:before="200" w:after="300"/>
      </w:pPr>
      <w:r>
        <w:rPr>
          <w:rFonts w:ascii="Arial" w:cs="Arial" w:eastAsia="Arial" w:hAnsi="Arial"/>
          <w:b/>
          <w:bCs/>
          <w:color w:val="1B4F72"/>
          <w:sz w:val="36"/>
          <w:szCs w:val="36"/>
        </w:rPr>
        <w:t xml:space="preserve">PHASE 1: FOUNDATION PARTNERS (WEEKS 1–2)</w:t>
      </w:r>
    </w:p>
    <w:p>
      <w:pPr>
        <w:spacing w:after="120"/>
      </w:pPr>
      <w:r>
        <w:rPr>
          <w:i/>
          <w:iCs/>
        </w:rPr>
        <w:t xml:space="preserve">These three researchers form the scientific backbone of your publication series. Secure their engagement first.</w:t>
      </w:r>
    </w:p>
    <w:p>
      <w:r>
        <w:br w:type="page"/>
      </w:r>
    </w:p>
    <w:p>
      <w:pPr>
        <w:pStyle w:val="Heading1"/>
      </w:pPr>
      <w:r>
        <w:t xml:space="preserve">1. John Streicher, PhD</w:t>
      </w:r>
    </w:p>
    <w:p>
      <w:pPr>
        <w:pStyle w:val="Heading2"/>
      </w:pPr>
      <w:r>
        <w:t xml:space="preserve">University of Arizona — Comprehensive Pain &amp; Addiction Center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Informal, direct, data-focused. Uses humor on X/Twitter (@JohnStreicher1).</w:t>
            </w:r>
          </w:p>
          <w:p>
            <w:pPr>
              <w:spacing w:after="60"/>
            </w:pPr>
            <w:r>
              <w:rPr>
                <w:rFonts w:ascii="Arial" w:cs="Arial" w:eastAsia="Arial" w:hAnsi="Arial"/>
                <w:sz w:val="20"/>
                <w:szCs w:val="20"/>
              </w:rPr>
              <w:t xml:space="preserve">Recent win: Seekins 2025 (Pharmacological Reports) extended A2a mechanism to fibromyalgia + post-op pain.</w:t>
            </w:r>
          </w:p>
          <w:p>
            <w:pPr>
              <w:spacing w:after="60"/>
            </w:pPr>
            <w:r>
              <w:rPr>
                <w:rFonts w:ascii="Arial" w:cs="Arial" w:eastAsia="Arial" w:hAnsi="Arial"/>
                <w:sz w:val="20"/>
                <w:szCs w:val="20"/>
              </w:rPr>
              <w:t xml:space="preserve">Active grant: R01AT011517 (NCCIH) — reference this specifically.</w:t>
            </w:r>
          </w:p>
          <w:p>
            <w:pPr>
              <w:spacing w:after="60"/>
            </w:pPr>
            <w:r>
              <w:rPr>
                <w:rFonts w:ascii="Arial" w:cs="Arial" w:eastAsia="Arial" w:hAnsi="Arial"/>
                <w:sz w:val="20"/>
                <w:szCs w:val="20"/>
              </w:rPr>
              <w:t xml:space="preserve">Industry ties: Napreva consulting (terpene-based pain products). Open to translational framing.</w:t>
            </w:r>
          </w:p>
          <w:p>
            <w:pPr>
              <w:spacing w:after="60"/>
            </w:pPr>
            <w:r>
              <w:rPr>
                <w:rFonts w:ascii="Arial" w:cs="Arial" w:eastAsia="Arial" w:hAnsi="Arial"/>
                <w:sz w:val="20"/>
                <w:szCs w:val="20"/>
              </w:rPr>
              <w:t xml:space="preserve">Lab culture: Active mentor — Schwarz PhD (2024), Seekins MD transition. Values student development.</w:t>
            </w:r>
          </w:p>
          <w:p>
            <w:pPr>
              <w:spacing w:after="60"/>
            </w:pPr>
            <w:r>
              <w:rPr>
                <w:rFonts w:ascii="Arial" w:cs="Arial" w:eastAsia="Arial" w:hAnsi="Arial"/>
                <w:sz w:val="20"/>
                <w:szCs w:val="20"/>
              </w:rPr>
              <w:t xml:space="preserve">Podcast appearances: Cannabis Boomer, Periodic Effects (Pe230). Comfortable with casual, direct communication.</w:t>
            </w:r>
          </w:p>
          <w:p>
            <w:pPr>
              <w:spacing w:after="60"/>
            </w:pPr>
            <w:r>
              <w:rPr>
                <w:rFonts w:ascii="Arial" w:cs="Arial" w:eastAsia="Arial" w:hAnsi="Arial"/>
                <w:sz w:val="20"/>
                <w:szCs w:val="20"/>
              </w:rPr>
              <w:t xml:space="preserve">Key angle: His lab’s A2a receptor mechanism is THE scientific backbone of your Article 2. He needs to know your review contextualizes his work within the broader cross-disciplinary literature.</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A2a terpene mechanism in cross-disciplinary context — Pharmacological Reviews collaboration</w:t>
            </w:r>
          </w:p>
          <w:p>
            <w:pPr>
              <w:spacing w:after="60"/>
            </w:pPr>
            <w:r>
              <w:t xml:space="preserve"/>
            </w:r>
          </w:p>
          <w:p>
            <w:pPr>
              <w:spacing w:after="80"/>
            </w:pPr>
            <w:r>
              <w:rPr>
                <w:rFonts w:ascii="Arial" w:cs="Arial" w:eastAsia="Arial" w:hAnsi="Arial"/>
                <w:sz w:val="20"/>
                <w:szCs w:val="20"/>
              </w:rPr>
              <w:t xml:space="preserve">Dr. Streicher,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I’ve been following the trajectory of your terpene antinociception program since LaVigne 2021, and the mechanistic progression through Schwarz’s PAIN paper to the Seekins fibromyalgia/post-op extension is, frankly, the most compelling evidence arc in terpene pharmacology right now.</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an independent researcher preparing a comprehensive review for Pharmacological Reviews (15,000–25,000 words) that does something I don’t think has been done before: it synthesizes the mechanistic evidence across cannabis terpene pharmacology, clinical aromatherapy (particularly Kasper’s Silexan RCTs), and Qing Li’s forest medicine immunology into a single unified framework. The same molecules — α-pinene, limonene, linalool, β-caryophyllene — studied independently in three fields, through overlapping mechanisms, with researchers in each field rarely citing the others.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A2a receptor mechanism is central to this synthesis. It’s the most well-characterized pathway connecting terpene pharmacology to established GPCR signaling — and when I map it against Ferré’s A2a-CB1 heteromer architecture, the structural basis for terpene-cannabinoid cross-talk becomes remarkably clear.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I’d love to discuss potential co-authorship on the Pharmacological Reviews piece. Your mechanistic data would anchor the review’s pharmacology sections, and I think the cross-disciplinary framing adds significant context to your R01AT011517 program.</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have 30 minutes for a call in the next couple of weeks? I’ve attached a summary of the evidence base I’ve compiled.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Attach: 2–3 page evidence base summary. Tone is intentionally direct and data-specific — matches his informal, mechanism-focused style.</w:t>
            </w:r>
          </w:p>
        </w:tc>
      </w:tr>
    </w:tbl>
    <w:p>
      <w:pPr>
        <w:spacing w:after="60"/>
      </w:pPr>
      <w:r>
        <w:t xml:space="preserve"/>
      </w:r>
    </w:p>
    <w:p>
      <w:pPr>
        <w:pStyle w:val="Heading2"/>
      </w:pPr>
      <w:r>
        <w:t xml:space="preserve">Email 2: Follow-Up (Day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Your A2a terpene mechanism — quick follow-up with article outline</w:t>
            </w:r>
          </w:p>
          <w:p>
            <w:pPr>
              <w:spacing w:after="60"/>
            </w:pPr>
            <w:r>
              <w:t xml:space="preserve"/>
            </w:r>
          </w:p>
          <w:p>
            <w:pPr>
              <w:spacing w:after="80"/>
            </w:pPr>
            <w:r>
              <w:rPr>
                <w:rFonts w:ascii="Arial" w:cs="Arial" w:eastAsia="Arial" w:hAnsi="Arial"/>
                <w:sz w:val="20"/>
                <w:szCs w:val="20"/>
              </w:rPr>
              <w:t xml:space="preserve">Dr. Streicher,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Following up on my note last week. I wanted to share something concrete — I’ve attached the draft outline for the Pharmacological Reviews article showing exactly where your lab’s work fits.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Specifically, Section 3 (“Mechanistic Convergence”) maps the A2a pathway you’ve characterized against the established cannabinoid receptor system and Ferré’s heteromer architecture. Section 5 addresses the Lambert Initiative’s negative CB1/CB2 findings — which actually strengthen the case for your A2a mechanism as the primary terpene signaling pathway.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also reaching out to Sergi Ferré at NIDA about the heteromer connection. If you’re interested, I think a Streicher-Ferré-Pelletier-Gagné authorship configuration on the receptor pharmacology sections could be quite powerful.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Happy to work around your schedule for a call.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Charles</w:t>
            </w:r>
          </w:p>
          <w:p>
            <w:pPr>
              <w:spacing w:after="60"/>
            </w:pPr>
            <w:r>
              <w:t xml:space="preserve"/>
            </w:r>
          </w:p>
          <w:p>
            <w:pPr>
              <w:spacing w:after="60"/>
            </w:pPr>
            <w:r>
              <w:rPr>
                <w:rFonts w:ascii="Arial" w:cs="Arial" w:eastAsia="Arial" w:hAnsi="Arial"/>
                <w:i/>
                <w:iCs/>
                <w:color w:val="92400E"/>
                <w:sz w:val="18"/>
                <w:szCs w:val="18"/>
              </w:rPr>
              <w:t xml:space="preserve">⚠ Attach: Article outline (2–4 pages). Mentioning Ferré creates urgency and signals you’re building a serious authorship team.</w:t>
            </w:r>
          </w:p>
        </w:tc>
      </w:tr>
    </w:tbl>
    <w:p>
      <w:pPr>
        <w:spacing w:after="60"/>
      </w:pPr>
      <w:r>
        <w:t xml:space="preserve"/>
      </w:r>
    </w:p>
    <w:p>
      <w:pPr>
        <w:pStyle w:val="Heading2"/>
      </w:pPr>
      <w:r>
        <w:t xml:space="preserve">LinkedIn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6"/>
              <w:left w:val="single" w:color="D1D5DB" w:sz="1"/>
              <w:bottom w:val="single" w:color="D1D5DB" w:sz="1"/>
              <w:right w:val="single" w:color="D1D5DB" w:sz="1"/>
            </w:tcBorders>
            <w:shd w:fill="F3F6F8" w:val="clear"/>
            <w:tcMar>
              <w:top w:type="dxa" w:w="120"/>
              <w:left w:type="dxa" w:w="160"/>
              <w:bottom w:type="dxa" w:w="120"/>
              <w:right w:type="dxa" w:w="160"/>
            </w:tcMar>
          </w:tcPr>
          <w:p>
            <w:pPr>
              <w:spacing w:after="80"/>
            </w:pPr>
            <w:r>
              <w:rPr>
                <w:rFonts w:ascii="Arial" w:cs="Arial" w:eastAsia="Arial" w:hAnsi="Arial"/>
                <w:sz w:val="20"/>
                <w:szCs w:val="20"/>
              </w:rPr>
              <w:t xml:space="preserve">Dr. Streicher — I’m an independent researcher working on a comprehensive review for Pharmacological Reviews that synthesizes terpene pharmacology across cannabis science, aromatherapy, and forest medicine. Your A2a mechanism work (LaVigne → Schwarz → Seekins) is central to the synthesis. Would love to connect and discuss potential collaboration. — Charles Pelletier-Gagné</w:t>
            </w:r>
          </w:p>
          <w:p>
            <w:pPr>
              <w:spacing w:after="60"/>
            </w:pPr>
            <w:r>
              <w:t xml:space="preserve"/>
            </w:r>
          </w:p>
          <w:p>
            <w:pPr>
              <w:spacing w:after="60"/>
            </w:pPr>
            <w:r>
              <w:rPr>
                <w:rFonts w:ascii="Arial" w:cs="Arial" w:eastAsia="Arial" w:hAnsi="Arial"/>
                <w:i/>
                <w:iCs/>
                <w:color w:val="92400E"/>
                <w:sz w:val="18"/>
                <w:szCs w:val="18"/>
              </w:rPr>
              <w:t xml:space="preserve">⚠ Send simultaneously with Email 1. His LinkedIn (linkedin.com/in/john-streicher-639b381b/) is active. Keep under 300 characters for connection note.</w:t>
            </w:r>
          </w:p>
        </w:tc>
      </w:tr>
    </w:tbl>
    <w:p>
      <w:r>
        <w:br w:type="page"/>
      </w:r>
    </w:p>
    <w:p>
      <w:pPr>
        <w:pStyle w:val="Heading1"/>
      </w:pPr>
      <w:r>
        <w:t xml:space="preserve">2. Ethan Russo, MD</w:t>
      </w:r>
    </w:p>
    <w:p>
      <w:pPr>
        <w:pStyle w:val="Heading2"/>
      </w:pPr>
      <w:r>
        <w:t xml:space="preserve">CReDO Science (Founder/CEO)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Confident, editorial, industry-commentary. Active on LinkedIn (primary platform).</w:t>
            </w:r>
          </w:p>
          <w:p>
            <w:pPr>
              <w:spacing w:after="60"/>
            </w:pPr>
            <w:r>
              <w:rPr>
                <w:rFonts w:ascii="Arial" w:cs="Arial" w:eastAsia="Arial" w:hAnsi="Arial"/>
                <w:sz w:val="20"/>
                <w:szCs w:val="20"/>
              </w:rPr>
              <w:t xml:space="preserve">Recent work: Co-author Spindle 2024 (limonene+THC). CBG study (Cuttler 2024). CReDO Science R&amp;D.</w:t>
            </w:r>
          </w:p>
          <w:p>
            <w:pPr>
              <w:spacing w:after="60"/>
            </w:pPr>
            <w:r>
              <w:rPr>
                <w:rFonts w:ascii="Arial" w:cs="Arial" w:eastAsia="Arial" w:hAnsi="Arial"/>
                <w:sz w:val="20"/>
                <w:szCs w:val="20"/>
              </w:rPr>
              <w:t xml:space="preserve">Conference circuit: CannMed 2025 (Puerto Rico), Cannabis Science &amp; Technology webinars.</w:t>
            </w:r>
          </w:p>
          <w:p>
            <w:pPr>
              <w:spacing w:after="60"/>
            </w:pPr>
            <w:r>
              <w:rPr>
                <w:rFonts w:ascii="Arial" w:cs="Arial" w:eastAsia="Arial" w:hAnsi="Arial"/>
                <w:sz w:val="20"/>
                <w:szCs w:val="20"/>
              </w:rPr>
              <w:t xml:space="preserve">Industry roles: CMO Andira Pharmaceuticals, Medical Director Breeder’s Best, Adviser Canurta.</w:t>
            </w:r>
          </w:p>
          <w:p>
            <w:pPr>
              <w:spacing w:after="60"/>
            </w:pPr>
            <w:r>
              <w:rPr>
                <w:rFonts w:ascii="Arial" w:cs="Arial" w:eastAsia="Arial" w:hAnsi="Arial"/>
                <w:sz w:val="20"/>
                <w:szCs w:val="20"/>
              </w:rPr>
              <w:t xml:space="preserve">Former GW Pharmaceuticals: Senior Medical Advisor (2003–2014). Study physician for Sativex/Epidiolex Phase III trials.</w:t>
            </w:r>
          </w:p>
          <w:p>
            <w:pPr>
              <w:spacing w:after="60"/>
            </w:pPr>
            <w:r>
              <w:rPr>
                <w:rFonts w:ascii="Arial" w:cs="Arial" w:eastAsia="Arial" w:hAnsi="Arial"/>
                <w:sz w:val="20"/>
                <w:szCs w:val="20"/>
              </w:rPr>
              <w:t xml:space="preserve">Key angle: “Taming THC” (2011, 2,000+ citations) IS the entourage effect framework. Your review extends his thesis with 13 years of new evidence. His name = instant credibility.</w:t>
            </w:r>
          </w:p>
          <w:p>
            <w:pPr>
              <w:spacing w:after="60"/>
            </w:pPr>
            <w:r>
              <w:rPr>
                <w:rFonts w:ascii="Arial" w:cs="Arial" w:eastAsia="Arial" w:hAnsi="Arial"/>
                <w:sz w:val="20"/>
                <w:szCs w:val="20"/>
              </w:rPr>
              <w:t xml:space="preserve">Personality: Educator-focused (Certificate in Advanced Cannabis Pharmacology). Willing to take positions publicly.</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Extending the “Taming THC” framework — Pharmacological Reviews co-authorship</w:t>
            </w:r>
          </w:p>
          <w:p>
            <w:pPr>
              <w:spacing w:after="60"/>
            </w:pPr>
            <w:r>
              <w:t xml:space="preserve"/>
            </w:r>
          </w:p>
          <w:p>
            <w:pPr>
              <w:spacing w:after="80"/>
            </w:pPr>
            <w:r>
              <w:rPr>
                <w:rFonts w:ascii="Arial" w:cs="Arial" w:eastAsia="Arial" w:hAnsi="Arial"/>
                <w:sz w:val="20"/>
                <w:szCs w:val="20"/>
              </w:rPr>
              <w:t xml:space="preserve">Dr. Russo,</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Fifteen years after “Taming THC,” the entourage effect concept you articulated has been both validated and complicated by remarkable new evidence — Streicher’s A2a receptor mechanism, your own collaboration with Spindle on the limonene-THC trial, Kasper’s gold-standard Silexan RCTs, and Li’s forest medicine immunology. But these findings remain siloed across disciplines that still rarely cite each other.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comprehensive review for Pharmacological Reviews (15,000–25,000 words) that explicitly extends your 2011 framework into what I’m calling “unified terpene pharmacology” — a synthesis demonstrating that the same molecules operate through the same mechanisms regardless of whether they arrive via cannabis, essential oils, or forest air. The evidence base I’ve compiled spans 200+ sources across three traditionally siloed fields.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involvement as co-author would be enormously valuable. Beyond the Pharmacological Reviews anchor piece, I’m planning a 5-article series that includes an ethnopharmacology paper (Article 4) where your background in traditional medicine systems would be particularly relevant.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I’d welcome the opportunity to discuss this over a call. I’ve attached a summary of the evidence base.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respect,</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Tone: Professional, deferential to his seniority, but intellectually substantive. He’s skeptical of lightweight approaches. The “15 years after” opener positions your work as extending his legacy.</w:t>
            </w:r>
          </w:p>
        </w:tc>
      </w:tr>
    </w:tbl>
    <w:p>
      <w:pPr>
        <w:spacing w:after="60"/>
      </w:pPr>
      <w:r>
        <w:t xml:space="preserve"/>
      </w:r>
    </w:p>
    <w:p>
      <w:pPr>
        <w:pStyle w:val="Heading2"/>
      </w:pPr>
      <w:r>
        <w:t xml:space="preserve">Email 2: Follow-Up (Day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Unified terpene pharmacology — the Article 4 ethnopharmacology angle</w:t>
            </w:r>
          </w:p>
          <w:p>
            <w:pPr>
              <w:spacing w:after="60"/>
            </w:pPr>
            <w:r>
              <w:t xml:space="preserve"/>
            </w:r>
          </w:p>
          <w:p>
            <w:pPr>
              <w:spacing w:after="80"/>
            </w:pPr>
            <w:r>
              <w:rPr>
                <w:rFonts w:ascii="Arial" w:cs="Arial" w:eastAsia="Arial" w:hAnsi="Arial"/>
                <w:sz w:val="20"/>
                <w:szCs w:val="20"/>
              </w:rPr>
              <w:t xml:space="preserve">Dr. Russo,</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Following up on my earlier note. I wanted to highlight one dimension I think would particularly interest you: Article 4 in the series targets the Journal of Ethnopharmacology and reframes traditional terpene practices (TCM, Ayurveda, indigenous knowledge) through modern pharmacological evidence.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ethnobotanical perspective is rare in cannabis pharmacology — most researchers in this space are bench scientists who don’t engage with traditional knowledge systems. The Article 4 framing connects your earlier work on cannabis ethnobotany with the mechanistic evidence we now have for how these traditional uses actually operate at the receptor level.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building the authorship team now — Streicher for the A2a mechanism, Ferré for heteromer architecture, Kasper for Silexan clinical data. Your perspective would complete the picture.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a 30-minute call work sometime this week or next?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Charles</w:t>
            </w:r>
          </w:p>
          <w:p>
            <w:pPr>
              <w:spacing w:after="60"/>
            </w:pPr>
            <w:r>
              <w:t xml:space="preserve"/>
            </w:r>
          </w:p>
          <w:p>
            <w:pPr>
              <w:spacing w:after="60"/>
            </w:pPr>
            <w:r>
              <w:rPr>
                <w:rFonts w:ascii="Arial" w:cs="Arial" w:eastAsia="Arial" w:hAnsi="Arial"/>
                <w:i/>
                <w:iCs/>
                <w:color w:val="92400E"/>
                <w:sz w:val="18"/>
                <w:szCs w:val="18"/>
              </w:rPr>
              <w:t xml:space="preserve">⚠ The Article 4 ethnopharmacology angle differentiates from the typical collaboration request. Naming other confirmed/in-progress co-authors creates social proof.</w:t>
            </w:r>
          </w:p>
        </w:tc>
      </w:tr>
    </w:tbl>
    <w:p>
      <w:pPr>
        <w:spacing w:after="60"/>
      </w:pPr>
      <w:r>
        <w:t xml:space="preserve"/>
      </w:r>
    </w:p>
    <w:p>
      <w:pPr>
        <w:pStyle w:val="Heading2"/>
      </w:pPr>
      <w:r>
        <w:t xml:space="preserve">LinkedIn Message (after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6"/>
              <w:left w:val="single" w:color="D1D5DB" w:sz="1"/>
              <w:bottom w:val="single" w:color="D1D5DB" w:sz="1"/>
              <w:right w:val="single" w:color="D1D5DB" w:sz="1"/>
            </w:tcBorders>
            <w:shd w:fill="F3F6F8" w:val="clear"/>
            <w:tcMar>
              <w:top w:type="dxa" w:w="120"/>
              <w:left w:type="dxa" w:w="160"/>
              <w:bottom w:type="dxa" w:w="120"/>
              <w:right w:type="dxa" w:w="160"/>
            </w:tcMar>
          </w:tcPr>
          <w:p>
            <w:pPr>
              <w:spacing w:after="80"/>
            </w:pPr>
            <w:r>
              <w:rPr>
                <w:rFonts w:ascii="Arial" w:cs="Arial" w:eastAsia="Arial" w:hAnsi="Arial"/>
                <w:sz w:val="20"/>
                <w:szCs w:val="20"/>
              </w:rPr>
              <w:t xml:space="preserve">Dr. Russo — thank you for connecting. I’m preparing a comprehensive Pharmacological Reviews article that extends your “Taming THC” framework with 13 years of new evidence, synthesizing cannabis terpene pharmacology with Kasper’s Silexan RCTs and Li’s forest medicine immunology into a unified framework. I sent more details to your email — would love to discuss potential co-authorship. Best, Charles Pelletier-Gagné</w:t>
            </w:r>
          </w:p>
          <w:p>
            <w:pPr>
              <w:spacing w:after="60"/>
            </w:pPr>
            <w:r>
              <w:t xml:space="preserve"/>
            </w:r>
          </w:p>
          <w:p>
            <w:pPr>
              <w:spacing w:after="60"/>
            </w:pPr>
            <w:r>
              <w:rPr>
                <w:rFonts w:ascii="Arial" w:cs="Arial" w:eastAsia="Arial" w:hAnsi="Arial"/>
                <w:i/>
                <w:iCs/>
                <w:color w:val="92400E"/>
                <w:sz w:val="18"/>
                <w:szCs w:val="18"/>
              </w:rPr>
              <w:t xml:space="preserve">⚠ LinkedIn is his primary platform (linkedin.com/in/ethan-russo-md-468b19a/). Send 24–48 hrs after connection accepted.</w:t>
            </w:r>
          </w:p>
        </w:tc>
      </w:tr>
    </w:tbl>
    <w:p>
      <w:r>
        <w:br w:type="page"/>
      </w:r>
    </w:p>
    <w:p>
      <w:pPr>
        <w:pStyle w:val="Heading1"/>
      </w:pPr>
      <w:r>
        <w:t xml:space="preserve">3. Sergi Ferré, PhD</w:t>
      </w:r>
    </w:p>
    <w:p>
      <w:pPr>
        <w:pStyle w:val="Heading2"/>
      </w:pPr>
      <w:r>
        <w:t xml:space="preserve">NIDA/NIH Intramural — Integrative Neurobiology Section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VERY FORMAL. European academic, technical, minimal social media.</w:t>
            </w:r>
          </w:p>
          <w:p>
            <w:pPr>
              <w:spacing w:after="60"/>
            </w:pPr>
            <w:r>
              <w:rPr>
                <w:rFonts w:ascii="Arial" w:cs="Arial" w:eastAsia="Arial" w:hAnsi="Arial"/>
                <w:sz w:val="20"/>
                <w:szCs w:val="20"/>
              </w:rPr>
              <w:t xml:space="preserve">H-index: 155+ publications, 32,669+ citations. World authority on GPCR heteromers.</w:t>
            </w:r>
          </w:p>
          <w:p>
            <w:pPr>
              <w:spacing w:after="60"/>
            </w:pPr>
            <w:r>
              <w:rPr>
                <w:rFonts w:ascii="Arial" w:cs="Arial" w:eastAsia="Arial" w:hAnsi="Arial"/>
                <w:sz w:val="20"/>
                <w:szCs w:val="20"/>
              </w:rPr>
              <w:t xml:space="preserve">Dual affiliation: NIDA intramural + Guest Professor, Universitat de Barcelona.</w:t>
            </w:r>
          </w:p>
          <w:p>
            <w:pPr>
              <w:spacing w:after="60"/>
            </w:pPr>
            <w:r>
              <w:rPr>
                <w:rFonts w:ascii="Arial" w:cs="Arial" w:eastAsia="Arial" w:hAnsi="Arial"/>
                <w:sz w:val="20"/>
                <w:szCs w:val="20"/>
              </w:rPr>
              <w:t xml:space="preserve">Recent work: Locomotor activity / β-arrestin / D receptor heteromer (Pharmacological Research 2025).</w:t>
            </w:r>
          </w:p>
          <w:p>
            <w:pPr>
              <w:spacing w:after="60"/>
            </w:pPr>
            <w:r>
              <w:rPr>
                <w:rFonts w:ascii="Arial" w:cs="Arial" w:eastAsia="Arial" w:hAnsi="Arial"/>
                <w:sz w:val="20"/>
                <w:szCs w:val="20"/>
              </w:rPr>
              <w:t xml:space="preserve">Language: Spanish/Catalan native, formal English. Address as “Dr. Ferré” throughout.</w:t>
            </w:r>
          </w:p>
          <w:p>
            <w:pPr>
              <w:spacing w:after="60"/>
            </w:pPr>
            <w:r>
              <w:rPr>
                <w:rFonts w:ascii="Arial" w:cs="Arial" w:eastAsia="Arial" w:hAnsi="Arial"/>
                <w:sz w:val="20"/>
                <w:szCs w:val="20"/>
              </w:rPr>
              <w:t xml:space="preserve">Key angle: His A2a-CB1 heteromer architecture provides the molecular basis for Streicher’s terpene mechanism. He probably doesn’t know this connection exists.</w:t>
            </w:r>
          </w:p>
          <w:p>
            <w:pPr>
              <w:spacing w:after="60"/>
            </w:pPr>
            <w:r>
              <w:rPr>
                <w:rFonts w:ascii="Arial" w:cs="Arial" w:eastAsia="Arial" w:hAnsi="Arial"/>
                <w:sz w:val="20"/>
                <w:szCs w:val="20"/>
              </w:rPr>
              <w:t xml:space="preserve">NO COI: NIH intramural = ideal co-author for credibility without industry concerns.</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A2a-CB1 heteromer architecture and terpene pharmacology — review article collaboration</w:t>
            </w:r>
          </w:p>
          <w:p>
            <w:pPr>
              <w:spacing w:after="60"/>
            </w:pPr>
            <w:r>
              <w:t xml:space="preserve"/>
            </w:r>
          </w:p>
          <w:p>
            <w:pPr>
              <w:spacing w:after="80"/>
            </w:pPr>
            <w:r>
              <w:rPr>
                <w:rFonts w:ascii="Arial" w:cs="Arial" w:eastAsia="Arial" w:hAnsi="Arial"/>
                <w:sz w:val="20"/>
                <w:szCs w:val="20"/>
              </w:rPr>
              <w:t xml:space="preserve">Dear Dr. Ferré,</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writing to you regarding a connection between your A2a-CB1 heteromer research and a body of recent evidence from cannabis terpene pharmacology that I believe has not yet been fully recognized in the heteromer literature.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John Streicher’s laboratory at the University of Arizona has demonstrated that several cannabis-derived terpenes (α-pinene, linalool, geraniol, β-caryophyllene) produce antinociception via spinal cord adenosine A2a receptor activation (LaVigne et al. 2021, Scientific Reports; Schwarz et al. 2024, PAIN; Seekins et al. 2025, Pharmacological Reports). When this pathway is mapped against your structural characterization of the A2a-CB1 heteromer complex, a compelling mechanistic framework emerges for understanding terpene-cannabinoid cross-talk at the receptor level.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preparing a comprehensive review for Pharmacological Reviews on unified terpene pharmacology — a synthesis across cannabis pharmacology, clinical aromatherapy, and forest medicine. I am also developing a dedicated network pharmacology article (Article 3, targeting Frontiers in Pharmacology) that would directly engage with heteromer architecture as a mechanistic basis for terpene polypharmacology.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expertise in GPCR heteromer signaling would be invaluable. I would welcome the opportunity to discuss a co-authorship or advisory role, particularly on the receptor pharmacology sections of both articles.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Respectfully,</w:t>
            </w:r>
          </w:p>
          <w:p>
            <w:pPr>
              <w:spacing w:after="80"/>
            </w:pPr>
            <w:r>
              <w:rPr>
                <w:rFonts w:ascii="Arial" w:cs="Arial" w:eastAsia="Arial" w:hAnsi="Arial"/>
                <w:sz w:val="20"/>
                <w:szCs w:val="20"/>
              </w:rPr>
              <w:t xml:space="preserve">Charles Pelletier-Gagné</w:t>
            </w:r>
          </w:p>
          <w:p>
            <w:pPr>
              <w:spacing w:after="80"/>
            </w:pPr>
            <w:r>
              <w:rPr>
                <w:rFonts w:ascii="Arial" w:cs="Arial" w:eastAsia="Arial" w:hAnsi="Arial"/>
                <w:sz w:val="20"/>
                <w:szCs w:val="20"/>
              </w:rPr>
              <w:t xml:space="preserve">Independent Researcher, Sebastopol, California</w:t>
            </w:r>
          </w:p>
          <w:p>
            <w:pPr>
              <w:spacing w:after="60"/>
            </w:pPr>
            <w:r>
              <w:t xml:space="preserve"/>
            </w:r>
          </w:p>
          <w:p>
            <w:pPr>
              <w:spacing w:after="60"/>
            </w:pPr>
            <w:r>
              <w:rPr>
                <w:rFonts w:ascii="Arial" w:cs="Arial" w:eastAsia="Arial" w:hAnsi="Arial"/>
                <w:i/>
                <w:iCs/>
                <w:color w:val="92400E"/>
                <w:sz w:val="18"/>
                <w:szCs w:val="18"/>
              </w:rPr>
              <w:t xml:space="preserve">⚠ FORMAL TONE THROUGHOUT. No contractions, no casual language. Technical precision is essential. He will judge the email on scientific rigor.</w:t>
            </w:r>
          </w:p>
        </w:tc>
      </w:tr>
    </w:tbl>
    <w:p>
      <w:pPr>
        <w:spacing w:after="60"/>
      </w:pPr>
      <w:r>
        <w:t xml:space="preserve"/>
      </w:r>
    </w:p>
    <w:p>
      <w:pPr>
        <w:pStyle w:val="Heading2"/>
      </w:pPr>
      <w:r>
        <w:t xml:space="preserve">Email 2: Follow-Up (Day 10–14)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A2a-CB1 heteromer connection to terpene antinociception — additional detail</w:t>
            </w:r>
          </w:p>
          <w:p>
            <w:pPr>
              <w:spacing w:after="60"/>
            </w:pPr>
            <w:r>
              <w:t xml:space="preserve"/>
            </w:r>
          </w:p>
          <w:p>
            <w:pPr>
              <w:spacing w:after="80"/>
            </w:pPr>
            <w:r>
              <w:rPr>
                <w:rFonts w:ascii="Arial" w:cs="Arial" w:eastAsia="Arial" w:hAnsi="Arial"/>
                <w:sz w:val="20"/>
                <w:szCs w:val="20"/>
              </w:rPr>
              <w:t xml:space="preserve">Dear Dr. Ferré,</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following up on my previous correspondence regarding the intersection of your heteromer research and terpene pharmacology. I wished to provide additional context.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The 2025 BJP paper by Navarro and colleagues on A2A-CB2 allosteric modulation adds another dimension to this connection. The interface-switching mechanism they describe suggests that terpene-mediated A2a activation could allosterically modulate CB1 and CB2 signaling through heteromer conformational changes — a hypothesis that would unify Streicher’s behavioral pharmacology data with your structural work.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have attached a draft outline for the review article and a brief summary of the evidence base that maps these connections. I would value your assessment of whether the heteromer-mediated framework I am proposing is mechanistically sound.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available at your convenience for a discussion.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Respectfully,</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Mentioning Navarro (his Barcelona colleague) signals you understand his network. Asking him to assess the mechanism is deferential and invites engagement.</w:t>
            </w:r>
          </w:p>
        </w:tc>
      </w:tr>
    </w:tbl>
    <w:p>
      <w:pPr>
        <w:spacing w:after="60"/>
      </w:pPr>
      <w:r>
        <w:t xml:space="preserve"/>
      </w:r>
    </w:p>
    <w:p>
      <w:pPr>
        <w:pStyle w:val="Heading2"/>
      </w:pPr>
      <w:r>
        <w:t xml:space="preserve">LinkedIn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6"/>
              <w:left w:val="single" w:color="D1D5DB" w:sz="1"/>
              <w:bottom w:val="single" w:color="D1D5DB" w:sz="1"/>
              <w:right w:val="single" w:color="D1D5DB" w:sz="1"/>
            </w:tcBorders>
            <w:shd w:fill="F3F6F8" w:val="clear"/>
            <w:tcMar>
              <w:top w:type="dxa" w:w="120"/>
              <w:left w:type="dxa" w:w="160"/>
              <w:bottom w:type="dxa" w:w="120"/>
              <w:right w:type="dxa" w:w="160"/>
            </w:tcMar>
          </w:tcPr>
          <w:p>
            <w:pPr>
              <w:spacing w:after="80"/>
            </w:pPr>
            <w:r>
              <w:rPr>
                <w:rFonts w:ascii="Arial" w:cs="Arial" w:eastAsia="Arial" w:hAnsi="Arial"/>
                <w:sz w:val="20"/>
                <w:szCs w:val="20"/>
              </w:rPr>
              <w:t xml:space="preserve">Dr. Ferré — I am an independent researcher exploring the intersection between A2a-CB1 heteromer architecture and cannabis terpene pharmacology for a Pharmacological Reviews article. Your work on heteromer signaling is foundational to this synthesis. I would welcome the opportunity to connect. — Charles Pelletier-Gagné</w:t>
            </w:r>
          </w:p>
          <w:p>
            <w:pPr>
              <w:spacing w:after="60"/>
            </w:pPr>
            <w:r>
              <w:t xml:space="preserve"/>
            </w:r>
          </w:p>
          <w:p>
            <w:pPr>
              <w:spacing w:after="60"/>
            </w:pPr>
            <w:r>
              <w:rPr>
                <w:rFonts w:ascii="Arial" w:cs="Arial" w:eastAsia="Arial" w:hAnsi="Arial"/>
                <w:i/>
                <w:iCs/>
                <w:color w:val="92400E"/>
                <w:sz w:val="18"/>
                <w:szCs w:val="18"/>
              </w:rPr>
              <w:t xml:space="preserve">⚠ LinkedIn secondary for Ferré — email is primary. Send LinkedIn 3–4 days after Email 1 as reinforcement.</w:t>
            </w:r>
          </w:p>
        </w:tc>
      </w:tr>
    </w:tbl>
    <w:p>
      <w:r>
        <w:br w:type="page"/>
      </w:r>
    </w:p>
    <w:p>
      <w:pPr>
        <w:spacing w:before="200" w:after="300"/>
      </w:pPr>
      <w:r>
        <w:rPr>
          <w:rFonts w:ascii="Arial" w:cs="Arial" w:eastAsia="Arial" w:hAnsi="Arial"/>
          <w:b/>
          <w:bCs/>
          <w:color w:val="1B4F72"/>
          <w:sz w:val="36"/>
          <w:szCs w:val="36"/>
        </w:rPr>
        <w:t xml:space="preserve">PHASE 2: CLINICAL EVIDENCE ANCHORS (WEEKS 3–4)</w:t>
      </w:r>
    </w:p>
    <w:p>
      <w:pPr>
        <w:spacing w:after="120"/>
      </w:pPr>
      <w:r>
        <w:rPr>
          <w:i/>
          <w:iCs/>
        </w:rPr>
        <w:t xml:space="preserve">These researchers provide the clinical trial evidence and international perspectives that validate the unified framework.</w:t>
      </w:r>
    </w:p>
    <w:p>
      <w:r>
        <w:br w:type="page"/>
      </w:r>
    </w:p>
    <w:p>
      <w:pPr>
        <w:pStyle w:val="Heading1"/>
      </w:pPr>
      <w:r>
        <w:t xml:space="preserve">4. Tory Spindle, PhD &amp; Ryan Vandrey, PhD</w:t>
      </w:r>
    </w:p>
    <w:p>
      <w:pPr>
        <w:pStyle w:val="Heading2"/>
      </w:pPr>
      <w:r>
        <w:t xml:space="preserve">Johns Hopkins — Cannabis Science Laboratory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Approach together (same lab). Spindle = lead experimentalist, Vandrey = lab director + senior strategy.</w:t>
            </w:r>
          </w:p>
          <w:p>
            <w:pPr>
              <w:spacing w:after="60"/>
            </w:pPr>
            <w:r>
              <w:rPr>
                <w:rFonts w:ascii="Arial" w:cs="Arial" w:eastAsia="Arial" w:hAnsi="Arial"/>
                <w:sz w:val="20"/>
                <w:szCs w:val="20"/>
              </w:rPr>
              <w:t xml:space="preserve">Spindle: tspindle@jhmi.edu (confirmed). Press-accessible, safety-oriented. WashPost quotes (Feb 2025). LinkedIn active.</w:t>
            </w:r>
          </w:p>
          <w:p>
            <w:pPr>
              <w:spacing w:after="60"/>
            </w:pPr>
            <w:r>
              <w:rPr>
                <w:rFonts w:ascii="Arial" w:cs="Arial" w:eastAsia="Arial" w:hAnsi="Arial"/>
                <w:sz w:val="20"/>
                <w:szCs w:val="20"/>
              </w:rPr>
              <w:t xml:space="preserve">Vandrey: No personal social media. Communicates through JH Cannabis Science Lab. Planning oral limonene replication + myrcene studies.</w:t>
            </w:r>
          </w:p>
          <w:p>
            <w:pPr>
              <w:spacing w:after="60"/>
            </w:pPr>
            <w:r>
              <w:rPr>
                <w:rFonts w:ascii="Arial" w:cs="Arial" w:eastAsia="Arial" w:hAnsi="Arial"/>
                <w:sz w:val="20"/>
                <w:szCs w:val="20"/>
              </w:rPr>
              <w:t xml:space="preserve">Spindle 2024 trial: 15–30mg THC + 1–5mg d-limonene vaporized in 20 healthy adults. Highest limonene dose reduced anxiety/paranoia from highest THC dose.</w:t>
            </w:r>
          </w:p>
          <w:p>
            <w:pPr>
              <w:spacing w:after="60"/>
            </w:pPr>
            <w:r>
              <w:rPr>
                <w:rFonts w:ascii="Arial" w:cs="Arial" w:eastAsia="Arial" w:hAnsi="Arial"/>
                <w:sz w:val="20"/>
                <w:szCs w:val="20"/>
              </w:rPr>
              <w:t xml:space="preserve">Vandrey: Nature Medicine 2024 co-author on Cannabis and Health Research Initiative. Lambert Initiative collaborator.</w:t>
            </w:r>
          </w:p>
          <w:p>
            <w:pPr>
              <w:spacing w:after="60"/>
            </w:pPr>
            <w:r>
              <w:rPr>
                <w:rFonts w:ascii="Arial" w:cs="Arial" w:eastAsia="Arial" w:hAnsi="Arial"/>
                <w:sz w:val="20"/>
                <w:szCs w:val="20"/>
              </w:rPr>
              <w:t xml:space="preserve">Patent: PCT/US2022/014296 (limonene-THC combination). Standard COI for academic pharma.</w:t>
            </w:r>
          </w:p>
          <w:p>
            <w:pPr>
              <w:spacing w:after="60"/>
            </w:pPr>
            <w:r>
              <w:rPr>
                <w:rFonts w:ascii="Arial" w:cs="Arial" w:eastAsia="Arial" w:hAnsi="Arial"/>
                <w:sz w:val="20"/>
                <w:szCs w:val="20"/>
              </w:rPr>
              <w:t xml:space="preserve">Key angle: Their trial is the ONLY controlled human evidence for terpene-cannabinoid interaction. Essential for Article 5.</w:t>
            </w:r>
          </w:p>
        </w:tc>
      </w:tr>
    </w:tbl>
    <w:p>
      <w:pPr>
        <w:spacing w:after="60"/>
      </w:pPr>
      <w:r>
        <w:t xml:space="preserve"/>
      </w:r>
    </w:p>
    <w:p>
      <w:pPr>
        <w:pStyle w:val="Heading2"/>
      </w:pPr>
      <w:r>
        <w:t xml:space="preserve">Email 1 to Spindle (cc Vandrey)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Spindle 2024 in cross-disciplinary context — translational review collaboration</w:t>
            </w:r>
          </w:p>
          <w:p>
            <w:pPr>
              <w:spacing w:after="60"/>
            </w:pPr>
            <w:r>
              <w:t xml:space="preserve"/>
            </w:r>
          </w:p>
          <w:p>
            <w:pPr>
              <w:spacing w:after="80"/>
            </w:pPr>
            <w:r>
              <w:rPr>
                <w:rFonts w:ascii="Arial" w:cs="Arial" w:eastAsia="Arial" w:hAnsi="Arial"/>
                <w:sz w:val="20"/>
                <w:szCs w:val="20"/>
              </w:rPr>
              <w:t xml:space="preserve">Dear Drs. Spindle and Vandrey,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d-limonene trial (Spindle et al. 2024, Drug and Alcohol Dependence) represents a landmark moment in terpene pharmacology — the first controlled human evidence that a terpene can selectively modulate specific THC effects. What struck me most was the dose-dependent anxiety reduction without interference with other THC effects. That selectivity has significant mechanistic implications.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5-article publication series on unified terpene pharmacology, and your trial is featured prominently in two articles: the anchor Pharmacological Reviews piece (Article 2) synthesizes it with Streicher’s A2a mechanism and Kasper’s Silexan clinical data, while Article 5 (targeting Nature Reviews Drug Discovery) focuses specifically on the clinical trial landscape and translational pathway.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Given that you’re planning the oral limonene replication and myrcene studies, I think co-authorship on the translational review would be mutually beneficial — it positions your upcoming trials within a broader evidence framework and identifies the key regulatory and bioavailability questions that need answering.</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have time for a call? I’ve attached a summary of the evidence base.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Address to Spindle with Vandrey cc’d. Mentioning upcoming myrcene studies shows you know their pipeline. Attach evidence base summary.</w:t>
            </w:r>
          </w:p>
        </w:tc>
      </w:tr>
    </w:tbl>
    <w:p>
      <w:pPr>
        <w:spacing w:after="60"/>
      </w:pPr>
      <w:r>
        <w:t xml:space="preserve"/>
      </w:r>
    </w:p>
    <w:p>
      <w:pPr>
        <w:pStyle w:val="Heading2"/>
      </w:pPr>
      <w:r>
        <w:t xml:space="preserve">Email 2: Follow-Up (Day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Translational review — bioavailability gap and regulatory pathway questions</w:t>
            </w:r>
          </w:p>
          <w:p>
            <w:pPr>
              <w:spacing w:after="60"/>
            </w:pPr>
            <w:r>
              <w:t xml:space="preserve"/>
            </w:r>
          </w:p>
          <w:p>
            <w:pPr>
              <w:spacing w:after="80"/>
            </w:pPr>
            <w:r>
              <w:rPr>
                <w:rFonts w:ascii="Arial" w:cs="Arial" w:eastAsia="Arial" w:hAnsi="Arial"/>
                <w:sz w:val="20"/>
                <w:szCs w:val="20"/>
              </w:rPr>
              <w:t xml:space="preserve">Dear Drs. Spindle and Vandrey,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Following up on my previous note. I wanted to flag a specific dimension of the review that I think aligns with your current research direction.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One of the key arguments in Article 5 is that the terpene bioavailability gap is the single biggest barrier to clinical translation. Your vaporized delivery approach (Spindle 2024) achieved clear pharmacological effects, but the oral bioavailability question — which your planned replication addresses — determines whether terpene therapeutics can move beyond inhalation routes. The CDC’s Silva et al. (2020) developed a validated human serum terpene quantification method that could inform this discussion.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also reaching out to Ziva Cooper at UCLA regarding her myrcene/β-caryophyllene trial (R01-AT010762). A review that synthesizes the Hopkins, UCLA, and Streicher data with the aromatherapy and forest medicine literature would be uniquely comprehensive.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Happy to share the article outline if that would help you assess fit.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Charles</w:t>
            </w:r>
          </w:p>
          <w:p>
            <w:pPr>
              <w:spacing w:after="60"/>
            </w:pPr>
            <w:r>
              <w:t xml:space="preserve"/>
            </w:r>
          </w:p>
          <w:p>
            <w:pPr>
              <w:spacing w:after="60"/>
            </w:pPr>
            <w:r>
              <w:rPr>
                <w:rFonts w:ascii="Arial" w:cs="Arial" w:eastAsia="Arial" w:hAnsi="Arial"/>
                <w:i/>
                <w:iCs/>
                <w:color w:val="92400E"/>
                <w:sz w:val="18"/>
                <w:szCs w:val="18"/>
              </w:rPr>
              <w:t xml:space="preserve">⚠ Bioavailability angle is specific to their pipeline. Naming Cooper + Streicher shows you’re building a serious network.</w:t>
            </w:r>
          </w:p>
        </w:tc>
      </w:tr>
    </w:tbl>
    <w:p>
      <w:pPr>
        <w:spacing w:after="60"/>
      </w:pPr>
      <w:r>
        <w:t xml:space="preserve"/>
      </w:r>
    </w:p>
    <w:p>
      <w:pPr>
        <w:pStyle w:val="Heading2"/>
      </w:pPr>
      <w:r>
        <w:t xml:space="preserve">LinkedIn (Spindle only — Vandrey has no personal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6"/>
              <w:left w:val="single" w:color="D1D5DB" w:sz="1"/>
              <w:bottom w:val="single" w:color="D1D5DB" w:sz="1"/>
              <w:right w:val="single" w:color="D1D5DB" w:sz="1"/>
            </w:tcBorders>
            <w:shd w:fill="F3F6F8" w:val="clear"/>
            <w:tcMar>
              <w:top w:type="dxa" w:w="120"/>
              <w:left w:type="dxa" w:w="160"/>
              <w:bottom w:type="dxa" w:w="120"/>
              <w:right w:type="dxa" w:w="160"/>
            </w:tcMar>
          </w:tcPr>
          <w:p>
            <w:pPr>
              <w:spacing w:after="80"/>
            </w:pPr>
            <w:r>
              <w:rPr>
                <w:rFonts w:ascii="Arial" w:cs="Arial" w:eastAsia="Arial" w:hAnsi="Arial"/>
                <w:sz w:val="20"/>
                <w:szCs w:val="20"/>
              </w:rPr>
              <w:t xml:space="preserve">Dr. Spindle — Your d-limonene trial is central to a comprehensive terpene pharmacology review I’m preparing for Pharmacological Reviews, synthesizing cannabis science with aromatherapy RCTs and forest medicine. Sent details to your JHU email — would love to discuss. — Charles Pelletier-Gagné</w:t>
            </w:r>
          </w:p>
          <w:p>
            <w:pPr>
              <w:spacing w:after="60"/>
            </w:pPr>
            <w:r>
              <w:t xml:space="preserve"/>
            </w:r>
          </w:p>
          <w:p>
            <w:pPr>
              <w:spacing w:after="60"/>
            </w:pPr>
            <w:r>
              <w:rPr>
                <w:rFonts w:ascii="Arial" w:cs="Arial" w:eastAsia="Arial" w:hAnsi="Arial"/>
                <w:i/>
                <w:iCs/>
                <w:color w:val="92400E"/>
                <w:sz w:val="18"/>
                <w:szCs w:val="18"/>
              </w:rPr>
              <w:t xml:space="preserve">⚠ Spindle LinkedIn: linkedin.com/in/tory-spindle/. Vandrey communicates through @jhucsl on X.</w:t>
            </w:r>
          </w:p>
        </w:tc>
      </w:tr>
    </w:tbl>
    <w:p>
      <w:r>
        <w:br w:type="page"/>
      </w:r>
    </w:p>
    <w:p>
      <w:pPr>
        <w:pStyle w:val="Heading1"/>
      </w:pPr>
      <w:r>
        <w:t xml:space="preserve">5. Siegfried Kasper, MD</w:t>
      </w:r>
    </w:p>
    <w:p>
      <w:pPr>
        <w:pStyle w:val="Heading2"/>
      </w:pPr>
      <w:r>
        <w:t xml:space="preserve">Medical University of Vienna — Professor Emeritus of Psychiatry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EXTREMELY FORMAL. Austrian academic tradition. Address as “Professor Dr. Kasper.”</w:t>
            </w:r>
          </w:p>
          <w:p>
            <w:pPr>
              <w:spacing w:after="60"/>
            </w:pPr>
            <w:r>
              <w:rPr>
                <w:rFonts w:ascii="Arial" w:cs="Arial" w:eastAsia="Arial" w:hAnsi="Arial"/>
                <w:sz w:val="20"/>
                <w:szCs w:val="20"/>
              </w:rPr>
              <w:t xml:space="preserve">Status: Retired 2019 as Chairman of Psychiatry; continues active research as Professor Emeritus.</w:t>
            </w:r>
          </w:p>
          <w:p>
            <w:pPr>
              <w:spacing w:after="60"/>
            </w:pPr>
            <w:r>
              <w:rPr>
                <w:rFonts w:ascii="Arial" w:cs="Arial" w:eastAsia="Arial" w:hAnsi="Arial"/>
                <w:sz w:val="20"/>
                <w:szCs w:val="20"/>
              </w:rPr>
              <w:t xml:space="preserve">Recent: Silexan vs. sertraline RCT (Eur Arch Psych 2024). Narrative review of 6+ Silexan RCTs (Oct 2024). CINP Pioneer Award (2025).</w:t>
            </w:r>
          </w:p>
          <w:p>
            <w:pPr>
              <w:spacing w:after="60"/>
            </w:pPr>
            <w:r>
              <w:rPr>
                <w:rFonts w:ascii="Arial" w:cs="Arial" w:eastAsia="Arial" w:hAnsi="Arial"/>
                <w:sz w:val="20"/>
                <w:szCs w:val="20"/>
              </w:rPr>
              <w:t xml:space="preserve">Publications: 250+ book contributions. Treatment-resistant depression textbook author.</w:t>
            </w:r>
          </w:p>
          <w:p>
            <w:pPr>
              <w:spacing w:after="60"/>
            </w:pPr>
            <w:r>
              <w:rPr>
                <w:rFonts w:ascii="Arial" w:cs="Arial" w:eastAsia="Arial" w:hAnsi="Arial"/>
                <w:sz w:val="20"/>
                <w:szCs w:val="20"/>
              </w:rPr>
              <w:t xml:space="preserve">COI consideration: Silexan is a Dr. Willmar Schwabe product. Kasper’s trials were industry-supported. Disclose but not disqualifying.</w:t>
            </w:r>
          </w:p>
          <w:p>
            <w:pPr>
              <w:spacing w:after="60"/>
            </w:pPr>
            <w:r>
              <w:rPr>
                <w:rFonts w:ascii="Arial" w:cs="Arial" w:eastAsia="Arial" w:hAnsi="Arial"/>
                <w:sz w:val="20"/>
                <w:szCs w:val="20"/>
              </w:rPr>
              <w:t xml:space="preserve">Key angle: His Silexan program is THE gold-standard clinical evidence for oral terpene therapeutics. The anxiolytic RCTs (superior to placebo, comparable to lorazepam/sertraline) are stronger evidence than anything in cannabis literature.</w:t>
            </w:r>
          </w:p>
          <w:p>
            <w:pPr>
              <w:spacing w:after="60"/>
            </w:pPr>
            <w:r>
              <w:rPr>
                <w:rFonts w:ascii="Arial" w:cs="Arial" w:eastAsia="Arial" w:hAnsi="Arial"/>
                <w:sz w:val="20"/>
                <w:szCs w:val="20"/>
              </w:rPr>
              <w:t xml:space="preserve">Language: Native German, excellent English. Formal correspondence in English is appropriate.</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Silexan clinical evidence in a unified terpene pharmacology framework — review collaboration</w:t>
            </w:r>
          </w:p>
          <w:p>
            <w:pPr>
              <w:spacing w:after="60"/>
            </w:pPr>
            <w:r>
              <w:t xml:space="preserve"/>
            </w:r>
          </w:p>
          <w:p>
            <w:pPr>
              <w:spacing w:after="80"/>
            </w:pPr>
            <w:r>
              <w:rPr>
                <w:rFonts w:ascii="Arial" w:cs="Arial" w:eastAsia="Arial" w:hAnsi="Arial"/>
                <w:sz w:val="20"/>
                <w:szCs w:val="20"/>
              </w:rPr>
              <w:t xml:space="preserve">Dear Professor Dr. Kasper,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Congratulations on the CINP Pioneer Award — a well-deserved recognition of your contributions to psychopharmacology.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writing regarding your Silexan clinical trial program, which I believe represents the most rigorous clinical evidence for oral terpene-based therapeutics currently available. Your demonstration that oral linalool (as Silexan) produces anxiolytic effects comparable to sertraline and lorazepam in gold-standard RCTs is, in my assessment, underappreciated in the broader pharmacological literature — particularly in the cannabis terpene field, where researchers are only now beginning controlled human trials with individual terpenes.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preparing a comprehensive review for Pharmacological Reviews on unified terpene pharmacology. The central thesis is that the same molecules (α-pinene, limonene, linalool, β-caryophyllene) are studied independently in cannabis pharmacology, clinical aromatherapy, and forest medicine through overlapping mechanisms, yet these fields rarely cite each other. Your Silexan data is a cornerstone of this synthesis — it demonstrates that oral terpene therapeutics are not speculative but clinically validated.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would be honoured to discuss your potential involvement as co-author, particularly on the clinical pharmacology sections of the review. Your expertise in RCT methodology and psychopharmacology would substantially strengthen the article.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great respect,</w:t>
            </w:r>
          </w:p>
          <w:p>
            <w:pPr>
              <w:spacing w:after="80"/>
            </w:pPr>
            <w:r>
              <w:rPr>
                <w:rFonts w:ascii="Arial" w:cs="Arial" w:eastAsia="Arial" w:hAnsi="Arial"/>
                <w:sz w:val="20"/>
                <w:szCs w:val="20"/>
              </w:rPr>
              <w:t xml:space="preserve">Charles Pelletier-Gagné</w:t>
            </w:r>
          </w:p>
          <w:p>
            <w:pPr>
              <w:spacing w:after="80"/>
            </w:pPr>
            <w:r>
              <w:rPr>
                <w:rFonts w:ascii="Arial" w:cs="Arial" w:eastAsia="Arial" w:hAnsi="Arial"/>
                <w:sz w:val="20"/>
                <w:szCs w:val="20"/>
              </w:rPr>
              <w:t xml:space="preserve">Independent Researcher, Sebastopol, California</w:t>
            </w:r>
          </w:p>
          <w:p>
            <w:pPr>
              <w:spacing w:after="60"/>
            </w:pPr>
            <w:r>
              <w:t xml:space="preserve"/>
            </w:r>
          </w:p>
          <w:p>
            <w:pPr>
              <w:spacing w:after="60"/>
            </w:pPr>
            <w:r>
              <w:rPr>
                <w:rFonts w:ascii="Arial" w:cs="Arial" w:eastAsia="Arial" w:hAnsi="Arial"/>
                <w:i/>
                <w:iCs/>
                <w:color w:val="92400E"/>
                <w:sz w:val="18"/>
                <w:szCs w:val="18"/>
              </w:rPr>
              <w:t xml:space="preserve">⚠ VERY FORMAL. “Honoured” (British spelling = European standard). Open with CINP award congratulation. No contractions. “Professor Dr. Kasper” is correct Austrian form.</w:t>
            </w:r>
          </w:p>
        </w:tc>
      </w:tr>
    </w:tbl>
    <w:p>
      <w:pPr>
        <w:spacing w:after="60"/>
      </w:pPr>
      <w:r>
        <w:t xml:space="preserve"/>
      </w:r>
    </w:p>
    <w:p>
      <w:pPr>
        <w:pStyle w:val="Heading2"/>
      </w:pPr>
      <w:r>
        <w:t xml:space="preserve">Email 2: Follow-Up (Day 10–14)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Silexan in unified terpene pharmacology — specific article sections for your review</w:t>
            </w:r>
          </w:p>
          <w:p>
            <w:pPr>
              <w:spacing w:after="60"/>
            </w:pPr>
            <w:r>
              <w:t xml:space="preserve"/>
            </w:r>
          </w:p>
          <w:p>
            <w:pPr>
              <w:spacing w:after="80"/>
            </w:pPr>
            <w:r>
              <w:rPr>
                <w:rFonts w:ascii="Arial" w:cs="Arial" w:eastAsia="Arial" w:hAnsi="Arial"/>
                <w:sz w:val="20"/>
                <w:szCs w:val="20"/>
              </w:rPr>
              <w:t xml:space="preserve">Dear Professor Dr. Kasper,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following up on my previous correspondence. I wished to provide more specific detail about how your Silexan research would be featured.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In the Pharmacological Reviews article, Section 4 (“Clinical Evidence Across Domains”) directly compares the Silexan anxiolytic RCTs with the first cannabis terpene trial (Spindle et al. 2024, d-limonene + THC, Johns Hopkins) and Qing Li’s forest medicine immunology data. The comparison demonstrates that clinical evidence for terpene therapeutics is far more advanced than the cannabis field recognizes — precisely because your work is published in psychiatry journals rather than cannabinoid journals.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believe your review of this comparison would be invaluable in ensuring accuracy and appropriate contextualization. I have attached the relevant section outline.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remain at your disposal to discuss further.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respect,</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Keep extremely formal. “At your disposal” is appropriate European register. Attach section outline only.</w:t>
            </w:r>
          </w:p>
        </w:tc>
      </w:tr>
    </w:tbl>
    <w:p>
      <w:r>
        <w:br w:type="page"/>
      </w:r>
    </w:p>
    <w:p>
      <w:pPr>
        <w:pStyle w:val="Heading1"/>
      </w:pPr>
      <w:r>
        <w:t xml:space="preserve">6. Qing Li, MD, PhD</w:t>
      </w:r>
    </w:p>
    <w:p>
      <w:pPr>
        <w:pStyle w:val="Heading2"/>
      </w:pPr>
      <w:r>
        <w:t xml:space="preserve">Nippon Medical School, Tokyo — Pioneer of Forest Medicine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Moderate-to-formal. Warm, mission-driven. Author of “Forest Bathing” (2018, translated 20 languages).</w:t>
            </w:r>
          </w:p>
          <w:p>
            <w:pPr>
              <w:spacing w:after="60"/>
            </w:pPr>
            <w:r>
              <w:rPr>
                <w:rFonts w:ascii="Arial" w:cs="Arial" w:eastAsia="Arial" w:hAnsi="Arial"/>
                <w:sz w:val="20"/>
                <w:szCs w:val="20"/>
              </w:rPr>
              <w:t xml:space="preserve">Recent: Depression/forest bathing pilot (Diseases 2025), COPD study (J Occup Health 2025), CVD mechanisms review (Forests 2025).</w:t>
            </w:r>
          </w:p>
          <w:p>
            <w:pPr>
              <w:spacing w:after="60"/>
            </w:pPr>
            <w:r>
              <w:rPr>
                <w:rFonts w:ascii="Arial" w:cs="Arial" w:eastAsia="Arial" w:hAnsi="Arial"/>
                <w:sz w:val="20"/>
                <w:szCs w:val="20"/>
              </w:rPr>
              <w:t xml:space="preserve">Leadership: President, Japanese Society of Forest Medicine. VP/Secretary General, INFOM.</w:t>
            </w:r>
          </w:p>
          <w:p>
            <w:pPr>
              <w:spacing w:after="60"/>
            </w:pPr>
            <w:r>
              <w:rPr>
                <w:rFonts w:ascii="Arial" w:cs="Arial" w:eastAsia="Arial" w:hAnsi="Arial"/>
                <w:sz w:val="20"/>
                <w:szCs w:val="20"/>
              </w:rPr>
              <w:t xml:space="preserve">Media: Global Wellness Summit keynote. Washington Post featured 9 of his papers (2025).</w:t>
            </w:r>
          </w:p>
          <w:p>
            <w:pPr>
              <w:spacing w:after="60"/>
            </w:pPr>
            <w:r>
              <w:rPr>
                <w:rFonts w:ascii="Arial" w:cs="Arial" w:eastAsia="Arial" w:hAnsi="Arial"/>
                <w:sz w:val="20"/>
                <w:szCs w:val="20"/>
              </w:rPr>
              <w:t xml:space="preserve">Key angle: His NK cell/phytoncide program is the THIRD PILLAR of the unified framework. Cannabis researchers don’t cite him; aromatherapy researchers cite him occasionally; your review bridges the gap.</w:t>
            </w:r>
          </w:p>
          <w:p>
            <w:pPr>
              <w:spacing w:after="60"/>
            </w:pPr>
            <w:r>
              <w:rPr>
                <w:rFonts w:ascii="Arial" w:cs="Arial" w:eastAsia="Arial" w:hAnsi="Arial"/>
                <w:sz w:val="20"/>
                <w:szCs w:val="20"/>
              </w:rPr>
              <w:t xml:space="preserve">Cultural note: Japanese academic courtesy. Respect for collaborative relationships. Warm but professional.</w:t>
            </w:r>
          </w:p>
          <w:p>
            <w:pPr>
              <w:spacing w:after="60"/>
            </w:pPr>
            <w:r>
              <w:rPr>
                <w:rFonts w:ascii="Arial" w:cs="Arial" w:eastAsia="Arial" w:hAnsi="Arial"/>
                <w:sz w:val="20"/>
                <w:szCs w:val="20"/>
              </w:rPr>
              <w:t xml:space="preserve">Book: “Forest Bathing: How Trees Can Help You Find Health and Happiness” (Penguin, 2018).</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Forest medicine meets terpene pharmacology — bridging your phytoncide research with cannabis science</w:t>
            </w:r>
          </w:p>
          <w:p>
            <w:pPr>
              <w:spacing w:after="60"/>
            </w:pPr>
            <w:r>
              <w:t xml:space="preserve"/>
            </w:r>
          </w:p>
          <w:p>
            <w:pPr>
              <w:spacing w:after="80"/>
            </w:pPr>
            <w:r>
              <w:rPr>
                <w:rFonts w:ascii="Arial" w:cs="Arial" w:eastAsia="Arial" w:hAnsi="Arial"/>
                <w:sz w:val="20"/>
                <w:szCs w:val="20"/>
              </w:rPr>
              <w:t xml:space="preserve">Dear Professor Li,</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research program on forest bathing and phytoncide immunology has been a revelation in my work on terpene pharmacology. I have been struck by a pattern that I believe has significant implications: the same molecules you study as phytoncides (α-pinene, d-limonene) are now being investigated in cannabis pharmacology as “entourage effect” compounds — yet these two fields almost never cite each other’s work.</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preparing a comprehensive review for Pharmacological Reviews that bridges this gap. The article synthesizes evidence across three fields: cannabis terpene pharmacology (where researchers have recently discovered an adenosine A2a receptor mechanism for terpene antinociception), clinical aromatherapy (where Silexan/linalool has gold-standard anxiolytic RCT data), and your forest medicine immunology program (where phytoncide exposure enhances NK cell activity and anti-cancer proteins).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work represents a unique and essential perspective. The NK cell enhancement data from phytoncide exposure provides immunological evidence that complements the neurological and behavioural evidence from the other two fields. I would be deeply honoured to discuss your potential involvement as co-author, particularly on the sections addressing inhalation pharmacokinetics and immune system modulation.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great respect for your pioneering contributions,</w:t>
            </w:r>
          </w:p>
          <w:p>
            <w:pPr>
              <w:spacing w:after="80"/>
            </w:pPr>
            <w:r>
              <w:rPr>
                <w:rFonts w:ascii="Arial" w:cs="Arial" w:eastAsia="Arial" w:hAnsi="Arial"/>
                <w:sz w:val="20"/>
                <w:szCs w:val="20"/>
              </w:rPr>
              <w:t xml:space="preserve">Charles Pelletier-Gagné</w:t>
            </w:r>
          </w:p>
          <w:p>
            <w:pPr>
              <w:spacing w:after="80"/>
            </w:pPr>
            <w:r>
              <w:rPr>
                <w:rFonts w:ascii="Arial" w:cs="Arial" w:eastAsia="Arial" w:hAnsi="Arial"/>
                <w:sz w:val="20"/>
                <w:szCs w:val="20"/>
              </w:rPr>
              <w:t xml:space="preserve">Independent Researcher, Sebastopol, California</w:t>
            </w:r>
          </w:p>
          <w:p>
            <w:pPr>
              <w:spacing w:after="60"/>
            </w:pPr>
            <w:r>
              <w:t xml:space="preserve"/>
            </w:r>
          </w:p>
          <w:p>
            <w:pPr>
              <w:spacing w:after="60"/>
            </w:pPr>
            <w:r>
              <w:rPr>
                <w:rFonts w:ascii="Arial" w:cs="Arial" w:eastAsia="Arial" w:hAnsi="Arial"/>
                <w:i/>
                <w:iCs/>
                <w:color w:val="92400E"/>
                <w:sz w:val="18"/>
                <w:szCs w:val="18"/>
              </w:rPr>
              <w:t xml:space="preserve">⚠ Warm but formal. “Revealation,” “deeply honoured” = respectful tone for Japanese academic. Emphasize that his work is “essential” — not just interesting. Do not reference the book in Email 1 (could seem casual).</w:t>
            </w:r>
          </w:p>
        </w:tc>
      </w:tr>
    </w:tbl>
    <w:p>
      <w:pPr>
        <w:spacing w:after="60"/>
      </w:pPr>
      <w:r>
        <w:t xml:space="preserve"/>
      </w:r>
    </w:p>
    <w:p>
      <w:pPr>
        <w:pStyle w:val="Heading2"/>
      </w:pPr>
      <w:r>
        <w:t xml:space="preserve">Email 2: Follow-Up (Day 10–14)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Phytoncide immunology in unified terpene pharmacology — specific connections</w:t>
            </w:r>
          </w:p>
          <w:p>
            <w:pPr>
              <w:spacing w:after="60"/>
            </w:pPr>
            <w:r>
              <w:t xml:space="preserve"/>
            </w:r>
          </w:p>
          <w:p>
            <w:pPr>
              <w:spacing w:after="80"/>
            </w:pPr>
            <w:r>
              <w:rPr>
                <w:rFonts w:ascii="Arial" w:cs="Arial" w:eastAsia="Arial" w:hAnsi="Arial"/>
                <w:sz w:val="20"/>
                <w:szCs w:val="20"/>
              </w:rPr>
              <w:t xml:space="preserve">Dear Professor Li,</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following up on my previous correspondence. I wished to share a specific connection that I think may be of interest.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In preparing the review, I have mapped the mechanistic overlap between your NK cell enhancement findings (phytoncide-induced increases in perforin, granzyme, and granulysin) and the adenosine A2a receptor pathway recently characterized for terpene antinociception by Streicher’s laboratory at the University of Arizona. Adenosine A2a receptors are expressed on NK cells and modulate their cytotoxic function — suggesting that your phytoncide immunology and the cannabis terpene pharmacology field may be studying different downstream effects of the same upstream receptor mechanism.</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This is, to my knowledge, a connection that has not been made in the literature. Your assessment of whether this A2a link to NK cell function is mechanistically plausible would be invaluable.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have attached a brief summary of the evidence base for your consideration.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respect,</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The A2a-NK cell connection is a genuine novel insight that would intrigue him. Asking his assessment = respectful invitation to engage intellectually.</w:t>
            </w:r>
          </w:p>
        </w:tc>
      </w:tr>
    </w:tbl>
    <w:p>
      <w:r>
        <w:br w:type="page"/>
      </w:r>
    </w:p>
    <w:p>
      <w:pPr>
        <w:spacing w:before="200" w:after="300"/>
      </w:pPr>
      <w:r>
        <w:rPr>
          <w:rFonts w:ascii="Arial" w:cs="Arial" w:eastAsia="Arial" w:hAnsi="Arial"/>
          <w:b/>
          <w:bCs/>
          <w:color w:val="1B4F72"/>
          <w:sz w:val="36"/>
          <w:szCs w:val="36"/>
        </w:rPr>
        <w:t xml:space="preserve">PHASE 3: NCCIH NETWORK (WEEKS 5–6)</w:t>
      </w:r>
    </w:p>
    <w:p>
      <w:pPr>
        <w:spacing w:after="120"/>
      </w:pPr>
      <w:r>
        <w:rPr>
          <w:i/>
          <w:iCs/>
        </w:rPr>
        <w:t xml:space="preserve">These NCCIH-funded PIs all presented at the June 4, 2024 meeting. Reference their specific presentations.</w:t>
      </w:r>
    </w:p>
    <w:p>
      <w:r>
        <w:br w:type="page"/>
      </w:r>
    </w:p>
    <w:p>
      <w:pPr>
        <w:pStyle w:val="Heading1"/>
      </w:pPr>
      <w:r>
        <w:t xml:space="preserve">7. Ziva Cooper, PhD</w:t>
      </w:r>
    </w:p>
    <w:p>
      <w:pPr>
        <w:pStyle w:val="Heading2"/>
      </w:pPr>
      <w:r>
        <w:t xml:space="preserve">UCLA — Center for Cannabis and Cannabinoids (Director)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Mechanism-focused, public educator. Active on Twitter/X (@zivacooper, 3,425 followers).</w:t>
            </w:r>
          </w:p>
          <w:p>
            <w:pPr>
              <w:spacing w:after="60"/>
            </w:pPr>
            <w:r>
              <w:rPr>
                <w:rFonts w:ascii="Arial" w:cs="Arial" w:eastAsia="Arial" w:hAnsi="Arial"/>
                <w:sz w:val="20"/>
                <w:szCs w:val="20"/>
              </w:rPr>
              <w:t xml:space="preserve">Active grant: R01-AT010762, $3.9M. Myrcene + β-caryophyllene alone and with THC. First human terpene analgesia trial.</w:t>
            </w:r>
          </w:p>
          <w:p>
            <w:pPr>
              <w:spacing w:after="60"/>
            </w:pPr>
            <w:r>
              <w:rPr>
                <w:rFonts w:ascii="Arial" w:cs="Arial" w:eastAsia="Arial" w:hAnsi="Arial"/>
                <w:sz w:val="20"/>
                <w:szCs w:val="20"/>
              </w:rPr>
              <w:t xml:space="preserve">Recent: CBG anxiety RCT (Scientific Reports 2024). Myrcene-CB1 analgesia (PAIN 2025). High-potency cannabis review (AJP 2025).</w:t>
            </w:r>
          </w:p>
          <w:p>
            <w:pPr>
              <w:spacing w:after="60"/>
            </w:pPr>
            <w:r>
              <w:rPr>
                <w:rFonts w:ascii="Arial" w:cs="Arial" w:eastAsia="Arial" w:hAnsi="Arial"/>
                <w:sz w:val="20"/>
                <w:szCs w:val="20"/>
              </w:rPr>
              <w:t xml:space="preserve">Media: High5 podcast (Episode 9 on terpenes), Cannabis Conversations UCLA series, Business Group on Health podcast.</w:t>
            </w:r>
          </w:p>
          <w:p>
            <w:pPr>
              <w:spacing w:after="60"/>
            </w:pPr>
            <w:r>
              <w:rPr>
                <w:rFonts w:ascii="Arial" w:cs="Arial" w:eastAsia="Arial" w:hAnsi="Arial"/>
                <w:sz w:val="20"/>
                <w:szCs w:val="20"/>
              </w:rPr>
              <w:t xml:space="preserve">NASEM committee member (public health consequences of cannabis policy). Columbia alumni.</w:t>
            </w:r>
          </w:p>
          <w:p>
            <w:pPr>
              <w:spacing w:after="60"/>
            </w:pPr>
            <w:r>
              <w:rPr>
                <w:rFonts w:ascii="Arial" w:cs="Arial" w:eastAsia="Arial" w:hAnsi="Arial"/>
                <w:sz w:val="20"/>
                <w:szCs w:val="20"/>
              </w:rPr>
              <w:t xml:space="preserve">Key angle: Her R01 terpene trial will generate REAL-TIME data during your publication timeline. Mutual benefit is clear.</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myrcene/BCP trial in the broader terpene pharmacology landscape — review collaboration</w:t>
            </w:r>
          </w:p>
          <w:p>
            <w:pPr>
              <w:spacing w:after="60"/>
            </w:pPr>
            <w:r>
              <w:t xml:space="preserve"/>
            </w:r>
          </w:p>
          <w:p>
            <w:pPr>
              <w:spacing w:after="80"/>
            </w:pPr>
            <w:r>
              <w:rPr>
                <w:rFonts w:ascii="Arial" w:cs="Arial" w:eastAsia="Arial" w:hAnsi="Arial"/>
                <w:sz w:val="20"/>
                <w:szCs w:val="20"/>
              </w:rPr>
              <w:t xml:space="preserve">Dear Dr. Cooper,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was struck by your presentation at the June 4 NCCIH annual meeting on terpene analgesia, and I’ve been following the progression of your R01-AT010762 program with great interest. The fact that you’re running the first controlled human study of myrcene and β-caryophyllene for pain — testing both standalone and THC-sparing effects — positions your work as potentially transformative for the field.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comprehensive review for Pharmacological Reviews that synthesizes terpene pharmacology across cannabis science, clinical aromatherapy (Kasper’s Silexan RCTs), and forest medicine (Li’s phytoncide immunology). Your myrcene/BCP data is a key piece of this synthesis, particularly when contextualized alongside Streicher’s A2a mechanism and Spindle’s limonene trial.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think there’s a natural collaboration here: the review would position your upcoming trial results within a comprehensive evidence framework, and I’m also developing a translational review (Article 5) focused specifically on the clinical trial landscape and regulatory pathway for terpene therapeutics — which your program would anchor.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have time for a call to discuss? I’ve attached a summary of the evidence base.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Reference the June 4 presentation specifically. Her Twitter engagement suggests she’s open to outreach.</w:t>
            </w:r>
          </w:p>
        </w:tc>
      </w:tr>
    </w:tbl>
    <w:p>
      <w:pPr>
        <w:spacing w:after="60"/>
      </w:pPr>
      <w:r>
        <w:t xml:space="preserve"/>
      </w:r>
    </w:p>
    <w:p>
      <w:pPr>
        <w:pStyle w:val="Heading2"/>
      </w:pPr>
      <w:r>
        <w:t xml:space="preserve">Email 2: Follow-Up (Day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Re: Terpene review — opioid-sparing framework and sex-differentiated effects</w:t>
            </w:r>
          </w:p>
          <w:p>
            <w:pPr>
              <w:spacing w:after="60"/>
            </w:pPr>
            <w:r>
              <w:t xml:space="preserve"/>
            </w:r>
          </w:p>
          <w:p>
            <w:pPr>
              <w:spacing w:after="80"/>
            </w:pPr>
            <w:r>
              <w:rPr>
                <w:rFonts w:ascii="Arial" w:cs="Arial" w:eastAsia="Arial" w:hAnsi="Arial"/>
                <w:sz w:val="20"/>
                <w:szCs w:val="20"/>
              </w:rPr>
              <w:t xml:space="preserve">Dr. Cooper,</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Quick follow-up — I wanted to flag two specific dimensions of the review that align closely with your research program.</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First, the opioid-sparing narrative: your trial’s Aim 2 (naltrexone interactions, opioid-sparing effects) connects to a broader argument I’m making about terpenes as non-opioid analgesic agents. When combined with Streicher’s A2a data and Ward’s β-caryophyllene CIPN results, there’s a compelling case for terpene-based pain management that the review synthesizes.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Second, your work on sex/gender differences in cannabis response dovetails with Ward’s finding of sex-based differences in CBG’s CNS vs PNS effects. This is an emerging pattern across the terpene/cannabinoid literature that deserves dedicated attention in the review.</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Happy to share the article outline for your assessment.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Charles</w:t>
            </w:r>
          </w:p>
          <w:p>
            <w:pPr>
              <w:spacing w:after="60"/>
            </w:pPr>
            <w:r>
              <w:t xml:space="preserve"/>
            </w:r>
          </w:p>
          <w:p>
            <w:pPr>
              <w:spacing w:after="60"/>
            </w:pPr>
            <w:r>
              <w:rPr>
                <w:rFonts w:ascii="Arial" w:cs="Arial" w:eastAsia="Arial" w:hAnsi="Arial"/>
                <w:i/>
                <w:iCs/>
                <w:color w:val="92400E"/>
                <w:sz w:val="18"/>
                <w:szCs w:val="18"/>
              </w:rPr>
              <w:t xml:space="preserve">⚠ Opioid-sparing framing connects to her grant aims. Sex differences angle shows you know her broader research program.</w:t>
            </w:r>
          </w:p>
        </w:tc>
      </w:tr>
    </w:tbl>
    <w:p>
      <w:r>
        <w:br w:type="page"/>
      </w:r>
    </w:p>
    <w:p>
      <w:pPr>
        <w:pStyle w:val="Heading1"/>
      </w:pPr>
      <w:r>
        <w:t xml:space="preserve">8. Cassandra Quave, PhD &amp; Isaac Chiu, PhD</w:t>
      </w:r>
    </w:p>
    <w:p>
      <w:pPr>
        <w:pStyle w:val="Heading2"/>
      </w:pPr>
      <w:r>
        <w:t xml:space="preserve">Emory University + Harvard Medical School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Quave: Exceptional science communicator. Guggenheim Fellow (2024), CNN Champion for Change (2024), National Academies Award.</w:t>
            </w:r>
          </w:p>
          <w:p>
            <w:pPr>
              <w:spacing w:after="60"/>
            </w:pPr>
            <w:r>
              <w:rPr>
                <w:rFonts w:ascii="Arial" w:cs="Arial" w:eastAsia="Arial" w:hAnsi="Arial"/>
                <w:sz w:val="20"/>
                <w:szCs w:val="20"/>
              </w:rPr>
              <w:t xml:space="preserve">Author: “The Plant Hunter” (2021, Kirkus Best of Year). Host: “Foodie Pharmacology” podcast. Substack: Nature’s Pharmacy.</w:t>
            </w:r>
          </w:p>
          <w:p>
            <w:pPr>
              <w:spacing w:after="60"/>
            </w:pPr>
            <w:r>
              <w:rPr>
                <w:rFonts w:ascii="Arial" w:cs="Arial" w:eastAsia="Arial" w:hAnsi="Arial"/>
                <w:sz w:val="20"/>
                <w:szCs w:val="20"/>
              </w:rPr>
              <w:t xml:space="preserve">Twitter: @QuaveEthnobot. Instagram/Threads same handle. Highly media-friendly.</w:t>
            </w:r>
          </w:p>
          <w:p>
            <w:pPr>
              <w:spacing w:after="60"/>
            </w:pPr>
            <w:r>
              <w:rPr>
                <w:rFonts w:ascii="Arial" w:cs="Arial" w:eastAsia="Arial" w:hAnsi="Arial"/>
                <w:sz w:val="20"/>
                <w:szCs w:val="20"/>
              </w:rPr>
              <w:t xml:space="preserve">Chiu: Professor of Immunology (promoted 2024). Publishes in Science Immunology, Nature. Neuroimmunology focus.</w:t>
            </w:r>
          </w:p>
          <w:p>
            <w:pPr>
              <w:spacing w:after="60"/>
            </w:pPr>
            <w:r>
              <w:rPr>
                <w:rFonts w:ascii="Arial" w:cs="Arial" w:eastAsia="Arial" w:hAnsi="Arial"/>
                <w:sz w:val="20"/>
                <w:szCs w:val="20"/>
              </w:rPr>
              <w:t xml:space="preserve">Chiu lab: chiulab.med.harvard.edu. Twitter: @IsaacChiuLab. Less media-facing, more peer-to-peer.</w:t>
            </w:r>
          </w:p>
          <w:p>
            <w:pPr>
              <w:spacing w:after="60"/>
            </w:pPr>
            <w:r>
              <w:rPr>
                <w:rFonts w:ascii="Arial" w:cs="Arial" w:eastAsia="Arial" w:hAnsi="Arial"/>
                <w:sz w:val="20"/>
                <w:szCs w:val="20"/>
              </w:rPr>
              <w:t xml:space="preserve">Joint grant: R21-AT010774 — Hops terpene mechanisms on sensory neurons. Testing myrcene, α-humulene, β-caryophyllene.</w:t>
            </w:r>
          </w:p>
          <w:p>
            <w:pPr>
              <w:spacing w:after="60"/>
            </w:pPr>
            <w:r>
              <w:rPr>
                <w:rFonts w:ascii="Arial" w:cs="Arial" w:eastAsia="Arial" w:hAnsi="Arial"/>
                <w:sz w:val="20"/>
                <w:szCs w:val="20"/>
              </w:rPr>
              <w:t xml:space="preserve">Key angle: Their hops-cannabis terpene bridge is UNIQUE and directly supports the unified framework thesis.</w:t>
            </w:r>
          </w:p>
        </w:tc>
      </w:tr>
    </w:tbl>
    <w:p>
      <w:pPr>
        <w:spacing w:after="60"/>
      </w:pPr>
      <w:r>
        <w:t xml:space="preserve"/>
      </w:r>
    </w:p>
    <w:p>
      <w:pPr>
        <w:pStyle w:val="Heading2"/>
      </w:pPr>
      <w:r>
        <w:t xml:space="preserve">Email 1 to Quave (separate email to Chiu)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Hops terpenes as the bridge between botanical and cannabis pharmacology — review collaboration</w:t>
            </w:r>
          </w:p>
          <w:p>
            <w:pPr>
              <w:spacing w:after="60"/>
            </w:pPr>
            <w:r>
              <w:t xml:space="preserve"/>
            </w:r>
          </w:p>
          <w:p>
            <w:pPr>
              <w:spacing w:after="80"/>
            </w:pPr>
            <w:r>
              <w:rPr>
                <w:rFonts w:ascii="Arial" w:cs="Arial" w:eastAsia="Arial" w:hAnsi="Arial"/>
                <w:sz w:val="20"/>
                <w:szCs w:val="20"/>
              </w:rPr>
              <w:t xml:space="preserve">Dear Dr. Quave,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work on terpene-enriched hops extracts (R21-AT010774) occupies a unique position in the terpene pharmacology landscape — you’re studying the same molecules that cannabis researchers investigate, but from a botanical tradition (Humulus lupulus as Cannabis’s closest relative) that bridges ethnobotany and modern neuroscience. That bridging is exactly what I’m trying to accomplish in a new publication series.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comprehensive review for Pharmacological Reviews on unified terpene pharmacology, synthesizing evidence across cannabis science, aromatherapy, and forest medicine. Your hops terpene program — particularly the myrcene, α-humulene, and β-caryophyllene formulations you’re testing with Dr. Chiu at Harvard — provides critical evidence that these molecules’ pharmacological effects are plant-source-independent.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also developing an ethnopharmacology article (Article 4, targeting Journal of Ethnopharmacology) that reframes traditional terpene practices through modern evidence. Your ethnobotanical perspective would be invaluable there.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open to discussing a collaboration? I’m a regular listener of Foodie Pharmacology — this intersection of food, plant chemistry, and pharmacology is exactly the space where this work lives.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Quave is media-friendly and responsive. Mention Foodie Pharmacology to show genuine engagement with her work. Ethnopharmacology angle differentiates from typical requests.</w:t>
            </w:r>
          </w:p>
        </w:tc>
      </w:tr>
    </w:tbl>
    <w:p>
      <w:pPr>
        <w:spacing w:after="60"/>
      </w:pPr>
      <w:r>
        <w:t xml:space="preserve"/>
      </w:r>
    </w:p>
    <w:p>
      <w:pPr>
        <w:pStyle w:val="Heading2"/>
      </w:pPr>
      <w:r>
        <w:t xml:space="preserve">Email 1 to Chiu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Neuroimmune mechanisms of terpene analgesia — review article collaboration</w:t>
            </w:r>
          </w:p>
          <w:p>
            <w:pPr>
              <w:spacing w:after="60"/>
            </w:pPr>
            <w:r>
              <w:t xml:space="preserve"/>
            </w:r>
          </w:p>
          <w:p>
            <w:pPr>
              <w:spacing w:after="80"/>
            </w:pPr>
            <w:r>
              <w:rPr>
                <w:rFonts w:ascii="Arial" w:cs="Arial" w:eastAsia="Arial" w:hAnsi="Arial"/>
                <w:sz w:val="20"/>
                <w:szCs w:val="20"/>
              </w:rPr>
              <w:t xml:space="preserve">Dear Dr. Chiu,</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neuroimmunology work on how sensory neurons interface with the immune system (Deng et al. 2024, Immunity; Erdogan et al. 2025, Current Opinion in Immunology) has significant implications for terpene pharmacology that I believe have not been fully explored.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preparing a comprehensive review for Pharmacological Reviews on unified terpene pharmacology. Your hops terpene program with Dr. Quave tests myrcene, α-humulene, and β-caryophyllene on sensory neurons — and when this data is mapped against Qing Li’s NK cell immunology (phytoncide-mediated immune enhancement via the same molecules), a neuroimmune framework for terpene pharmacology emerges.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also developing a network pharmacology article (Article 3) that would directly engage with the sensory neuron–immune cell signaling axis you study. Your expertise in this intersection would substantially strengthen both articles.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available for a brief discussion?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More formal/technical than Quave email. Reference specific recent publications. Neuroimmune framing matches his expertise.</w:t>
            </w:r>
          </w:p>
        </w:tc>
      </w:tr>
    </w:tbl>
    <w:p>
      <w:r>
        <w:br w:type="page"/>
      </w:r>
    </w:p>
    <w:p>
      <w:pPr>
        <w:pStyle w:val="Heading1"/>
      </w:pPr>
      <w:r>
        <w:t xml:space="preserve">9. Sara Jane Ward, PhD</w:t>
      </w:r>
    </w:p>
    <w:p>
      <w:pPr>
        <w:pStyle w:val="Heading2"/>
      </w:pPr>
      <w:r>
        <w:t xml:space="preserve">Temple University — Lewis Katz School of Medicine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Twitter: @scmward. LinkedIn: linkedin.com/in/sarajaneward/ (“Cannabinoid Pharmacologist”).</w:t>
            </w:r>
          </w:p>
          <w:p>
            <w:pPr>
              <w:spacing w:after="60"/>
            </w:pPr>
            <w:r>
              <w:rPr>
                <w:rFonts w:ascii="Arial" w:cs="Arial" w:eastAsia="Arial" w:hAnsi="Arial"/>
                <w:sz w:val="20"/>
                <w:szCs w:val="20"/>
              </w:rPr>
              <w:t xml:space="preserve">Recent: CBG sex differences in CIPN (IJMS 2024). CBG+CBD opioid interactions (Biomedicines 2024).</w:t>
            </w:r>
          </w:p>
          <w:p>
            <w:pPr>
              <w:spacing w:after="60"/>
            </w:pPr>
            <w:r>
              <w:rPr>
                <w:rFonts w:ascii="Arial" w:cs="Arial" w:eastAsia="Arial" w:hAnsi="Arial"/>
                <w:sz w:val="20"/>
                <w:szCs w:val="20"/>
              </w:rPr>
              <w:t xml:space="preserve">Conference: ICR webinar on “Phytocannabinoids, Terpenes, and Neuropathic Pain.”</w:t>
            </w:r>
          </w:p>
          <w:p>
            <w:pPr>
              <w:spacing w:after="60"/>
            </w:pPr>
            <w:r>
              <w:rPr>
                <w:rFonts w:ascii="Arial" w:cs="Arial" w:eastAsia="Arial" w:hAnsi="Arial"/>
                <w:sz w:val="20"/>
                <w:szCs w:val="20"/>
              </w:rPr>
              <w:t xml:space="preserve">Key angle: Sex-differentiated terpene findings are a unique data contribution to Article 2.</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sex-differentiated terpene findings for a Pharmacological Reviews synthesis</w:t>
            </w:r>
          </w:p>
          <w:p>
            <w:pPr>
              <w:spacing w:after="60"/>
            </w:pPr>
            <w:r>
              <w:t xml:space="preserve"/>
            </w:r>
          </w:p>
          <w:p>
            <w:pPr>
              <w:spacing w:after="80"/>
            </w:pPr>
            <w:r>
              <w:rPr>
                <w:rFonts w:ascii="Arial" w:cs="Arial" w:eastAsia="Arial" w:hAnsi="Arial"/>
                <w:sz w:val="20"/>
                <w:szCs w:val="20"/>
              </w:rPr>
              <w:t xml:space="preserve">Dear Dr. Ward,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2024 findings on sex-based differences in CBG’s effects on chemotherapy-induced neuropathy (IJMS 2024) and the β-caryophyllene anti-inflammatory data you presented at the June 4 NCCIH meeting highlight something the terpene pharmacology field hasn’t adequately addressed: sex as a variable in terpene response.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comprehensive review for Pharmacological Reviews on unified terpene pharmacology — synthesizing cannabis science, aromatherapy RCTs, and forest medicine — and your sex-differentiated data adds an important dimension that I’d like to feature prominently. When combined with Cooper’s work on sex/gender differences in cannabinoid response, there’s an emerging pattern that deserves dedicated attention.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open to discussing an advisory or co-authorship role on the review? I think your data fills a critical gap.</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Sex-differences angle is her unique contribution. Reference NCCIH presentation specifically.</w:t>
            </w:r>
          </w:p>
        </w:tc>
      </w:tr>
    </w:tbl>
    <w:p>
      <w:r>
        <w:br w:type="page"/>
      </w:r>
    </w:p>
    <w:p>
      <w:pPr>
        <w:pStyle w:val="Heading1"/>
      </w:pPr>
      <w:r>
        <w:t xml:space="preserve">10. Jenny Wiley, PhD</w:t>
      </w:r>
    </w:p>
    <w:p>
      <w:pPr>
        <w:pStyle w:val="Heading2"/>
      </w:pPr>
      <w:r>
        <w:t xml:space="preserve">RTI International — Senior Fellow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Twitter: @wileyinresearch. RTI Press Editor-in-Chief.</w:t>
            </w:r>
          </w:p>
          <w:p>
            <w:pPr>
              <w:spacing w:after="60"/>
            </w:pPr>
            <w:r>
              <w:rPr>
                <w:rFonts w:ascii="Arial" w:cs="Arial" w:eastAsia="Arial" w:hAnsi="Arial"/>
                <w:sz w:val="20"/>
                <w:szCs w:val="20"/>
              </w:rPr>
              <w:t xml:space="preserve">Grant: R01-AT010757 (note: corrected number). Systematic preclinical terpene evaluation.</w:t>
            </w:r>
          </w:p>
          <w:p>
            <w:pPr>
              <w:spacing w:after="60"/>
            </w:pPr>
            <w:r>
              <w:rPr>
                <w:rFonts w:ascii="Arial" w:cs="Arial" w:eastAsia="Arial" w:hAnsi="Arial"/>
                <w:sz w:val="20"/>
                <w:szCs w:val="20"/>
              </w:rPr>
              <w:t xml:space="preserve">100+ cannabinoid pharmacology publications. APA Young Pharmacologist Award (1996).</w:t>
            </w:r>
          </w:p>
          <w:p>
            <w:pPr>
              <w:spacing w:after="60"/>
            </w:pPr>
            <w:r>
              <w:rPr>
                <w:rFonts w:ascii="Arial" w:cs="Arial" w:eastAsia="Arial" w:hAnsi="Arial"/>
                <w:sz w:val="20"/>
                <w:szCs w:val="20"/>
              </w:rPr>
              <w:t xml:space="preserve">Key angle: Her systematic approach to testing terpenes across pain models complements the review’s comprehensive scope.</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systematic terpene evaluation and a comprehensive Pharmacological Reviews synthesis</w:t>
            </w:r>
          </w:p>
          <w:p>
            <w:pPr>
              <w:spacing w:after="60"/>
            </w:pPr>
            <w:r>
              <w:t xml:space="preserve"/>
            </w:r>
          </w:p>
          <w:p>
            <w:pPr>
              <w:spacing w:after="80"/>
            </w:pPr>
            <w:r>
              <w:rPr>
                <w:rFonts w:ascii="Arial" w:cs="Arial" w:eastAsia="Arial" w:hAnsi="Arial"/>
                <w:sz w:val="20"/>
                <w:szCs w:val="20"/>
              </w:rPr>
              <w:t xml:space="preserve">Dear Dr. Wiley,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systematic preclinical evaluation of minor cannabinoids and terpenes as analgesics (R01-AT010757) is, to my knowledge, the most comprehensive approach to characterizing terpene pharmacology across pain models currently underway. That comprehensiveness aligns closely with what I’m building in a review for Pharmacological Reviews.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synthesizing terpene evidence across cannabis pharmacology, clinical aromatherapy (Kasper’s Silexan RCTs), and forest medicine (Li’s phytoncide immunology) into a unified framework. Your preclinical data — testing purified biosynthesized compounds across acute thermal, inflammatory, neuropathic, and visceral pain — provides the systematic foundation that this synthesis needs.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open to discussing how your program’s findings could be featured? I’m also developing a translational review (Article 5) where your data on pain model specificity would be particularly relevant.</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Emphasize “systematic” — this is her differentiator. She’s at RTI (contract research), not traditional academia.</w:t>
            </w:r>
          </w:p>
        </w:tc>
      </w:tr>
    </w:tbl>
    <w:p>
      <w:r>
        <w:br w:type="page"/>
      </w:r>
    </w:p>
    <w:p>
      <w:pPr>
        <w:spacing w:before="200" w:after="300"/>
      </w:pPr>
      <w:r>
        <w:rPr>
          <w:rFonts w:ascii="Arial" w:cs="Arial" w:eastAsia="Arial" w:hAnsi="Arial"/>
          <w:b/>
          <w:bCs/>
          <w:color w:val="1B4F72"/>
          <w:sz w:val="36"/>
          <w:szCs w:val="36"/>
        </w:rPr>
        <w:t xml:space="preserve">PHASE 4: HETEROMER &amp; INTERNATIONAL (WEEKS 7–8)</w:t>
      </w:r>
    </w:p>
    <w:p>
      <w:pPr>
        <w:spacing w:after="120"/>
      </w:pPr>
      <w:r>
        <w:rPr>
          <w:i/>
          <w:iCs/>
        </w:rPr>
        <w:t xml:space="preserve">These researchers provide international credibility and specialized expertise in GPCR heteromers, CB2 pharmacology, and critical counterevidence.</w:t>
      </w:r>
    </w:p>
    <w:p>
      <w:r>
        <w:br w:type="page"/>
      </w:r>
    </w:p>
    <w:p>
      <w:pPr>
        <w:pStyle w:val="Heading1"/>
      </w:pPr>
      <w:r>
        <w:t xml:space="preserve">11. Gemma Navarro, PhD</w:t>
      </w:r>
    </w:p>
    <w:p>
      <w:pPr>
        <w:pStyle w:val="Heading2"/>
      </w:pPr>
      <w:r>
        <w:t xml:space="preserve">Universitat de Barcelona — Molecular Neuropharmacology Group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140+ publications, 2,537+ citations. Founded Molecular Neuropharmacology Group (2016).</w:t>
            </w:r>
          </w:p>
          <w:p>
            <w:pPr>
              <w:spacing w:after="60"/>
            </w:pPr>
            <w:r>
              <w:rPr>
                <w:rFonts w:ascii="Arial" w:cs="Arial" w:eastAsia="Arial" w:hAnsi="Arial"/>
                <w:sz w:val="20"/>
                <w:szCs w:val="20"/>
              </w:rPr>
              <w:t xml:space="preserve">Recent breakthrough: A2A-CB2 allosteric modulation (BJP 2025). Interface-switching mechanisms.</w:t>
            </w:r>
          </w:p>
          <w:p>
            <w:pPr>
              <w:spacing w:after="60"/>
            </w:pPr>
            <w:r>
              <w:rPr>
                <w:rFonts w:ascii="Arial" w:cs="Arial" w:eastAsia="Arial" w:hAnsi="Arial"/>
                <w:sz w:val="20"/>
                <w:szCs w:val="20"/>
              </w:rPr>
              <w:t xml:space="preserve">Email: g.navarro@ub.edu. Supervised 16 PhD students (11 completed, all Cum Laude).</w:t>
            </w:r>
          </w:p>
          <w:p>
            <w:pPr>
              <w:spacing w:after="60"/>
            </w:pPr>
            <w:r>
              <w:rPr>
                <w:rFonts w:ascii="Arial" w:cs="Arial" w:eastAsia="Arial" w:hAnsi="Arial"/>
                <w:sz w:val="20"/>
                <w:szCs w:val="20"/>
              </w:rPr>
              <w:t xml:space="preserve">Spanish academic culture: Formal, methodical, expects substantive scientific exchange.</w:t>
            </w:r>
          </w:p>
          <w:p>
            <w:pPr>
              <w:spacing w:after="60"/>
            </w:pPr>
            <w:r>
              <w:rPr>
                <w:rFonts w:ascii="Arial" w:cs="Arial" w:eastAsia="Arial" w:hAnsi="Arial"/>
                <w:sz w:val="20"/>
                <w:szCs w:val="20"/>
              </w:rPr>
              <w:t xml:space="preserve">Key angle: Her 2025 BJP heteromer paper is THE cutting-edge structural evidence for Article 3.</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A2A-CB2 allosteric modulation and terpene pharmacology — review collaboration</w:t>
            </w:r>
          </w:p>
          <w:p>
            <w:pPr>
              <w:spacing w:after="60"/>
            </w:pPr>
            <w:r>
              <w:t xml:space="preserve"/>
            </w:r>
          </w:p>
          <w:p>
            <w:pPr>
              <w:spacing w:after="80"/>
            </w:pPr>
            <w:r>
              <w:rPr>
                <w:rFonts w:ascii="Arial" w:cs="Arial" w:eastAsia="Arial" w:hAnsi="Arial"/>
                <w:sz w:val="20"/>
                <w:szCs w:val="20"/>
              </w:rPr>
              <w:t xml:space="preserve">Dear Dr. Navarro,</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2025 BJP paper on allosterism in the A2A-CB2 heteromer — particularly the interface-switching mechanism and CBD-mediated biased allosteric modulation — has significant implications for an emerging body of evidence in terpene pharmacology that I believe your group may not yet be aware of.</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John Streicher’s laboratory at the University of Arizona has demonstrated that several cannabis terpenes produce antinociception via A2a receptor activation (Schwarz et al. 2024, PAIN). When this A2a-mediated terpene signaling is considered alongside your demonstration that A2A-CB2 heteromers exhibit allosteric conformational gating, a compelling mechanistic hypothesis emerges: terpene-mediated A2a activation could allosterically modulate CB2 signaling through the heteromer interface you have characterized.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am preparing two articles where this connection is central: a comprehensive review for Pharmacological Reviews (Article 2) and a network pharmacology article (Article 3, targeting Frontiers in Pharmacology) that models terpene polypharmacology through GPCR heteromer architecture.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available to discuss a potential co-authorship on Article 3? Your structural and molecular dynamics expertise would be essential.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respect,</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Formal, technically precise. Reference the specific BJP paper and mechanism. She will evaluate the email on scientific substance.</w:t>
            </w:r>
          </w:p>
        </w:tc>
      </w:tr>
    </w:tbl>
    <w:p>
      <w:r>
        <w:br w:type="page"/>
      </w:r>
    </w:p>
    <w:p>
      <w:pPr>
        <w:pStyle w:val="Heading1"/>
      </w:pPr>
      <w:r>
        <w:t xml:space="preserve">12. Jonathon Arnold, PhD</w:t>
      </w:r>
    </w:p>
    <w:p>
      <w:pPr>
        <w:pStyle w:val="Heading2"/>
      </w:pPr>
      <w:r>
        <w:t xml:space="preserve">University of Sydney — Lambert Initiative (Deputy Director)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Australian — informal, direct, evidence-driven, pragmatic.</w:t>
            </w:r>
          </w:p>
          <w:p>
            <w:pPr>
              <w:spacing w:after="60"/>
            </w:pPr>
            <w:r>
              <w:rPr>
                <w:rFonts w:ascii="Arial" w:cs="Arial" w:eastAsia="Arial" w:hAnsi="Arial"/>
                <w:sz w:val="20"/>
                <w:szCs w:val="20"/>
              </w:rPr>
              <w:t xml:space="preserve">Key finding: Terpenes do NOT modulate THC at CB1/CB2 or endocannabinoids at TRPV1/TRPA1.</w:t>
            </w:r>
          </w:p>
          <w:p>
            <w:pPr>
              <w:spacing w:after="60"/>
            </w:pPr>
            <w:r>
              <w:rPr>
                <w:rFonts w:ascii="Arial" w:cs="Arial" w:eastAsia="Arial" w:hAnsi="Arial"/>
                <w:sz w:val="20"/>
                <w:szCs w:val="20"/>
              </w:rPr>
              <w:t xml:space="preserve">2020 Epilepsia Basic Science Prize (CBD anticonvulsant research). WHO cannabis advisor (2018).</w:t>
            </w:r>
          </w:p>
          <w:p>
            <w:pPr>
              <w:spacing w:after="60"/>
            </w:pPr>
            <w:r>
              <w:rPr>
                <w:rFonts w:ascii="Arial" w:cs="Arial" w:eastAsia="Arial" w:hAnsi="Arial"/>
                <w:sz w:val="20"/>
                <w:szCs w:val="20"/>
              </w:rPr>
              <w:t xml:space="preserve">Email: jonathon.arnold@sydney.edu.au. LinkedIn active.</w:t>
            </w:r>
          </w:p>
          <w:p>
            <w:pPr>
              <w:spacing w:after="60"/>
            </w:pPr>
            <w:r>
              <w:rPr>
                <w:rFonts w:ascii="Arial" w:cs="Arial" w:eastAsia="Arial" w:hAnsi="Arial"/>
                <w:sz w:val="20"/>
                <w:szCs w:val="20"/>
              </w:rPr>
              <w:t xml:space="preserve">Key angle: His NEGATIVE findings actually STRENGTHEN the case for alternative mechanisms (A2a, GABAergic). Include him for balanced discussion.</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terpene-CB1/CB2 data and the case for alternative mechanisms — review collaboration</w:t>
            </w:r>
          </w:p>
          <w:p>
            <w:pPr>
              <w:spacing w:after="60"/>
            </w:pPr>
            <w:r>
              <w:t xml:space="preserve"/>
            </w:r>
          </w:p>
          <w:p>
            <w:pPr>
              <w:spacing w:after="80"/>
            </w:pPr>
            <w:r>
              <w:rPr>
                <w:rFonts w:ascii="Arial" w:cs="Arial" w:eastAsia="Arial" w:hAnsi="Arial"/>
                <w:sz w:val="20"/>
                <w:szCs w:val="20"/>
              </w:rPr>
              <w:t xml:space="preserve">Dr. Arnold,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group’s findings that terpenes don’t modulate THC at CB1/CB2 or endocannabinoids at TRPV1/TRPA1 channels are some of the most important data in the entourage effect debate — precisely because they’re negative results that narrow the mechanistic search space.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Pharmacological Reviews article on unified terpene pharmacology, and your data is central to the mechanistic argument. Rather than undermining the entourage effect, your findings redirect the field toward alternative pathways — particularly the A2a receptor mechanism Streicher’s lab has characterized. The logic is: if terpenes don’t work through CB1/CB2 (your data), and they DO work through A2a (Streicher’s data), then the heteromer architecture connecting A2a and CB1 (Ferré’s data) becomes the bridge between terpene pharmacology and the cannabinoid system.</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I’d value your input on the mechanistic discussion sections. Your group’s rigorous approach to debunking oversimplified entourage narratives would ensure the review maintains scientific integrity.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open to an advisory role? Happy to chat over a call.</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Cheers,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Australian casual — “Cheers” is appropriate. Frame his negative data as POSITIVE contribution. “Dr. Arnold” not “Professor” (Australian style).</w:t>
            </w:r>
          </w:p>
        </w:tc>
      </w:tr>
    </w:tbl>
    <w:p>
      <w:r>
        <w:br w:type="page"/>
      </w:r>
    </w:p>
    <w:p>
      <w:pPr>
        <w:pStyle w:val="Heading1"/>
      </w:pPr>
      <w:r>
        <w:t xml:space="preserve">13. Jürg Gertsch, PhD</w:t>
      </w:r>
    </w:p>
    <w:p>
      <w:pPr>
        <w:pStyle w:val="Heading2"/>
      </w:pPr>
      <w:r>
        <w:t xml:space="preserve">University of Bern — Institute of Biochemistry and Molecular Medicine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Email: juerg.gertsch@unibe.ch. Lab: gertschlab.com.</w:t>
            </w:r>
          </w:p>
          <w:p>
            <w:pPr>
              <w:spacing w:after="60"/>
            </w:pPr>
            <w:r>
              <w:rPr>
                <w:rFonts w:ascii="Arial" w:cs="Arial" w:eastAsia="Arial" w:hAnsi="Arial"/>
                <w:sz w:val="20"/>
                <w:szCs w:val="20"/>
              </w:rPr>
              <w:t xml:space="preserve">β-caryophyllene CB2 paper (PNAS 2008): foundational. Established dietary phytocannabinoids concept.</w:t>
            </w:r>
          </w:p>
          <w:p>
            <w:pPr>
              <w:spacing w:after="60"/>
            </w:pPr>
            <w:r>
              <w:rPr>
                <w:rFonts w:ascii="Arial" w:cs="Arial" w:eastAsia="Arial" w:hAnsi="Arial"/>
                <w:sz w:val="20"/>
                <w:szCs w:val="20"/>
              </w:rPr>
              <w:t xml:space="preserve">Current: Endocannabinoid transporters. Co-founded Synendos Therapeutics (EMA Phase 1 approval Jan 2024 for SYT-510).</w:t>
            </w:r>
          </w:p>
          <w:p>
            <w:pPr>
              <w:spacing w:after="60"/>
            </w:pPr>
            <w:r>
              <w:rPr>
                <w:rFonts w:ascii="Arial" w:cs="Arial" w:eastAsia="Arial" w:hAnsi="Arial"/>
                <w:sz w:val="20"/>
                <w:szCs w:val="20"/>
              </w:rPr>
              <w:t xml:space="preserve">Recent: “CNS Drug Discovery in Academia” (ChemBioChem 2024). Co-organizer IMCCB-25 (Feb 2025, Bern).</w:t>
            </w:r>
          </w:p>
          <w:p>
            <w:pPr>
              <w:spacing w:after="60"/>
            </w:pPr>
            <w:r>
              <w:rPr>
                <w:rFonts w:ascii="Arial" w:cs="Arial" w:eastAsia="Arial" w:hAnsi="Arial"/>
                <w:sz w:val="20"/>
                <w:szCs w:val="20"/>
              </w:rPr>
              <w:t xml:space="preserve">Swiss communication: Direct, precise, translational focus. Values clinical utility over basic science alone.</w:t>
            </w:r>
          </w:p>
          <w:p>
            <w:pPr>
              <w:spacing w:after="60"/>
            </w:pPr>
            <w:r>
              <w:rPr>
                <w:rFonts w:ascii="Arial" w:cs="Arial" w:eastAsia="Arial" w:hAnsi="Arial"/>
                <w:sz w:val="20"/>
                <w:szCs w:val="20"/>
              </w:rPr>
              <w:t xml:space="preserve">Key angle: His β-caryophyllene CB2 paper is foundational to Article 2. His endorsement carries weight.</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β-caryophyllene as dietary cannabinoid — your foundational work in a unified terpene pharmacology framework</w:t>
            </w:r>
          </w:p>
          <w:p>
            <w:pPr>
              <w:spacing w:after="60"/>
            </w:pPr>
            <w:r>
              <w:t xml:space="preserve"/>
            </w:r>
          </w:p>
          <w:p>
            <w:pPr>
              <w:spacing w:after="80"/>
            </w:pPr>
            <w:r>
              <w:rPr>
                <w:rFonts w:ascii="Arial" w:cs="Arial" w:eastAsia="Arial" w:hAnsi="Arial"/>
                <w:sz w:val="20"/>
                <w:szCs w:val="20"/>
              </w:rPr>
              <w:t xml:space="preserve">Dear Dr. Gertsch,</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2008 PNAS paper establishing β-caryophyllene as a dietary cannabinoid remains one of the most cited works in terpene pharmacology — and its implications have only grown as the field has expanded. The selective CB2 agonism you demonstrated has since been extended by Streicher’s lab (which showed additional terpenes act through A2a receptors) and the Lambert Initiative (which confirmed terpenes don’t modulate CB1). Together, these findings suggest a terpene signaling landscape far more complex than the original “entourage effect” framing captured.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comprehensive review for Pharmacological Reviews that synthesizes terpene evidence across cannabis pharmacology, clinical aromatherapy, and forest medicine. Your β-caryophyllene CB2 work is foundational, and I’d value your perspective on how the field has evolved since 2008 — particularly given your recent work on endocannabinoid transporters and the Synendos translational pathway.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open to an advisory discussion? Your insight on the translational landscape would strengthen the review’s clinical relevance sections.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Swiss precision: Direct, no filler. Translational framing (Synendos) shows you know his current trajectory. Advisory role = lower commitment ask.</w:t>
            </w:r>
          </w:p>
        </w:tc>
      </w:tr>
    </w:tbl>
    <w:p>
      <w:r>
        <w:br w:type="page"/>
      </w:r>
    </w:p>
    <w:p>
      <w:pPr>
        <w:spacing w:before="200" w:after="300"/>
      </w:pPr>
      <w:r>
        <w:rPr>
          <w:rFonts w:ascii="Arial" w:cs="Arial" w:eastAsia="Arial" w:hAnsi="Arial"/>
          <w:b/>
          <w:bCs/>
          <w:color w:val="1B4F72"/>
          <w:sz w:val="36"/>
          <w:szCs w:val="36"/>
        </w:rPr>
        <w:t xml:space="preserve">PHASE 5: EARLY CAREER &amp; ADDITIONAL TARGETS (ONGOING)</w:t>
      </w:r>
    </w:p>
    <w:p>
      <w:pPr>
        <w:spacing w:after="120"/>
      </w:pPr>
      <w:r>
        <w:rPr>
          <w:i/>
          <w:iCs/>
        </w:rPr>
        <w:t xml:space="preserve">Early-career researchers from Streicher’s lab and additional targets. Approach AFTER Streicher relationship is established.</w:t>
      </w:r>
    </w:p>
    <w:p>
      <w:r>
        <w:br w:type="page"/>
      </w:r>
    </w:p>
    <w:p>
      <w:pPr>
        <w:pStyle w:val="Heading1"/>
      </w:pPr>
      <w:r>
        <w:t xml:space="preserve">14. Streicher Lab Alumni</w:t>
      </w:r>
    </w:p>
    <w:p>
      <w:pPr>
        <w:pStyle w:val="Heading2"/>
      </w:pPr>
      <w:r>
        <w:t xml:space="preserve">Abigail Schwarz, PhD | Caleb Seekins | Justin LaVigne, PhD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Approach ONLY after Streicher has engaged. His blessing matters for these relationships.</w:t>
            </w:r>
          </w:p>
          <w:p>
            <w:pPr>
              <w:spacing w:after="60"/>
            </w:pPr>
            <w:r>
              <w:rPr>
                <w:rFonts w:ascii="Arial" w:cs="Arial" w:eastAsia="Arial" w:hAnsi="Arial"/>
                <w:sz w:val="20"/>
                <w:szCs w:val="20"/>
              </w:rPr>
              <w:t xml:space="preserve">Schwarz: First author PAIN 2024. Graduated 2024. Likely seeking publications for postdoc/career positioning.</w:t>
            </w:r>
          </w:p>
          <w:p>
            <w:pPr>
              <w:spacing w:after="60"/>
            </w:pPr>
            <w:r>
              <w:rPr>
                <w:rFonts w:ascii="Arial" w:cs="Arial" w:eastAsia="Arial" w:hAnsi="Arial"/>
                <w:sz w:val="20"/>
                <w:szCs w:val="20"/>
              </w:rPr>
              <w:t xml:space="preserve">Seekins: MD student at UA College of Medicine. First author Seekins 2025. Dual MD/research track.</w:t>
            </w:r>
          </w:p>
          <w:p>
            <w:pPr>
              <w:spacing w:after="60"/>
            </w:pPr>
            <w:r>
              <w:rPr>
                <w:rFonts w:ascii="Arial" w:cs="Arial" w:eastAsia="Arial" w:hAnsi="Arial"/>
                <w:sz w:val="20"/>
                <w:szCs w:val="20"/>
              </w:rPr>
              <w:t xml:space="preserve">LaVigne: First author Scientific Reports 2021 (original cannabimimetic terpene paper). Career position unknown.</w:t>
            </w:r>
          </w:p>
          <w:p>
            <w:pPr>
              <w:spacing w:after="60"/>
            </w:pPr>
            <w:r>
              <w:rPr>
                <w:rFonts w:ascii="Arial" w:cs="Arial" w:eastAsia="Arial" w:hAnsi="Arial"/>
                <w:sz w:val="20"/>
                <w:szCs w:val="20"/>
              </w:rPr>
              <w:t xml:space="preserve">Key angle: Early-career researchers are MOTIVATED by co-authorship opportunities. Lower barrier to commitment.</w:t>
            </w:r>
          </w:p>
        </w:tc>
      </w:tr>
    </w:tbl>
    <w:p>
      <w:pPr>
        <w:spacing w:after="60"/>
      </w:pPr>
      <w:r>
        <w:t xml:space="preserve"/>
      </w:r>
    </w:p>
    <w:p>
      <w:pPr>
        <w:pStyle w:val="Heading2"/>
      </w:pPr>
      <w:r>
        <w:t xml:space="preserve">Email to Schwarz (after Streicher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PAIN 2024 A2a paper and a comprehensive terpene pharmacology review</w:t>
            </w:r>
          </w:p>
          <w:p>
            <w:pPr>
              <w:spacing w:after="60"/>
            </w:pPr>
            <w:r>
              <w:t xml:space="preserve"/>
            </w:r>
          </w:p>
          <w:p>
            <w:pPr>
              <w:spacing w:after="80"/>
            </w:pPr>
            <w:r>
              <w:rPr>
                <w:rFonts w:ascii="Arial" w:cs="Arial" w:eastAsia="Arial" w:hAnsi="Arial"/>
                <w:sz w:val="20"/>
                <w:szCs w:val="20"/>
              </w:rPr>
              <w:t xml:space="preserve">Dear Dr. Schwarz,</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Congratulations on completing your PhD and on the PAIN 2024 publication — your characterization of the spinal cord A2a pathway for terpene antinociception is a significant contribution. I’ve been discussing a comprehensive review for Pharmacological Reviews with Dr. Streicher, and your work features prominently in the mechanistic sections.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reaching out because I think there may be an opportunity for you to contribute as co-author on specific sections of the review, particularly the A2a receptor pharmacology discussion. Your detailed knowledge of the experimental methodology and dose-response data would strengthen the review’s technical accuracy.</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interested in discussing this? I’d be happy to share the draft outline.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Only send AFTER Streicher has engaged. “Discussing with Dr. Streicher” = social proof. Co-authorship is the incentive for early-career researchers.</w:t>
            </w:r>
          </w:p>
        </w:tc>
      </w:tr>
    </w:tbl>
    <w:p>
      <w:pPr>
        <w:spacing w:after="60"/>
      </w:pPr>
      <w:r>
        <w:t xml:space="preserve"/>
      </w:r>
    </w:p>
    <w:p>
      <w:pPr>
        <w:pStyle w:val="Heading2"/>
      </w:pPr>
      <w:r>
        <w:t xml:space="preserve">Email to Seekins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fibromyalgia/post-op terpene paper and a Pharmacological Reviews synthesis</w:t>
            </w:r>
          </w:p>
          <w:p>
            <w:pPr>
              <w:spacing w:after="60"/>
            </w:pPr>
            <w:r>
              <w:t xml:space="preserve"/>
            </w:r>
          </w:p>
          <w:p>
            <w:pPr>
              <w:spacing w:after="80"/>
            </w:pPr>
            <w:r>
              <w:rPr>
                <w:rFonts w:ascii="Arial" w:cs="Arial" w:eastAsia="Arial" w:hAnsi="Arial"/>
                <w:sz w:val="20"/>
                <w:szCs w:val="20"/>
              </w:rPr>
              <w:t xml:space="preserve">Dear Caleb,</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Seekins et al. 2025 extension of the A2a terpene mechanism to fibromyalgia and post-operative pain models is an important addition to the evidence base — it demonstrates that the mechanism generalizes beyond the original neuropathic pain context. I’m working with Dr. Streicher on a comprehensive review for Pharmacological Reviews, and your data is featured in the clinical translation sections.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Given your dual MD/research track, I thought you might be interested in contributing as co-author on the translational discussion — bridging the bench data you’ve generated with clinical implications for pain management. Would you be open to a conversation?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MD student = more casual tone. “Caleb” appropriate for early-career. MD/research angle = career benefit framing.</w:t>
            </w:r>
          </w:p>
        </w:tc>
      </w:tr>
    </w:tbl>
    <w:p>
      <w:r>
        <w:br w:type="page"/>
      </w:r>
    </w:p>
    <w:p>
      <w:pPr>
        <w:pStyle w:val="Heading1"/>
      </w:pPr>
      <w:r>
        <w:t xml:space="preserve">15. Mark Moss, PhD</w:t>
      </w:r>
    </w:p>
    <w:p>
      <w:pPr>
        <w:pStyle w:val="Heading2"/>
      </w:pPr>
      <w:r>
        <w:t xml:space="preserve">Northumbria University, UK — Brain, Performance and Nutrition Research Centre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Communication style: British pragmatism. Professional but approachable. Applied research focus.</w:t>
            </w:r>
          </w:p>
          <w:p>
            <w:pPr>
              <w:spacing w:after="60"/>
            </w:pPr>
            <w:r>
              <w:rPr>
                <w:rFonts w:ascii="Arial" w:cs="Arial" w:eastAsia="Arial" w:hAnsi="Arial"/>
                <w:sz w:val="20"/>
                <w:szCs w:val="20"/>
              </w:rPr>
              <w:t xml:space="preserve">Recent: Aromatherapy cortisol study (IJCAM 2025). Rosemary ERP study (PLoS ONE 2023).</w:t>
            </w:r>
          </w:p>
          <w:p>
            <w:pPr>
              <w:spacing w:after="60"/>
            </w:pPr>
            <w:r>
              <w:rPr>
                <w:rFonts w:ascii="Arial" w:cs="Arial" w:eastAsia="Arial" w:hAnsi="Arial"/>
                <w:sz w:val="20"/>
                <w:szCs w:val="20"/>
              </w:rPr>
              <w:t xml:space="preserve">Landmark: Plasma 1,8-cineole correlates with cognitive performance (2012). Biomarker + mechanism.</w:t>
            </w:r>
          </w:p>
          <w:p>
            <w:pPr>
              <w:spacing w:after="60"/>
            </w:pPr>
            <w:r>
              <w:rPr>
                <w:rFonts w:ascii="Arial" w:cs="Arial" w:eastAsia="Arial" w:hAnsi="Arial"/>
                <w:sz w:val="20"/>
                <w:szCs w:val="20"/>
              </w:rPr>
              <w:t xml:space="preserve">Inaugural Professor (2025). Head of Psychology Department. BPNRC founder.</w:t>
            </w:r>
          </w:p>
          <w:p>
            <w:pPr>
              <w:spacing w:after="60"/>
            </w:pPr>
            <w:r>
              <w:rPr>
                <w:rFonts w:ascii="Arial" w:cs="Arial" w:eastAsia="Arial" w:hAnsi="Arial"/>
                <w:sz w:val="20"/>
                <w:szCs w:val="20"/>
              </w:rPr>
              <w:t xml:space="preserve">Key angle: His 1,8-cineole plasma biomarker study is the STRONGEST evidence linking ambient terpene exposure to measured biological effects in humans.</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Your 1,8-cineole biomarker work in a unified terpene pharmacology framework</w:t>
            </w:r>
          </w:p>
          <w:p>
            <w:pPr>
              <w:spacing w:after="60"/>
            </w:pPr>
            <w:r>
              <w:t xml:space="preserve"/>
            </w:r>
          </w:p>
          <w:p>
            <w:pPr>
              <w:spacing w:after="80"/>
            </w:pPr>
            <w:r>
              <w:rPr>
                <w:rFonts w:ascii="Arial" w:cs="Arial" w:eastAsia="Arial" w:hAnsi="Arial"/>
                <w:sz w:val="20"/>
                <w:szCs w:val="20"/>
              </w:rPr>
              <w:t xml:space="preserve">Dear Professor Moss,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Congratulations on your inaugural professorship — well-deserved recognition for two decades of building the evidence base for phytoaromatic effects on cognition.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Your work has a unique position in terpene pharmacology: the 2012 study demonstrating plasma 1,8-cineole correlation with cognitive performance is, to my knowledge, the strongest published evidence linking ambient terpene exposure to a measurable biological endpoint in humans. This is precisely the kind of evidence that cannabis researchers and forest medicine scientists need but haven’t been citing.</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I’m preparing a comprehensive review for Pharmacological Reviews that bridges cannabis terpene pharmacology, your aromatherapy cognition research, and forest medicine immunology into a unified framework. Your 1,8-cineole data would be featured prominently, and I’d value your input on how to accurately represent the bioavailability and exposure pharmacokinetics of ambient terpenes.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Would you be open to a discussion about an advisory or co-authorship role?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Best regards,</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British register: “Professor Moss” is correct. Inaugural professorship congratulation is timely. Applied/practical framing matches his style.</w:t>
            </w:r>
          </w:p>
        </w:tc>
      </w:tr>
    </w:tbl>
    <w:p>
      <w:r>
        <w:br w:type="page"/>
      </w:r>
    </w:p>
    <w:p>
      <w:pPr>
        <w:pStyle w:val="Heading1"/>
      </w:pPr>
      <w:r>
        <w:t xml:space="preserve">16. Rafael Franco, PhD</w:t>
      </w:r>
    </w:p>
    <w:p>
      <w:pPr>
        <w:pStyle w:val="Heading2"/>
      </w:pPr>
      <w:r>
        <w:t xml:space="preserve">Universitat de Barcelona / CIBERNED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D1D5DB" w:sz="1"/>
              <w:bottom w:val="single" w:color="D1D5DB" w:sz="1"/>
              <w:right w:val="single" w:color="D1D5DB" w:sz="1"/>
            </w:tcBorders>
            <w:shd w:fill="F0F7FF" w:val="clear"/>
            <w:tcMar>
              <w:top w:type="dxa" w:w="100"/>
              <w:left w:type="dxa" w:w="140"/>
              <w:bottom w:type="dxa" w:w="100"/>
              <w:right w:type="dxa" w:w="140"/>
            </w:tcMar>
          </w:tcPr>
          <w:p>
            <w:pPr>
              <w:spacing w:after="80"/>
            </w:pPr>
            <w:r>
              <w:rPr>
                <w:rFonts w:ascii="Arial" w:cs="Arial" w:eastAsia="Arial" w:hAnsi="Arial"/>
                <w:b/>
                <w:bCs/>
                <w:color w:val="1B4F72"/>
                <w:sz w:val="22"/>
                <w:szCs w:val="22"/>
              </w:rPr>
              <w:t xml:space="preserve">PERSONALIZATION INTEL</w:t>
            </w:r>
          </w:p>
          <w:p>
            <w:pPr>
              <w:spacing w:after="60"/>
            </w:pPr>
            <w:r>
              <w:rPr>
                <w:rFonts w:ascii="Arial" w:cs="Arial" w:eastAsia="Arial" w:hAnsi="Arial"/>
                <w:sz w:val="20"/>
                <w:szCs w:val="20"/>
              </w:rPr>
              <w:t xml:space="preserve">450+ publications, 20,000+ citations. GPCR heteromerization field FOUNDER.</w:t>
            </w:r>
          </w:p>
          <w:p>
            <w:pPr>
              <w:spacing w:after="60"/>
            </w:pPr>
            <w:r>
              <w:rPr>
                <w:rFonts w:ascii="Arial" w:cs="Arial" w:eastAsia="Arial" w:hAnsi="Arial"/>
                <w:sz w:val="20"/>
                <w:szCs w:val="20"/>
              </w:rPr>
              <w:t xml:space="preserve">Recent: Cannabinoid-angiotensin striatal signaling (npj Parkinson’s 2024). A2A-CB1-D2 heteromers.</w:t>
            </w:r>
          </w:p>
          <w:p>
            <w:pPr>
              <w:spacing w:after="60"/>
            </w:pPr>
            <w:r>
              <w:rPr>
                <w:rFonts w:ascii="Arial" w:cs="Arial" w:eastAsia="Arial" w:hAnsi="Arial"/>
                <w:sz w:val="20"/>
                <w:szCs w:val="20"/>
              </w:rPr>
              <w:t xml:space="preserve">Email: rfranco@ub.edu. CIBERNED Group 201 head. Senior authority — approach respectfully.</w:t>
            </w:r>
          </w:p>
          <w:p>
            <w:pPr>
              <w:spacing w:after="60"/>
            </w:pPr>
            <w:r>
              <w:rPr>
                <w:rFonts w:ascii="Arial" w:cs="Arial" w:eastAsia="Arial" w:hAnsi="Arial"/>
                <w:sz w:val="20"/>
                <w:szCs w:val="20"/>
              </w:rPr>
              <w:t xml:space="preserve">Key angle: He FOUNDED the heteromer concept. Advisory endorsement adds deep credibility to Article 3.</w:t>
            </w:r>
          </w:p>
        </w:tc>
      </w:tr>
    </w:tbl>
    <w:p>
      <w:pPr>
        <w:spacing w:after="60"/>
      </w:pPr>
      <w:r>
        <w:t xml:space="preserve"/>
      </w:r>
    </w:p>
    <w:p>
      <w:pPr>
        <w:pStyle w:val="Heading2"/>
      </w:pPr>
      <w:r>
        <w:t xml:space="preserve">Email 1: Initial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BFC" w:val="clear"/>
            <w:tcMar>
              <w:top w:type="dxa" w:w="120"/>
              <w:left w:type="dxa" w:w="160"/>
              <w:bottom w:type="dxa" w:w="120"/>
              <w:right w:type="dxa" w:w="160"/>
            </w:tcMar>
          </w:tcPr>
          <w:p>
            <w:pPr>
              <w:spacing w:after="100"/>
            </w:pPr>
            <w:r>
              <w:rPr>
                <w:rFonts w:ascii="Arial" w:cs="Arial" w:eastAsia="Arial" w:hAnsi="Arial"/>
                <w:b/>
                <w:bCs/>
                <w:sz w:val="20"/>
                <w:szCs w:val="20"/>
              </w:rPr>
              <w:t xml:space="preserve">Subject: </w:t>
            </w:r>
            <w:r>
              <w:rPr>
                <w:rFonts w:ascii="Arial" w:cs="Arial" w:eastAsia="Arial" w:hAnsi="Arial"/>
                <w:i/>
                <w:iCs/>
                <w:sz w:val="20"/>
                <w:szCs w:val="20"/>
              </w:rPr>
              <w:t xml:space="preserve">GPCR heteromer architecture as the mechanistic basis for terpene pharmacology</w:t>
            </w:r>
          </w:p>
          <w:p>
            <w:pPr>
              <w:spacing w:after="60"/>
            </w:pPr>
            <w:r>
              <w:t xml:space="preserve"/>
            </w:r>
          </w:p>
          <w:p>
            <w:pPr>
              <w:spacing w:after="80"/>
            </w:pPr>
            <w:r>
              <w:rPr>
                <w:rFonts w:ascii="Arial" w:cs="Arial" w:eastAsia="Arial" w:hAnsi="Arial"/>
                <w:sz w:val="20"/>
                <w:szCs w:val="20"/>
              </w:rPr>
              <w:t xml:space="preserve">Dear Professor Franco,</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As the pioneer of GPCR heteromerization research, your structural characterization of adenosine-cannabinoid receptor complexes provides what may be the missing mechanistic link in an emerging body of terpene pharmacology evidence.</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Recent work from John Streicher’s laboratory has demonstrated that cannabis-derived terpenes produce antinociception via adenosine A2a receptor activation. Dr. Navarro’s 2025 BJP paper on A2A-CB2 allosteric modulation adds structural detail to how this pathway might operate at the heteromer level. I am preparing a network pharmacology article (Article 3, targeting Frontiers in Pharmacology) that models terpene polypharmacology through the heteromer architecture you and your colleagues have characterized.</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I would be deeply grateful for your advisory input on whether this framework — terpene → A2a activation → allosteric modulation of CB1/CB2 via heteromer conformational change — is structurally plausible based on your decades of heteromer research.</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With great respect for your foundational contributions to the field,</w:t>
            </w:r>
          </w:p>
          <w:p>
            <w:pPr>
              <w:spacing w:after="80"/>
            </w:pPr>
            <w:r>
              <w:rPr>
                <w:rFonts w:ascii="Arial" w:cs="Arial" w:eastAsia="Arial" w:hAnsi="Arial"/>
                <w:sz w:val="20"/>
                <w:szCs w:val="20"/>
              </w:rPr>
              <w:t xml:space="preserve">Charles Pelletier-Gagné</w:t>
            </w:r>
          </w:p>
          <w:p>
            <w:pPr>
              <w:spacing w:after="60"/>
            </w:pPr>
            <w:r>
              <w:t xml:space="preserve"/>
            </w:r>
          </w:p>
          <w:p>
            <w:pPr>
              <w:spacing w:after="60"/>
            </w:pPr>
            <w:r>
              <w:rPr>
                <w:rFonts w:ascii="Arial" w:cs="Arial" w:eastAsia="Arial" w:hAnsi="Arial"/>
                <w:i/>
                <w:iCs/>
                <w:color w:val="92400E"/>
                <w:sz w:val="18"/>
                <w:szCs w:val="18"/>
              </w:rPr>
              <w:t xml:space="preserve">⚠ Highly formal. Deferential to his seniority and field-founding status. Ask for “assessment” rather than “collaboration” — lower barrier, higher flattery.</w:t>
            </w:r>
          </w:p>
        </w:tc>
      </w:tr>
    </w:tbl>
    <w:p>
      <w:r>
        <w:br w:type="page"/>
      </w:r>
    </w:p>
    <w:p>
      <w:pPr>
        <w:spacing w:before="200" w:after="300"/>
      </w:pPr>
      <w:r>
        <w:rPr>
          <w:rFonts w:ascii="Arial" w:cs="Arial" w:eastAsia="Arial" w:hAnsi="Arial"/>
          <w:b/>
          <w:bCs/>
          <w:color w:val="0A66C2"/>
          <w:sz w:val="36"/>
          <w:szCs w:val="36"/>
        </w:rPr>
        <w:t xml:space="preserve">LINKEDIN OUTREACH STRATEGY</w:t>
      </w:r>
    </w:p>
    <w:p>
      <w:pPr>
        <w:spacing w:after="60"/>
      </w:pPr>
      <w:r>
        <w:t xml:space="preserve"/>
      </w:r>
    </w:p>
    <w:p>
      <w:pPr>
        <w:pStyle w:val="Heading2"/>
      </w:pPr>
      <w:r>
        <w:t xml:space="preserve">LinkedIn-Active Researchers (Prioritize for LinkedIn Outreach)</w:t>
      </w:r>
    </w:p>
    <w:p>
      <w:pPr>
        <w:spacing w:after="120"/>
      </w:pPr>
      <w:r>
        <w:rPr>
          <w:b/>
          <w:bCs/>
        </w:rPr>
        <w:t xml:space="preserve">High LinkedIn Activity: </w:t>
      </w:r>
      <w:r>
        <w:t xml:space="preserve">Ethan Russo (primary platform), Sara Jane Ward, Cassandra Quave (@QuaveEthnobot), Ziva Cooper (@zivacooper)</w:t>
      </w:r>
    </w:p>
    <w:p>
      <w:pPr>
        <w:spacing w:after="120"/>
      </w:pPr>
      <w:r>
        <w:rPr>
          <w:b/>
          <w:bCs/>
        </w:rPr>
        <w:t xml:space="preserve">Moderate LinkedIn Activity: </w:t>
      </w:r>
      <w:r>
        <w:t xml:space="preserve">John Streicher, Tory Spindle, Jürg Gertsch, Mark Moss, Rafael Franco, Jonathon Arnold</w:t>
      </w:r>
    </w:p>
    <w:p>
      <w:pPr>
        <w:spacing w:after="120"/>
      </w:pPr>
      <w:r>
        <w:rPr>
          <w:b/>
          <w:bCs/>
        </w:rPr>
        <w:t xml:space="preserve">Low/No LinkedIn: </w:t>
      </w:r>
      <w:r>
        <w:t xml:space="preserve">Ryan Vandrey (use @jhucsl on X), Sergi Ferré (minimal social), Siegfried Kasper (minimal), Qing Li (minimal), Isaac Chiu (@IsaacChiuLab on X)</w:t>
      </w:r>
    </w:p>
    <w:p>
      <w:pPr>
        <w:spacing w:after="60"/>
      </w:pPr>
      <w:r>
        <w:t xml:space="preserve"/>
      </w:r>
    </w:p>
    <w:p>
      <w:pPr>
        <w:pStyle w:val="Heading2"/>
      </w:pPr>
      <w:r>
        <w:t xml:space="preserve">LinkedIn Sequence Timing</w:t>
      </w:r>
    </w:p>
    <w:p>
      <w:pPr>
        <w:spacing w:after="120"/>
      </w:pPr>
      <w:r>
        <w:t xml:space="preserve">Day 0: Send Email 1 + LinkedIn connection request (same day)</w:t>
      </w:r>
    </w:p>
    <w:p>
      <w:pPr>
        <w:spacing w:after="120"/>
      </w:pPr>
      <w:r>
        <w:t xml:space="preserve">Day 1–2: If connection accepted, send LinkedIn DM (24–48 hrs after acceptance)</w:t>
      </w:r>
    </w:p>
    <w:p>
      <w:pPr>
        <w:spacing w:after="120"/>
      </w:pPr>
      <w:r>
        <w:t xml:space="preserve">Day 7–10: Send Email 2 (regardless of LinkedIn response)</w:t>
      </w:r>
    </w:p>
    <w:p>
      <w:pPr>
        <w:spacing w:after="120"/>
      </w:pPr>
      <w:r>
        <w:t xml:space="preserve">Day 14+: If no email response, send follow-up LinkedIn DM referencing the email</w:t>
      </w:r>
    </w:p>
    <w:p>
      <w:pPr>
        <w:spacing w:after="60"/>
      </w:pPr>
      <w:r>
        <w:t xml:space="preserve"/>
      </w:r>
    </w:p>
    <w:p>
      <w:pPr>
        <w:pStyle w:val="Heading2"/>
      </w:pPr>
      <w:r>
        <w:t xml:space="preserve">LinkedIn DM Follow-Up Template (Day 14, no email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6"/>
              <w:left w:val="single" w:color="D1D5DB" w:sz="1"/>
              <w:bottom w:val="single" w:color="D1D5DB" w:sz="1"/>
              <w:right w:val="single" w:color="D1D5DB" w:sz="1"/>
            </w:tcBorders>
            <w:shd w:fill="F3F6F8" w:val="clear"/>
            <w:tcMar>
              <w:top w:type="dxa" w:w="120"/>
              <w:left w:type="dxa" w:w="160"/>
              <w:bottom w:type="dxa" w:w="120"/>
              <w:right w:type="dxa" w:w="160"/>
            </w:tcMar>
          </w:tcPr>
          <w:p>
            <w:pPr>
              <w:spacing w:after="80"/>
            </w:pPr>
            <w:r>
              <w:rPr>
                <w:rFonts w:ascii="Arial" w:cs="Arial" w:eastAsia="Arial" w:hAnsi="Arial"/>
                <w:sz w:val="20"/>
                <w:szCs w:val="20"/>
              </w:rPr>
              <w:t xml:space="preserve">Hi [Dr./Professor Name] — I sent you an email about [specific topic] on [date] but wanted to make sure it didn’t get lost. I’m building a comprehensive terpene pharmacology review for Pharmacological Reviews and your work on [specific area] is central to the synthesis. Would you have a few minutes to discuss? Happy to share the evidence base summary here if that’s easier. — Charles</w:t>
            </w:r>
          </w:p>
          <w:p>
            <w:pPr>
              <w:spacing w:after="60"/>
            </w:pPr>
            <w:r>
              <w:t xml:space="preserve"/>
            </w:r>
          </w:p>
          <w:p>
            <w:pPr>
              <w:spacing w:after="60"/>
            </w:pPr>
            <w:r>
              <w:rPr>
                <w:rFonts w:ascii="Arial" w:cs="Arial" w:eastAsia="Arial" w:hAnsi="Arial"/>
                <w:i/>
                <w:iCs/>
                <w:color w:val="92400E"/>
                <w:sz w:val="18"/>
                <w:szCs w:val="18"/>
              </w:rPr>
              <w:t xml:space="preserve">⚠ Use this template only after Email 1 AND Email 2 have gone unanswered (14+ days). Casual, brief, low-pressure.</w:t>
            </w:r>
          </w:p>
        </w:tc>
      </w:tr>
    </w:tbl>
    <w:p>
      <w:r>
        <w:br w:type="page"/>
      </w:r>
    </w:p>
    <w:p>
      <w:pPr>
        <w:pStyle w:val="Heading1"/>
      </w:pPr>
      <w:r>
        <w:t xml:space="preserve">Outreach Tracking Framework</w:t>
      </w:r>
    </w:p>
    <w:p>
      <w:pPr>
        <w:spacing w:after="60"/>
      </w:pPr>
      <w:r>
        <w:t xml:space="preserve"/>
      </w:r>
    </w:p>
    <w:p>
      <w:pPr>
        <w:spacing w:after="120"/>
      </w:pPr>
      <w:r>
        <w:t xml:space="preserve">Track each researcher through the following stages:</w:t>
      </w:r>
    </w:p>
    <w:p>
      <w:pPr>
        <w:spacing w:after="60"/>
      </w:pPr>
      <w:r>
        <w:t xml:space="preserve"/>
      </w:r>
    </w:p>
    <w:p>
      <w:pPr>
        <w:spacing w:after="120"/>
      </w:pPr>
      <w:r>
        <w:rPr>
          <w:b/>
          <w:bCs/>
        </w:rPr>
        <w:t xml:space="preserve">Stage 1: </w:t>
      </w:r>
      <w:r>
        <w:t xml:space="preserve">Email 1 Sent → </w:t>
      </w:r>
      <w:r>
        <w:rPr>
          <w:b/>
          <w:bCs/>
        </w:rPr>
        <w:t xml:space="preserve">Stage 2: </w:t>
      </w:r>
      <w:r>
        <w:t xml:space="preserve">Email 2 Sent → </w:t>
      </w:r>
      <w:r>
        <w:rPr>
          <w:b/>
          <w:bCs/>
        </w:rPr>
        <w:t xml:space="preserve">Stage 3: </w:t>
      </w:r>
      <w:r>
        <w:t xml:space="preserve">LinkedIn Sent → </w:t>
      </w:r>
      <w:r>
        <w:rPr>
          <w:b/>
          <w:bCs/>
        </w:rPr>
        <w:t xml:space="preserve">Stage 4: </w:t>
      </w:r>
      <w:r>
        <w:t xml:space="preserve">Response Received → </w:t>
      </w:r>
      <w:r>
        <w:rPr>
          <w:b/>
          <w:bCs/>
        </w:rPr>
        <w:t xml:space="preserve">Stage 5: </w:t>
      </w:r>
      <w:r>
        <w:t xml:space="preserve">Call Scheduled → </w:t>
      </w:r>
      <w:r>
        <w:rPr>
          <w:b/>
          <w:bCs/>
        </w:rPr>
        <w:t xml:space="preserve">Stage 6: </w:t>
      </w:r>
      <w:r>
        <w:t xml:space="preserve">Collaboration Agreed → </w:t>
      </w:r>
      <w:r>
        <w:rPr>
          <w:b/>
          <w:bCs/>
        </w:rPr>
        <w:t xml:space="preserve">Stage 7: </w:t>
      </w:r>
      <w:r>
        <w:t xml:space="preserve">Sections Assigned</w:t>
      </w:r>
    </w:p>
    <w:p>
      <w:pPr>
        <w:spacing w:after="60"/>
      </w:pPr>
      <w:r>
        <w:t xml:space="preserve"/>
      </w:r>
    </w:p>
    <w:p>
      <w:pPr>
        <w:spacing w:after="120"/>
      </w:pPr>
      <w:r>
        <w:rPr>
          <w:b/>
          <w:bCs/>
        </w:rPr>
        <w:t xml:space="preserve">Success Metrics: </w:t>
      </w:r>
      <w:r>
        <w:t xml:space="preserve">Target 60–70% response rate from Tier 1 (3–4 of 6). 40–50% from Tier 2–3 (5–7 of 14). Minimum viable authorship team: 3–4 co-authors for Article 2.</w:t>
      </w:r>
    </w:p>
    <w:p>
      <w:pPr>
        <w:spacing w:after="120"/>
      </w:pPr>
      <w:r>
        <w:rPr>
          <w:b/>
          <w:bCs/>
        </w:rPr>
        <w:t xml:space="preserve">Fallback: </w:t>
      </w:r>
      <w:r>
        <w:t xml:space="preserve">If a top-priority researcher declines co-authorship, ask for advisory acknowledgment and permission to cite unpublished data or personal communications.</w:t>
      </w:r>
    </w:p>
    <w:p>
      <w:pPr>
        <w:spacing w:after="60"/>
      </w:pPr>
      <w:r>
        <w:t xml:space="preserve"/>
      </w:r>
    </w:p>
    <w:p>
      <w:pPr>
        <w:spacing w:after="120"/>
      </w:pPr>
      <w:r>
        <w:rPr>
          <w:b/>
          <w:bCs/>
        </w:rPr>
        <w:t xml:space="preserve">Total sequences in this playbook: </w:t>
      </w:r>
      <w:r>
        <w:t xml:space="preserve">16 primary researcher sequences (20 individuals)</w:t>
      </w:r>
    </w:p>
    <w:p>
      <w:pPr>
        <w:spacing w:after="120"/>
      </w:pPr>
      <w:r>
        <w:rPr>
          <w:b/>
          <w:bCs/>
        </w:rPr>
        <w:t xml:space="preserve">Total touchpoints: </w:t>
      </w:r>
      <w:r>
        <w:t xml:space="preserve">60+ (Email 1 + Email 2 + LinkedIn for each)</w:t>
      </w:r>
    </w:p>
    <w:p>
      <w:pPr>
        <w:spacing w:after="120"/>
      </w:pPr>
      <w:r>
        <w:rPr>
          <w:b/>
          <w:bCs/>
        </w:rPr>
        <w:t xml:space="preserve">Timeline: </w:t>
      </w:r>
      <w:r>
        <w:t xml:space="preserve">8–10 weeks from Phase 1 to Phase 5 completion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Personalized Outreach Playbook</w:t>
    </w:r>
    <w:r>
      <w:rPr>
        <w:rFonts w:ascii="Arial" w:cs="Arial" w:eastAsia="Arial" w:hAnsi="Arial"/>
        <w:color w:val="888888"/>
        <w:sz w:val="16"/>
        <w:szCs w:val="16"/>
      </w:rPr>
      <w:t xml:space="preserve">	Pelletier-Gagné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5DADE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2026-02-20T09:11:18.651Z</dcterms:created>
  <dcterms:modified xsi:type="dcterms:W3CDTF">2026-02-20T09:11:18.652Z</dcterms:modified>
</cp:coreProperties>
</file>

<file path=docProps/custom.xml><?xml version="1.0" encoding="utf-8"?>
<Properties xmlns="http://schemas.openxmlformats.org/officeDocument/2006/custom-properties" xmlns:vt="http://schemas.openxmlformats.org/officeDocument/2006/docPropsVTypes"/>
</file>