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Arial" w:cs="Arial" w:eastAsia="Arial" w:hAnsi="Arial"/>
          <w:color w:val="8B6914"/>
          <w:spacing w:val="120"/>
          <w:sz w:val="18"/>
          <w:szCs w:val="18"/>
        </w:rPr>
        <w:t xml:space="preserve">CONFIDENTIAL · MARCH 2026</w:t>
      </w:r>
    </w:p>
    <w:p>
      <w:pPr>
        <w:spacing w:after="200"/>
      </w:pPr>
      <w:r>
        <w:rPr>
          <w:rFonts w:ascii="Georgia" w:cs="Georgia" w:eastAsia="Georgia" w:hAnsi="Georgia"/>
          <w:b/>
          <w:bCs/>
          <w:color w:val="2D6A4F"/>
          <w:sz w:val="72"/>
          <w:szCs w:val="72"/>
        </w:rPr>
        <w:t xml:space="preserve">Solful Sessions</w:t>
      </w:r>
    </w:p>
    <w:p>
      <w:pPr>
        <w:spacing w:after="400"/>
      </w:pPr>
      <w:r>
        <w:rPr>
          <w:rFonts w:ascii="Georgia" w:cs="Georgia" w:eastAsia="Georgia" w:hAnsi="Georgia"/>
          <w:i/>
          <w:iCs/>
          <w:color w:val="666666"/>
          <w:sz w:val="28"/>
          <w:szCs w:val="28"/>
        </w:rPr>
        <w:t xml:space="preserve">Precision Terpene Formulation for Enhanced Cannabis Experience, Athletic Performance, and Human Wellness</w:t>
      </w:r>
    </w:p>
    <w:p>
      <w:pPr>
        <w:pBdr>
          <w:bottom w:val="single" w:color="2D6A4F" w:sz="6" w:space="1"/>
        </w:pBdr>
        <w:spacing w:after="300"/>
      </w:pPr>
    </w:p>
    <w:p>
      <w:pPr>
        <w:spacing w:after="200"/>
      </w:pPr>
    </w:p>
    <w:p>
      <w:pPr>
        <w:spacing w:after="120"/>
      </w:pPr>
      <w:r>
        <w:rPr>
          <w:rFonts w:ascii="Arial" w:cs="Arial" w:eastAsia="Arial" w:hAnsi="Arial"/>
          <w:b/>
          <w:bCs/>
          <w:color w:val="1A1A1A"/>
          <w:sz w:val="22"/>
          <w:szCs w:val="22"/>
        </w:rPr>
        <w:t xml:space="preserve">Business Plan &amp; Go-to-Market Strategy</w:t>
      </w:r>
    </w:p>
    <w:p>
      <w:pPr>
        <w:spacing w:after="120"/>
      </w:pPr>
      <w:r>
        <w:rPr>
          <w:rFonts w:ascii="Arial" w:cs="Arial" w:eastAsia="Arial" w:hAnsi="Arial"/>
          <w:color w:val="1A1A1A"/>
          <w:sz w:val="22"/>
          <w:szCs w:val="22"/>
        </w:rPr>
        <w:t xml:space="preserve">Charles Pelletier-Gagné · Sebastopol, California</w:t>
      </w:r>
    </w:p>
    <w:p>
      <w:pPr>
        <w:spacing w:after="120"/>
      </w:pPr>
      <w:r>
        <w:rPr>
          <w:rFonts w:ascii="Arial" w:cs="Arial" w:eastAsia="Arial" w:hAnsi="Arial"/>
          <w:color w:val="1A1A1A"/>
          <w:sz w:val="22"/>
          <w:szCs w:val="22"/>
        </w:rPr>
        <w:t xml:space="preserve">Patent Application CPG-2026-PROV-001</w:t>
      </w:r>
    </w:p>
    <w:p>
      <w:pPr>
        <w:spacing w:after="120"/>
      </w:pPr>
      <w:r>
        <w:rPr>
          <w:rFonts w:ascii="Arial" w:cs="Arial" w:eastAsia="Arial" w:hAnsi="Arial"/>
          <w:color w:val="1A1A1A"/>
          <w:sz w:val="22"/>
          <w:szCs w:val="22"/>
        </w:rPr>
        <w:t xml:space="preserve">44 Claims · 6 Families · 8 Independent Claims</w:t>
      </w:r>
    </w:p>
    <w:p>
      <w:pPr>
        <w:spacing w:after="400"/>
      </w:pPr>
    </w:p>
    <w:p>
      <w:pPr>
        <w:spacing w:after="80"/>
      </w:pPr>
      <w:r>
        <w:rPr>
          <w:rFonts w:ascii="Arial" w:cs="Arial" w:eastAsia="Arial" w:hAnsi="Arial"/>
          <w:b/>
          <w:bCs/>
          <w:color w:val="8B6914"/>
          <w:sz w:val="20"/>
          <w:szCs w:val="20"/>
        </w:rPr>
        <w:t xml:space="preserve">Patent Pending</w:t>
      </w:r>
      <w:r>
        <w:rPr>
          <w:rFonts w:ascii="Arial" w:cs="Arial" w:eastAsia="Arial" w:hAnsi="Arial"/>
          <w:color w:val="666666"/>
          <w:sz w:val="20"/>
          <w:szCs w:val="20"/>
        </w:rPr>
        <w:t xml:space="preserve">   ·   </w:t>
      </w:r>
      <w:r>
        <w:rPr>
          <w:rFonts w:ascii="Arial" w:cs="Arial" w:eastAsia="Arial" w:hAnsi="Arial"/>
          <w:b/>
          <w:bCs/>
          <w:color w:val="C0392B"/>
          <w:sz w:val="20"/>
          <w:szCs w:val="20"/>
        </w:rPr>
        <w:t xml:space="preserve">La Séance Soft Launch 4/20/2026</w:t>
      </w:r>
    </w:p>
    <w:p>
      <w:pPr>
        <w:sectPr>
          <w:pgSz w:w="12240" w:h="15840" w:orient="portrait"/>
          <w:pgMar w:top="2880" w:right="1440" w:bottom="1440" w:left="1440" w:header="708" w:footer="708" w:gutter="0"/>
          <w:pgNumType/>
          <w:docGrid w:linePitch="360"/>
        </w:sectPr>
      </w:pPr>
    </w:p>
    <w:p>
      <w:pPr>
        <w:pStyle w:val="Heading1"/>
        <w:spacing w:after="200" w:before="400"/>
      </w:pPr>
      <w:r>
        <w:rPr>
          <w:rFonts w:ascii="Georgia" w:cs="Georgia" w:eastAsia="Georgia" w:hAnsi="Georgia"/>
          <w:b/>
          <w:bCs/>
          <w:color w:val="1A1A1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Georgia" w:cs="Georgia" w:eastAsia="Georgia" w:hAnsi="Georgia"/>
          <w:b/>
          <w:bCs/>
          <w:color w:val="1A1A1A"/>
          <w:sz w:val="32"/>
          <w:szCs w:val="32"/>
        </w:rPr>
        <w:t xml:space="preserve">Executive Summary</w:t>
      </w:r>
    </w:p>
    <w:p>
      <w:pPr>
        <w:spacing w:after="120"/>
      </w:pPr>
      <w:r>
        <w:rPr>
          <w:rFonts w:ascii="Arial" w:cs="Arial" w:eastAsia="Arial" w:hAnsi="Arial"/>
          <w:color w:val="1A1A1A"/>
          <w:sz w:val="22"/>
          <w:szCs w:val="22"/>
        </w:rPr>
        <w:t xml:space="preserve">Solful Sessions is a terpene science company that bridges three historically separated research traditions — cannabis pharmacology, clinical aromatherapy, and forest bathing immunology — into a unified platform for enhancing human experience through precision terpene formulation.</w:t>
      </w:r>
    </w:p>
    <w:p>
      <w:pPr>
        <w:spacing w:after="100"/>
      </w:pPr>
    </w:p>
    <w:p>
      <w:pPr>
        <w:spacing w:after="100" w:before="200"/>
      </w:pPr>
      <w:r>
        <w:rPr>
          <w:rFonts w:ascii="Arial" w:cs="Arial" w:eastAsia="Arial" w:hAnsi="Arial"/>
          <w:b/>
          <w:bCs/>
          <w:color w:val="8B6914"/>
          <w:sz w:val="22"/>
          <w:szCs w:val="22"/>
        </w:rPr>
        <w:t xml:space="preserve">THE CORE INSIGHT</w:t>
      </w:r>
    </w:p>
    <w:p>
      <w:pPr>
        <w:spacing w:after="120"/>
      </w:pPr>
      <w:r>
        <w:rPr>
          <w:rFonts w:ascii="Arial" w:cs="Arial" w:eastAsia="Arial" w:hAnsi="Arial"/>
          <w:color w:val="1A1A1A"/>
          <w:sz w:val="22"/>
          <w:szCs w:val="22"/>
        </w:rPr>
        <w:t xml:space="preserve">Cannabis flower delivers terpenes at 100–10,000× below pharmacologically active doses. Essential oils deliver the same molecules at 20–950× higher concentrations. A β-caryophyllene molecule doesn't care if it comes from a joint or a pepper grinder — the receptor only sees the molecular shape.</w:t>
      </w:r>
    </w:p>
    <w:p>
      <w:pPr>
        <w:spacing w:after="100" w:before="200"/>
      </w:pPr>
      <w:r>
        <w:rPr>
          <w:rFonts w:ascii="Arial" w:cs="Arial" w:eastAsia="Arial" w:hAnsi="Arial"/>
          <w:b/>
          <w:bCs/>
          <w:color w:val="8B6914"/>
          <w:sz w:val="22"/>
          <w:szCs w:val="22"/>
        </w:rPr>
        <w:t xml:space="preserve">THE TIMING INNOVATION</w:t>
      </w:r>
    </w:p>
    <w:p>
      <w:pPr>
        <w:spacing w:after="120"/>
      </w:pPr>
      <w:r>
        <w:rPr>
          <w:rFonts w:ascii="Arial" w:cs="Arial" w:eastAsia="Arial" w:hAnsi="Arial"/>
          <w:color w:val="1A1A1A"/>
          <w:sz w:val="22"/>
          <w:szCs w:val="22"/>
        </w:rPr>
        <w:t xml:space="preserve">Pre-loading — breathing a strain-matched terpene blend 15–30 minutes before cannabis — primes receptor systems via A2a-CB1 heteromeric crosstalk. Terpenes before THC is pharmacologically different from terpenes with THC. Sequence matters.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Patent Claims</w:t>
            </w:r>
          </w:p>
        </w:tc>
        <w:tc>
          <w:tcPr>
            <w:tcW w:type="dxa" w:w="62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44 across 6 families (8 independent)</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Strain Recipes</w:t>
            </w:r>
          </w:p>
        </w:tc>
        <w:tc>
          <w:tcPr>
            <w:tcW w:type="dxa" w:w="62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24 strains with 120 beverage pairings</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Business Lines</w:t>
            </w:r>
          </w:p>
        </w:tc>
        <w:tc>
          <w:tcPr>
            <w:tcW w:type="dxa" w:w="62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 (Cannabis · Wellness · Pharma)</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Filing Cost</w:t>
            </w:r>
          </w:p>
        </w:tc>
        <w:tc>
          <w:tcPr>
            <w:tcW w:type="dxa" w:w="62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$320 (micro-entity provisional)</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Launch Date</w:t>
            </w:r>
          </w:p>
        </w:tc>
        <w:tc>
          <w:tcPr>
            <w:tcW w:type="dxa" w:w="62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April 20, 2026 (La Séance soft launch)</w:t>
            </w:r>
          </w:p>
        </w:tc>
      </w:tr>
    </w:tbl>
    <w:p>
      <w:r>
        <w:br w:type="page"/>
      </w:r>
    </w:p>
    <w:p>
      <w:pPr>
        <w:pStyle w:val="Heading1"/>
        <w:spacing w:after="200" w:before="400"/>
      </w:pPr>
      <w:r>
        <w:rPr>
          <w:rFonts w:ascii="Georgia" w:cs="Georgia" w:eastAsia="Georgia" w:hAnsi="Georgia"/>
          <w:b/>
          <w:bCs/>
          <w:color w:val="1A1A1A"/>
          <w:sz w:val="32"/>
          <w:szCs w:val="32"/>
        </w:rPr>
        <w:t xml:space="preserve">Founder</w:t>
      </w:r>
    </w:p>
    <w:p>
      <w:pPr>
        <w:spacing w:after="120"/>
      </w:pPr>
      <w:r>
        <w:rPr>
          <w:rFonts w:ascii="Arial" w:cs="Arial" w:eastAsia="Arial" w:hAnsi="Arial"/>
          <w:color w:val="1A1A1A"/>
          <w:sz w:val="22"/>
          <w:szCs w:val="22"/>
        </w:rPr>
        <w:t xml:space="preserve">Charles Pelletier-Gagné — Sebastopol, California</w:t>
      </w:r>
    </w:p>
    <w:p>
      <w:pPr>
        <w:spacing w:after="50"/>
      </w:pPr>
    </w:p>
    <w:p>
      <w:pPr>
        <w:spacing w:after="120"/>
      </w:pPr>
      <w:r>
        <w:rPr>
          <w:rFonts w:ascii="Arial" w:cs="Arial" w:eastAsia="Arial" w:hAnsi="Arial"/>
          <w:color w:val="1A1A1A"/>
          <w:sz w:val="22"/>
          <w:szCs w:val="22"/>
        </w:rPr>
        <w:t xml:space="preserve">A pattern runs through every chapter of this founder's career: join before launch, build the revenue engine from zero, scale through personal execution, and create enough value to drive an exit. Solful Sessions is the same pattern applied to a proprietary scientific framework.</w:t>
      </w:r>
    </w:p>
    <w:p>
      <w:pPr>
        <w:spacing w:after="100"/>
      </w:pPr>
    </w:p>
    <w:p>
      <w:pPr>
        <w:pStyle w:val="Heading2"/>
        <w:spacing w:after="150" w:before="300"/>
      </w:pPr>
      <w:r>
        <w:rPr>
          <w:rFonts w:ascii="Georgia" w:cs="Georgia" w:eastAsia="Georgia" w:hAnsi="Georgia"/>
          <w:b/>
          <w:bCs/>
          <w:color w:val="2D6A4F"/>
          <w:sz w:val="26"/>
          <w:szCs w:val="26"/>
        </w:rPr>
        <w:t xml:space="preserve">Age 15–19 · Quebec Cold-Press Juice Startup</w:t>
      </w:r>
    </w:p>
    <w:p>
      <w:pPr>
        <w:spacing w:after="120"/>
      </w:pPr>
      <w:r>
        <w:rPr>
          <w:rFonts w:ascii="Arial" w:cs="Arial" w:eastAsia="Arial" w:hAnsi="Arial"/>
          <w:color w:val="1A1A1A"/>
          <w:sz w:val="22"/>
          <w:szCs w:val="22"/>
        </w:rPr>
        <w:t xml:space="preserve">Joined at 15 before the company launched to market — the first cold-pressed juices in all of Quebec. Became sales team director at 17. Hired and trained the sales team at 18. At 19, tasked with running a 9-month road show at Costco to prove sales numbers and consumer demand — personally running in-store demos, tracking daily metrics, and building the case for permanent shelf placement. Result: product added to Costco's shelves as a permanent offering. Simultaneously opened a new product line into Montreal's café and restaurant market: cold-calling owners, visiting locations for live demos with their customers, and getting order forms signed on the spot. This business growth contributed directly to the company's acquisition.</w:t>
      </w:r>
    </w:p>
    <w:p>
      <w:pPr>
        <w:pStyle w:val="Heading2"/>
        <w:spacing w:after="150" w:before="300"/>
      </w:pPr>
      <w:r>
        <w:rPr>
          <w:rFonts w:ascii="Georgia" w:cs="Georgia" w:eastAsia="Georgia" w:hAnsi="Georgia"/>
          <w:b/>
          <w:bCs/>
          <w:color w:val="2D6A4F"/>
          <w:sz w:val="26"/>
          <w:szCs w:val="26"/>
        </w:rPr>
        <w:t xml:space="preserve">2021–2024 · Funden (Employee #1 → Director of Sales → Acquisition)</w:t>
      </w:r>
    </w:p>
    <w:p>
      <w:pPr>
        <w:spacing w:after="120"/>
      </w:pPr>
      <w:r>
        <w:rPr>
          <w:rFonts w:ascii="Arial" w:cs="Arial" w:eastAsia="Arial" w:hAnsi="Arial"/>
          <w:color w:val="1A1A1A"/>
          <w:sz w:val="22"/>
          <w:szCs w:val="22"/>
        </w:rPr>
        <w:t xml:space="preserve">Hired as the first employee at a startup with no sales function. Built the entire sales operation from scratch — hired and trained the team, developed the outbound playbook, and built the lead generation funnels. Promoted to Director of Partnerships and Sales Manager in Year 2, running a dual role: managing the team while continuing as the top-performing individual contributor. Personally generated over $1M in realized revenue — 40% of the company's total — as an IC. Company acquired by a PE firm after 2 years. Stayed on as Director of Sales for 1 year post-acquisition, hired by the acquiring PE firm to lead the sales organization through integration.</w:t>
      </w:r>
    </w:p>
    <w:p>
      <w:pPr>
        <w:pStyle w:val="Heading2"/>
        <w:spacing w:after="150" w:before="300"/>
      </w:pPr>
      <w:r>
        <w:rPr>
          <w:rFonts w:ascii="Georgia" w:cs="Georgia" w:eastAsia="Georgia" w:hAnsi="Georgia"/>
          <w:b/>
          <w:bCs/>
          <w:color w:val="2D6A4F"/>
          <w:sz w:val="26"/>
          <w:szCs w:val="26"/>
        </w:rPr>
        <w:t xml:space="preserve">2024–Present · Deel Immigration (Account Executive)</w:t>
      </w:r>
    </w:p>
    <w:p>
      <w:pPr>
        <w:spacing w:after="120"/>
      </w:pPr>
      <w:r>
        <w:rPr>
          <w:rFonts w:ascii="Arial" w:cs="Arial" w:eastAsia="Arial" w:hAnsi="Arial"/>
          <w:color w:val="1A1A1A"/>
          <w:sz w:val="22"/>
          <w:szCs w:val="22"/>
        </w:rPr>
        <w:t xml:space="preserve">Joined Deel after the successful Funden exit — originally as a client, having obtained his own U.S. green card through Deel's immigration services. Now an Account Executive helping immigrant founders apply for O-1A and EB-1A talent-based visas. Uses AI tools to help clients improve their profiles and become more qualified for extraordinary ability visas. The immigration expertise provides direct insight into the founder/startup ecosystem.</w:t>
      </w:r>
    </w:p>
    <w:p>
      <w:pPr>
        <w:pStyle w:val="Heading2"/>
        <w:spacing w:after="150" w:before="300"/>
      </w:pPr>
      <w:r>
        <w:rPr>
          <w:rFonts w:ascii="Georgia" w:cs="Georgia" w:eastAsia="Georgia" w:hAnsi="Georgia"/>
          <w:b/>
          <w:bCs/>
          <w:color w:val="2D6A4F"/>
          <w:sz w:val="26"/>
          <w:szCs w:val="26"/>
        </w:rPr>
        <w:t xml:space="preserve">Why This Background Matters</w:t>
      </w:r>
    </w:p>
    <w:p>
      <w:pPr>
        <w:spacing w:after="120"/>
      </w:pPr>
      <w:r>
        <w:rPr>
          <w:rFonts w:ascii="Arial" w:cs="Arial" w:eastAsia="Arial" w:hAnsi="Arial"/>
          <w:color w:val="1A1A1A"/>
          <w:sz w:val="22"/>
          <w:szCs w:val="22"/>
        </w:rPr>
        <w:t xml:space="preserve">The go-to-market for Solful Sessions requires explaining complex pharmacology to dispensary owners, sports team managers, wellness studio operators, and eventually pharma executives. That's a sales motion, not a lab motion. The founder has spent a decade doing exactly this — translating complex value propositions into signed deals, from Costco buyers to PE-backed acquisition targets.</w:t>
      </w:r>
    </w:p>
    <w:p>
      <w:r>
        <w:br w:type="page"/>
      </w:r>
    </w:p>
    <w:p>
      <w:pPr>
        <w:pStyle w:val="Heading1"/>
        <w:spacing w:after="200" w:before="400"/>
      </w:pPr>
      <w:r>
        <w:rPr>
          <w:rFonts w:ascii="Georgia" w:cs="Georgia" w:eastAsia="Georgia" w:hAnsi="Georgia"/>
          <w:b/>
          <w:bCs/>
          <w:color w:val="1A1A1A"/>
          <w:sz w:val="32"/>
          <w:szCs w:val="32"/>
        </w:rPr>
        <w:t xml:space="preserve">The Innovation</w:t>
      </w:r>
    </w:p>
    <w:p>
      <w:pPr>
        <w:spacing w:after="120"/>
      </w:pPr>
      <w:r>
        <w:rPr>
          <w:rFonts w:ascii="Arial" w:cs="Arial" w:eastAsia="Arial" w:hAnsi="Arial"/>
          <w:color w:val="1A1A1A"/>
          <w:sz w:val="22"/>
          <w:szCs w:val="22"/>
        </w:rPr>
        <w:t xml:space="preserve">Three interlocking inventions protected by a single provisional patent application:</w:t>
      </w:r>
    </w:p>
    <w:p>
      <w:pPr>
        <w:spacing w:after="100"/>
      </w:pPr>
    </w:p>
    <w:p>
      <w:pPr>
        <w:pStyle w:val="Heading2"/>
        <w:spacing w:after="150" w:before="300"/>
      </w:pPr>
      <w:r>
        <w:rPr>
          <w:rFonts w:ascii="Georgia" w:cs="Georgia" w:eastAsia="Georgia" w:hAnsi="Georgia"/>
          <w:b/>
          <w:bCs/>
          <w:color w:val="2D6A4F"/>
          <w:sz w:val="26"/>
          <w:szCs w:val="26"/>
        </w:rPr>
        <w:t xml:space="preserve">1. The Pre-Loading Method (Claims 1–14)</w:t>
      </w:r>
    </w:p>
    <w:p>
      <w:pPr>
        <w:spacing w:after="120"/>
      </w:pPr>
      <w:r>
        <w:rPr>
          <w:rFonts w:ascii="Arial" w:cs="Arial" w:eastAsia="Arial" w:hAnsi="Arial"/>
          <w:color w:val="1A1A1A"/>
          <w:sz w:val="22"/>
          <w:szCs w:val="22"/>
        </w:rPr>
        <w:t xml:space="preserve">Temporally sequenced inhalation of strain-matched terpene blends 15–30 minutes before cannabis consumption. This primes A2a-CB1 heteromeric complexes via three parallel pathways:</w:t>
      </w:r>
    </w:p>
    <w:p>
      <w:pPr>
        <w:pStyle w:val="ListParagraph"/>
        <w:numPr>
          <w:ilvl w:val="0"/>
          <w:numId w:val="2"/>
        </w:numPr>
        <w:spacing w:after="60"/>
      </w:pPr>
      <w:r>
        <w:rPr>
          <w:rFonts w:ascii="Arial" w:cs="Arial" w:eastAsia="Arial" w:hAnsi="Arial"/>
          <w:color w:val="1A1A1A"/>
          <w:sz w:val="22"/>
          <w:szCs w:val="22"/>
        </w:rPr>
        <w:t xml:space="preserve">Olfactory-limbic pathway: onset within seconds via direct axonal transport</w:t>
      </w:r>
    </w:p>
    <w:p>
      <w:pPr>
        <w:pStyle w:val="ListParagraph"/>
        <w:numPr>
          <w:ilvl w:val="0"/>
          <w:numId w:val="2"/>
        </w:numPr>
        <w:spacing w:after="60"/>
      </w:pPr>
      <w:r>
        <w:rPr>
          <w:rFonts w:ascii="Arial" w:cs="Arial" w:eastAsia="Arial" w:hAnsi="Arial"/>
          <w:color w:val="1A1A1A"/>
          <w:sz w:val="22"/>
          <w:szCs w:val="22"/>
        </w:rPr>
        <w:t xml:space="preserve">Trigeminal-autonomic pathway: onset within 1–2 minutes</w:t>
      </w:r>
    </w:p>
    <w:p>
      <w:pPr>
        <w:pStyle w:val="ListParagraph"/>
        <w:numPr>
          <w:ilvl w:val="0"/>
          <w:numId w:val="2"/>
        </w:numPr>
        <w:spacing w:after="60"/>
      </w:pPr>
      <w:r>
        <w:rPr>
          <w:rFonts w:ascii="Arial" w:cs="Arial" w:eastAsia="Arial" w:hAnsi="Arial"/>
          <w:color w:val="1A1A1A"/>
          <w:sz w:val="22"/>
          <w:szCs w:val="22"/>
        </w:rPr>
        <w:t xml:space="preserve">Pulmonary-systemic pathway: onset within 5–20 minutes via alveolar absorption</w:t>
      </w:r>
    </w:p>
    <w:p>
      <w:pPr>
        <w:pStyle w:val="Heading2"/>
        <w:spacing w:after="150" w:before="300"/>
      </w:pPr>
      <w:r>
        <w:rPr>
          <w:rFonts w:ascii="Georgia" w:cs="Georgia" w:eastAsia="Georgia" w:hAnsi="Georgia"/>
          <w:b/>
          <w:bCs/>
          <w:color w:val="2D6A4F"/>
          <w:sz w:val="26"/>
          <w:szCs w:val="26"/>
        </w:rPr>
        <w:t xml:space="preserve">2. The Matching Engine (Claims 15–22)</w:t>
      </w:r>
    </w:p>
    <w:p>
      <w:pPr>
        <w:spacing w:after="120"/>
      </w:pPr>
      <w:r>
        <w:rPr>
          <w:rFonts w:ascii="Arial" w:cs="Arial" w:eastAsia="Arial" w:hAnsi="Arial"/>
          <w:color w:val="1A1A1A"/>
          <w:sz w:val="22"/>
          <w:szCs w:val="22"/>
        </w:rPr>
        <w:t xml:space="preserve">An algorithm that ingests COA lab data from a cannabis strain, extracts terpene ratios, queries an essential oil composition database of 18 ISO-standardized oils, and outputs a precise blend recipe — drop counts, batch volume, and pharmacological rationale — within 15% terpene ratio tolerance.</w:t>
      </w:r>
    </w:p>
    <w:p>
      <w:pPr>
        <w:pStyle w:val="Heading2"/>
        <w:spacing w:after="150" w:before="300"/>
      </w:pPr>
      <w:r>
        <w:rPr>
          <w:rFonts w:ascii="Georgia" w:cs="Georgia" w:eastAsia="Georgia" w:hAnsi="Georgia"/>
          <w:b/>
          <w:bCs/>
          <w:color w:val="2D6A4F"/>
          <w:sz w:val="26"/>
          <w:szCs w:val="26"/>
        </w:rPr>
        <w:t xml:space="preserve">3. Multisensory Experience Curation</w:t>
      </w:r>
    </w:p>
    <w:p>
      <w:pPr>
        <w:spacing w:after="120"/>
      </w:pPr>
      <w:r>
        <w:rPr>
          <w:rFonts w:ascii="Arial" w:cs="Arial" w:eastAsia="Arial" w:hAnsi="Arial"/>
          <w:color w:val="1A1A1A"/>
          <w:sz w:val="22"/>
          <w:szCs w:val="22"/>
        </w:rPr>
        <w:t xml:space="preserve">Extends terpene matching to music (Spotify audio parameters derived from shared neurochemistry), beverages (120 recipes across 5 categories), lighting, breathwork protocols, and environmental design.</w:t>
      </w:r>
    </w:p>
    <w:p>
      <w:pPr>
        <w:spacing w:after="100"/>
      </w:pPr>
    </w:p>
    <w:p>
      <w:pPr>
        <w:spacing w:after="100" w:before="200"/>
      </w:pPr>
      <w:r>
        <w:rPr>
          <w:rFonts w:ascii="Arial" w:cs="Arial" w:eastAsia="Arial" w:hAnsi="Arial"/>
          <w:b/>
          <w:bCs/>
          <w:color w:val="8B6914"/>
          <w:sz w:val="22"/>
          <w:szCs w:val="22"/>
        </w:rPr>
        <w:t xml:space="preserve">KEY SCIENTIFIC BREAKTHROUGHS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65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rPr>
          <w:tblHeader w:val="false"/>
        </w:trP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Schwarz et al., 2024 (PAIN)</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Five cannabis terpenes produce analgesia equivalent to morphine via adenosine A2a receptors — not CB1/CB2.</w:t>
            </w:r>
          </w:p>
        </w:tc>
      </w:tr>
      <w:tr>
        <w:trPr>
          <w:tblHeader w:val="false"/>
        </w:trP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Spindle et al., 2024</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d-Limonene dose-dependently attenuates THC-induced anxiety. First controlled human trial.</w:t>
            </w:r>
          </w:p>
        </w:tc>
      </w:tr>
      <w:tr>
        <w:trPr>
          <w:tblHeader w:val="false"/>
        </w:trP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Alayoubi et al., 2025</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Myrcene: dose-dependent analgesia in neuropathic pain, CB1-independent, A2a pathway.</w:t>
            </w:r>
          </w:p>
        </w:tc>
      </w:tr>
      <w:tr>
        <w:trPr>
          <w:tblHeader w:val="false"/>
        </w:trP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LaVigne et al., 2021</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First experimental evidence for entourage effect mechanism. 108 citations, 185k+ accesses.</w:t>
            </w:r>
          </w:p>
        </w:tc>
      </w:tr>
    </w:tbl>
    <w:p>
      <w:r>
        <w:br w:type="page"/>
      </w:r>
    </w:p>
    <w:p>
      <w:pPr>
        <w:pStyle w:val="Heading1"/>
        <w:spacing w:after="200" w:before="400"/>
      </w:pPr>
      <w:r>
        <w:rPr>
          <w:rFonts w:ascii="Georgia" w:cs="Georgia" w:eastAsia="Georgia" w:hAnsi="Georgia"/>
          <w:b/>
          <w:bCs/>
          <w:color w:val="1A1A1A"/>
          <w:sz w:val="32"/>
          <w:szCs w:val="32"/>
        </w:rPr>
        <w:t xml:space="preserve">Research &amp; Publication Strategy</w:t>
      </w:r>
    </w:p>
    <w:p>
      <w:pPr>
        <w:pStyle w:val="Heading2"/>
        <w:spacing w:after="150" w:before="300"/>
      </w:pPr>
      <w:r>
        <w:rPr>
          <w:rFonts w:ascii="Georgia" w:cs="Georgia" w:eastAsia="Georgia" w:hAnsi="Georgia"/>
          <w:b/>
          <w:bCs/>
          <w:color w:val="2D6A4F"/>
          <w:sz w:val="26"/>
          <w:szCs w:val="26"/>
        </w:rPr>
        <w:t xml:space="preserve">Publication ↔ Patent Interlock</w:t>
      </w:r>
    </w:p>
    <w:p>
      <w:pPr>
        <w:spacing w:after="120"/>
      </w:pPr>
      <w:r>
        <w:rPr>
          <w:rFonts w:ascii="Arial" w:cs="Arial" w:eastAsia="Arial" w:hAnsi="Arial"/>
          <w:color w:val="1A1A1A"/>
          <w:sz w:val="22"/>
          <w:szCs w:val="22"/>
        </w:rPr>
        <w:t xml:space="preserve">The provisional patent must be filed before any manuscript is published. Without the filing, the inventor's own publications become prior art against the patent. With the filing, every paper published afterward reinforces the IP: it creates a citation moat, establishes the inventor as the domain authority, and generates the academic validation that pharma licensing requires. Sequence: file patent (March 2026) → publish papers (Q1 2027) → convert to non-provisional (March 2027).</w:t>
      </w:r>
    </w:p>
    <w:p>
      <w:pPr>
        <w:pStyle w:val="Heading2"/>
        <w:spacing w:after="150" w:before="300"/>
      </w:pPr>
      <w:r>
        <w:rPr>
          <w:rFonts w:ascii="Georgia" w:cs="Georgia" w:eastAsia="Georgia" w:hAnsi="Georgia"/>
          <w:b/>
          <w:bCs/>
          <w:color w:val="2D6A4F"/>
          <w:sz w:val="26"/>
          <w:szCs w:val="26"/>
        </w:rPr>
        <w:t xml:space="preserve">Article 1: "Terpene Pre-Loading: A Cross-Botanical Framework for Enhancing Cannabinoid Pharmacology"</w:t>
      </w:r>
    </w:p>
    <w:p>
      <w:pPr>
        <w:spacing w:after="100" w:before="200"/>
      </w:pPr>
      <w:r>
        <w:rPr>
          <w:rFonts w:ascii="Arial" w:cs="Arial" w:eastAsia="Arial" w:hAnsi="Arial"/>
          <w:b/>
          <w:bCs/>
          <w:color w:val="8B6914"/>
          <w:sz w:val="22"/>
          <w:szCs w:val="22"/>
        </w:rPr>
        <w:t xml:space="preserve">Target Journal: British Journal of Pharmacology (BJP)</w:t>
      </w:r>
    </w:p>
    <w:p>
      <w:pPr>
        <w:spacing w:after="120"/>
      </w:pPr>
      <w:r>
        <w:rPr>
          <w:rFonts w:ascii="Arial" w:cs="Arial" w:eastAsia="Arial" w:hAnsi="Arial"/>
          <w:b/>
          <w:bCs/>
          <w:color w:val="1A1A1A"/>
          <w:sz w:val="22"/>
          <w:szCs w:val="22"/>
        </w:rPr>
        <w:t xml:space="preserve">Type: </w:t>
      </w:r>
      <w:r>
        <w:rPr>
          <w:rFonts w:ascii="Arial" w:cs="Arial" w:eastAsia="Arial" w:hAnsi="Arial"/>
          <w:color w:val="1A1A1A"/>
          <w:sz w:val="22"/>
          <w:szCs w:val="22"/>
        </w:rPr>
        <w:t xml:space="preserve">Hypothesis &amp; Theory Article</w:t>
      </w:r>
    </w:p>
    <w:p>
      <w:pPr>
        <w:spacing w:after="120"/>
      </w:pPr>
      <w:r>
        <w:rPr>
          <w:rFonts w:ascii="Arial" w:cs="Arial" w:eastAsia="Arial" w:hAnsi="Arial"/>
          <w:b/>
          <w:bCs/>
          <w:color w:val="1A1A1A"/>
          <w:sz w:val="22"/>
          <w:szCs w:val="22"/>
        </w:rPr>
        <w:t xml:space="preserve">Status: </w:t>
      </w:r>
      <w:r>
        <w:rPr>
          <w:rFonts w:ascii="Arial" w:cs="Arial" w:eastAsia="Arial" w:hAnsi="Arial"/>
          <w:color w:val="1A1A1A"/>
          <w:sz w:val="22"/>
          <w:szCs w:val="22"/>
        </w:rPr>
        <w:t xml:space="preserve">Submitted February 15, 2026</w:t>
      </w:r>
    </w:p>
    <w:p>
      <w:pPr>
        <w:spacing w:after="120"/>
      </w:pPr>
      <w:r>
        <w:rPr>
          <w:rFonts w:ascii="Arial" w:cs="Arial" w:eastAsia="Arial" w:hAnsi="Arial"/>
          <w:b/>
          <w:bCs/>
          <w:color w:val="1A1A1A"/>
          <w:sz w:val="22"/>
          <w:szCs w:val="22"/>
        </w:rPr>
        <w:t xml:space="preserve">Author: </w:t>
      </w:r>
      <w:r>
        <w:rPr>
          <w:rFonts w:ascii="Arial" w:cs="Arial" w:eastAsia="Arial" w:hAnsi="Arial"/>
          <w:color w:val="1A1A1A"/>
          <w:sz w:val="22"/>
          <w:szCs w:val="22"/>
        </w:rPr>
        <w:t xml:space="preserve">Charles Pelletier-Gagné</w:t>
      </w:r>
    </w:p>
    <w:p>
      <w:pPr>
        <w:spacing w:after="120"/>
      </w:pPr>
      <w:r>
        <w:rPr>
          <w:rFonts w:ascii="Arial" w:cs="Arial" w:eastAsia="Arial" w:hAnsi="Arial"/>
          <w:b/>
          <w:bCs/>
          <w:color w:val="1A1A1A"/>
          <w:sz w:val="22"/>
          <w:szCs w:val="22"/>
        </w:rPr>
        <w:t xml:space="preserve">Specs: </w:t>
      </w:r>
      <w:r>
        <w:rPr>
          <w:rFonts w:ascii="Arial" w:cs="Arial" w:eastAsia="Arial" w:hAnsi="Arial"/>
          <w:color w:val="1A1A1A"/>
          <w:sz w:val="22"/>
          <w:szCs w:val="22"/>
        </w:rPr>
        <w:t xml:space="preserve">~11,500 words · 4 figures · 3 tables · 75 references</w:t>
      </w:r>
    </w:p>
    <w:p>
      <w:pPr>
        <w:spacing w:after="80"/>
      </w:pPr>
    </w:p>
    <w:p>
      <w:pPr>
        <w:spacing w:after="120"/>
      </w:pPr>
      <w:r>
        <w:rPr>
          <w:rFonts w:ascii="Arial" w:cs="Arial" w:eastAsia="Arial" w:hAnsi="Arial"/>
          <w:color w:val="1A1A1A"/>
          <w:sz w:val="22"/>
          <w:szCs w:val="22"/>
        </w:rPr>
        <w:t xml:space="preserve">The primary hypothesis paper. Proposes terpene pre-loading as a translational application of the entourage effect, grounded in A2a-CB1 heteromeric receptor pharmacology. Includes 8 falsifiable predictions designed to be testable in clinical settings.</w:t>
      </w:r>
    </w:p>
    <w:p>
      <w:pPr>
        <w:spacing w:after="80"/>
      </w:pPr>
    </w:p>
    <w:p>
      <w:pPr>
        <w:spacing w:after="120"/>
      </w:pPr>
      <w:r>
        <w:rPr>
          <w:rFonts w:ascii="Arial" w:cs="Arial" w:eastAsia="Arial" w:hAnsi="Arial"/>
          <w:color w:val="1A1A1A"/>
          <w:sz w:val="22"/>
          <w:szCs w:val="22"/>
        </w:rPr>
        <w:t xml:space="preserve">Suggested Reviewers: Prof. John M. Streicher (University of Arizona — terpene analgesia), Dr. Tory R. Spindle (Johns Hopkins — human terpene-cannabinoid trial), Prof. Mark Moss (Northumbria — rosemary/cognition), Prof. Jürg Gertsch (University of Bern — β-caryophyllene/CB2 discovery).</w:t>
      </w:r>
    </w:p>
    <w:p>
      <w:pPr>
        <w:pStyle w:val="Heading2"/>
        <w:spacing w:after="150" w:before="300"/>
      </w:pPr>
      <w:r>
        <w:rPr>
          <w:rFonts w:ascii="Georgia" w:cs="Georgia" w:eastAsia="Georgia" w:hAnsi="Georgia"/>
          <w:b/>
          <w:bCs/>
          <w:color w:val="2D6A4F"/>
          <w:sz w:val="26"/>
          <w:szCs w:val="26"/>
        </w:rPr>
        <w:t xml:space="preserve">Article 2: "Unified Terpene Pharmacology: A Comprehensive Evidence Base"</w:t>
      </w:r>
    </w:p>
    <w:p>
      <w:pPr>
        <w:spacing w:after="100" w:before="200"/>
      </w:pPr>
      <w:r>
        <w:rPr>
          <w:rFonts w:ascii="Arial" w:cs="Arial" w:eastAsia="Arial" w:hAnsi="Arial"/>
          <w:b/>
          <w:bCs/>
          <w:color w:val="8B6914"/>
          <w:sz w:val="22"/>
          <w:szCs w:val="22"/>
        </w:rPr>
        <w:t xml:space="preserve">Target Journal: Phytomedicine Plus or Frontiers in Pharmacology</w:t>
      </w:r>
    </w:p>
    <w:p>
      <w:pPr>
        <w:spacing w:after="120"/>
      </w:pPr>
      <w:r>
        <w:rPr>
          <w:rFonts w:ascii="Arial" w:cs="Arial" w:eastAsia="Arial" w:hAnsi="Arial"/>
          <w:b/>
          <w:bCs/>
          <w:color w:val="1A1A1A"/>
          <w:sz w:val="22"/>
          <w:szCs w:val="22"/>
        </w:rPr>
        <w:t xml:space="preserve">Type: </w:t>
      </w:r>
      <w:r>
        <w:rPr>
          <w:rFonts w:ascii="Arial" w:cs="Arial" w:eastAsia="Arial" w:hAnsi="Arial"/>
          <w:color w:val="1A1A1A"/>
          <w:sz w:val="22"/>
          <w:szCs w:val="22"/>
        </w:rPr>
        <w:t xml:space="preserve">Comprehensive Evidence Review</w:t>
      </w:r>
    </w:p>
    <w:p>
      <w:pPr>
        <w:spacing w:after="120"/>
      </w:pPr>
      <w:r>
        <w:rPr>
          <w:rFonts w:ascii="Arial" w:cs="Arial" w:eastAsia="Arial" w:hAnsi="Arial"/>
          <w:b/>
          <w:bCs/>
          <w:color w:val="1A1A1A"/>
          <w:sz w:val="22"/>
          <w:szCs w:val="22"/>
        </w:rPr>
        <w:t xml:space="preserve">Status: </w:t>
      </w:r>
      <w:r>
        <w:rPr>
          <w:rFonts w:ascii="Arial" w:cs="Arial" w:eastAsia="Arial" w:hAnsi="Arial"/>
          <w:color w:val="1A1A1A"/>
          <w:sz w:val="22"/>
          <w:szCs w:val="22"/>
        </w:rPr>
        <w:t xml:space="preserve">In preparation</w:t>
      </w:r>
    </w:p>
    <w:p>
      <w:pPr>
        <w:spacing w:after="120"/>
      </w:pPr>
      <w:r>
        <w:rPr>
          <w:rFonts w:ascii="Arial" w:cs="Arial" w:eastAsia="Arial" w:hAnsi="Arial"/>
          <w:b/>
          <w:bCs/>
          <w:color w:val="1A1A1A"/>
          <w:sz w:val="22"/>
          <w:szCs w:val="22"/>
        </w:rPr>
        <w:t xml:space="preserve">Author: </w:t>
      </w:r>
      <w:r>
        <w:rPr>
          <w:rFonts w:ascii="Arial" w:cs="Arial" w:eastAsia="Arial" w:hAnsi="Arial"/>
          <w:color w:val="1A1A1A"/>
          <w:sz w:val="22"/>
          <w:szCs w:val="22"/>
        </w:rPr>
        <w:t xml:space="preserve">Charles Pelletier-Gagné</w:t>
      </w:r>
    </w:p>
    <w:p>
      <w:pPr>
        <w:spacing w:after="120"/>
      </w:pPr>
      <w:r>
        <w:rPr>
          <w:rFonts w:ascii="Arial" w:cs="Arial" w:eastAsia="Arial" w:hAnsi="Arial"/>
          <w:b/>
          <w:bCs/>
          <w:color w:val="1A1A1A"/>
          <w:sz w:val="22"/>
          <w:szCs w:val="22"/>
        </w:rPr>
        <w:t xml:space="preserve">Specs: </w:t>
      </w:r>
      <w:r>
        <w:rPr>
          <w:rFonts w:ascii="Arial" w:cs="Arial" w:eastAsia="Arial" w:hAnsi="Arial"/>
          <w:color w:val="1A1A1A"/>
          <w:sz w:val="22"/>
          <w:szCs w:val="22"/>
        </w:rPr>
        <w:t xml:space="preserve">~15,000 words</w:t>
      </w:r>
    </w:p>
    <w:p>
      <w:pPr>
        <w:spacing w:after="80"/>
      </w:pPr>
    </w:p>
    <w:p>
      <w:pPr>
        <w:spacing w:after="120"/>
      </w:pPr>
      <w:r>
        <w:rPr>
          <w:rFonts w:ascii="Arial" w:cs="Arial" w:eastAsia="Arial" w:hAnsi="Arial"/>
          <w:color w:val="1A1A1A"/>
          <w:sz w:val="22"/>
          <w:szCs w:val="22"/>
        </w:rPr>
        <w:t xml:space="preserve">Organizes the complete evidence base by individual terpene rather than by essential oil or research field. Resolves the 1937 disciplinary split with a unified pharmacological framework.</w:t>
      </w:r>
    </w:p>
    <w:p>
      <w:pPr>
        <w:pStyle w:val="Heading2"/>
        <w:spacing w:after="150" w:before="300"/>
      </w:pPr>
      <w:r>
        <w:rPr>
          <w:rFonts w:ascii="Georgia" w:cs="Georgia" w:eastAsia="Georgia" w:hAnsi="Georgia"/>
          <w:b/>
          <w:bCs/>
          <w:color w:val="2D6A4F"/>
          <w:sz w:val="26"/>
          <w:szCs w:val="26"/>
        </w:rPr>
        <w:t xml:space="preserve">Article 3: "Unified Terpene Pharmacology: Bridging Aromatherapy, Cannabis Science, and Forest Medicine"</w:t>
      </w:r>
    </w:p>
    <w:p>
      <w:pPr>
        <w:spacing w:after="100" w:before="200"/>
      </w:pPr>
      <w:r>
        <w:rPr>
          <w:rFonts w:ascii="Arial" w:cs="Arial" w:eastAsia="Arial" w:hAnsi="Arial"/>
          <w:b/>
          <w:bCs/>
          <w:color w:val="8B6914"/>
          <w:sz w:val="22"/>
          <w:szCs w:val="22"/>
        </w:rPr>
        <w:t xml:space="preserve">Target Journal: Pharmacological Reviews (ASPET)</w:t>
      </w:r>
    </w:p>
    <w:p>
      <w:pPr>
        <w:spacing w:after="120"/>
      </w:pPr>
      <w:r>
        <w:rPr>
          <w:rFonts w:ascii="Arial" w:cs="Arial" w:eastAsia="Arial" w:hAnsi="Arial"/>
          <w:b/>
          <w:bCs/>
          <w:color w:val="1A1A1A"/>
          <w:sz w:val="22"/>
          <w:szCs w:val="22"/>
        </w:rPr>
        <w:t xml:space="preserve">Type: </w:t>
      </w:r>
      <w:r>
        <w:rPr>
          <w:rFonts w:ascii="Arial" w:cs="Arial" w:eastAsia="Arial" w:hAnsi="Arial"/>
          <w:color w:val="1A1A1A"/>
          <w:sz w:val="22"/>
          <w:szCs w:val="22"/>
        </w:rPr>
        <w:t xml:space="preserve">Comprehensive Review Article</w:t>
      </w:r>
    </w:p>
    <w:p>
      <w:pPr>
        <w:spacing w:after="120"/>
      </w:pPr>
      <w:r>
        <w:rPr>
          <w:rFonts w:ascii="Arial" w:cs="Arial" w:eastAsia="Arial" w:hAnsi="Arial"/>
          <w:b/>
          <w:bCs/>
          <w:color w:val="1A1A1A"/>
          <w:sz w:val="22"/>
          <w:szCs w:val="22"/>
        </w:rPr>
        <w:t xml:space="preserve">Status: </w:t>
      </w:r>
      <w:r>
        <w:rPr>
          <w:rFonts w:ascii="Arial" w:cs="Arial" w:eastAsia="Arial" w:hAnsi="Arial"/>
          <w:color w:val="1A1A1A"/>
          <w:sz w:val="22"/>
          <w:szCs w:val="22"/>
        </w:rPr>
        <w:t xml:space="preserve">Pre-submission inquiry submitted February 2026</w:t>
      </w:r>
    </w:p>
    <w:p>
      <w:pPr>
        <w:spacing w:after="120"/>
      </w:pPr>
      <w:r>
        <w:rPr>
          <w:rFonts w:ascii="Arial" w:cs="Arial" w:eastAsia="Arial" w:hAnsi="Arial"/>
          <w:b/>
          <w:bCs/>
          <w:color w:val="1A1A1A"/>
          <w:sz w:val="22"/>
          <w:szCs w:val="22"/>
        </w:rPr>
        <w:t xml:space="preserve">Author: </w:t>
      </w:r>
      <w:r>
        <w:rPr>
          <w:rFonts w:ascii="Arial" w:cs="Arial" w:eastAsia="Arial" w:hAnsi="Arial"/>
          <w:color w:val="1A1A1A"/>
          <w:sz w:val="22"/>
          <w:szCs w:val="22"/>
        </w:rPr>
        <w:t xml:space="preserve">Charles Pelletier-Gagné</w:t>
      </w:r>
    </w:p>
    <w:p>
      <w:pPr>
        <w:spacing w:after="120"/>
      </w:pPr>
      <w:r>
        <w:rPr>
          <w:rFonts w:ascii="Arial" w:cs="Arial" w:eastAsia="Arial" w:hAnsi="Arial"/>
          <w:b/>
          <w:bCs/>
          <w:color w:val="1A1A1A"/>
          <w:sz w:val="22"/>
          <w:szCs w:val="22"/>
        </w:rPr>
        <w:t xml:space="preserve">Specs: </w:t>
      </w:r>
      <w:r>
        <w:rPr>
          <w:rFonts w:ascii="Arial" w:cs="Arial" w:eastAsia="Arial" w:hAnsi="Arial"/>
          <w:color w:val="1A1A1A"/>
          <w:sz w:val="22"/>
          <w:szCs w:val="22"/>
        </w:rPr>
        <w:t xml:space="preserve">~24,000 words · 5 figures · 9 tables · 90+ references</w:t>
      </w:r>
    </w:p>
    <w:p>
      <w:pPr>
        <w:spacing w:after="80"/>
      </w:pPr>
    </w:p>
    <w:p>
      <w:pPr>
        <w:spacing w:after="120"/>
      </w:pPr>
      <w:r>
        <w:rPr>
          <w:rFonts w:ascii="Arial" w:cs="Arial" w:eastAsia="Arial" w:hAnsi="Arial"/>
          <w:color w:val="1A1A1A"/>
          <w:sz w:val="22"/>
          <w:szCs w:val="22"/>
        </w:rPr>
        <w:t xml:space="preserve">The magnum opus. Nine substantive sections: (1) Terpene Receptor Pharmacology, (2) Inhalation Pharmacokinetics, (3) Aromatherapy RCTs, (4) Entourage Effect Mechanisms, (5) Forest Bathing Immunology, (6) A2a-CB1 Heteromer Architecture, (7) Network Pharmacology Framework, (8) Funding Landscape, (9) The 1937 Coincidence.</w:t>
      </w:r>
    </w:p>
    <w:p>
      <w:r>
        <w:br w:type="page"/>
      </w:r>
    </w:p>
    <w:p>
      <w:pPr>
        <w:pStyle w:val="Heading1"/>
        <w:spacing w:after="200" w:before="400"/>
      </w:pPr>
      <w:r>
        <w:rPr>
          <w:rFonts w:ascii="Georgia" w:cs="Georgia" w:eastAsia="Georgia" w:hAnsi="Georgia"/>
          <w:b/>
          <w:bCs/>
          <w:color w:val="1A1A1A"/>
          <w:sz w:val="32"/>
          <w:szCs w:val="32"/>
        </w:rPr>
        <w:t xml:space="preserve">Market Analysis</w:t>
      </w:r>
    </w:p>
    <w:p>
      <w:pPr>
        <w:pStyle w:val="Heading2"/>
        <w:spacing w:after="150" w:before="300"/>
      </w:pPr>
      <w:r>
        <w:rPr>
          <w:rFonts w:ascii="Georgia" w:cs="Georgia" w:eastAsia="Georgia" w:hAnsi="Georgia"/>
          <w:b/>
          <w:bCs/>
          <w:color w:val="2D6A4F"/>
          <w:sz w:val="26"/>
          <w:szCs w:val="26"/>
        </w:rPr>
        <w:t xml:space="preserve">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08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8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208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 Cannabis</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$47B</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14.5% CAGR</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 Essential Oils / Aromatherapy</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$7.5B</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6.4% CAGR</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2025</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Global Terpenes</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$1.6B</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9.5% CAGR</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2025</w:t>
            </w:r>
          </w:p>
        </w:tc>
      </w:tr>
      <w:tr>
        <w:trPr>
          <w:tblHeader w:val="false"/>
        </w:trP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Terpene Wellness Products</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+37%</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unit volume growth</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2025</w:t>
            </w:r>
          </w:p>
        </w:tc>
      </w:tr>
    </w:tbl>
    <w:p>
      <w:pPr>
        <w:spacing w:after="100"/>
      </w:pPr>
    </w:p>
    <w:p>
      <w:pPr>
        <w:pStyle w:val="Heading2"/>
        <w:spacing w:after="150" w:before="300"/>
      </w:pPr>
      <w:r>
        <w:rPr>
          <w:rFonts w:ascii="Georgia" w:cs="Georgia" w:eastAsia="Georgia" w:hAnsi="Georgia"/>
          <w:b/>
          <w:bCs/>
          <w:color w:val="2D6A4F"/>
          <w:sz w:val="26"/>
          <w:szCs w:val="26"/>
        </w:rPr>
        <w:t xml:space="preserve">TAM / SAM / SOM</w:t>
      </w:r>
    </w:p>
    <w:p>
      <w:pPr>
        <w:spacing w:after="120"/>
      </w:pPr>
      <w:r>
        <w:rPr>
          <w:rFonts w:ascii="Arial" w:cs="Arial" w:eastAsia="Arial" w:hAnsi="Arial"/>
          <w:b/>
          <w:bCs/>
          <w:color w:val="1A1A1A"/>
          <w:sz w:val="22"/>
          <w:szCs w:val="22"/>
        </w:rPr>
        <w:t xml:space="preserve">Total Addressable Market (TAM): </w:t>
      </w:r>
      <w:r>
        <w:rPr>
          <w:rFonts w:ascii="Arial" w:cs="Arial" w:eastAsia="Arial" w:hAnsi="Arial"/>
          <w:color w:val="1A1A1A"/>
          <w:sz w:val="22"/>
          <w:szCs w:val="22"/>
        </w:rPr>
        <w:t xml:space="preserve">$56B+ combined across US cannabis ($47B), US essential oils ($7.5B), and global terpenes ($1.6B).</w:t>
      </w:r>
    </w:p>
    <w:p>
      <w:pPr>
        <w:spacing w:after="120"/>
      </w:pPr>
      <w:r>
        <w:rPr>
          <w:rFonts w:ascii="Arial" w:cs="Arial" w:eastAsia="Arial" w:hAnsi="Arial"/>
          <w:b/>
          <w:bCs/>
          <w:color w:val="1A1A1A"/>
          <w:sz w:val="22"/>
          <w:szCs w:val="22"/>
        </w:rPr>
        <w:t xml:space="preserve">Serviceable Addressable Market (SAM): </w:t>
      </w:r>
      <w:r>
        <w:rPr>
          <w:rFonts w:ascii="Arial" w:cs="Arial" w:eastAsia="Arial" w:hAnsi="Arial"/>
          <w:color w:val="1A1A1A"/>
          <w:sz w:val="22"/>
          <w:szCs w:val="22"/>
        </w:rPr>
        <w:t xml:space="preserve">~$2.4B. Premium cannabis consumers seeking curated experiences (~5% of cannabis market) plus wellness aromatherapy consumers seeking pharmacological precision (~15% of EO market).</w:t>
      </w:r>
    </w:p>
    <w:p>
      <w:pPr>
        <w:spacing w:after="120"/>
      </w:pPr>
      <w:r>
        <w:rPr>
          <w:rFonts w:ascii="Arial" w:cs="Arial" w:eastAsia="Arial" w:hAnsi="Arial"/>
          <w:b/>
          <w:bCs/>
          <w:color w:val="1A1A1A"/>
          <w:sz w:val="22"/>
          <w:szCs w:val="22"/>
        </w:rPr>
        <w:t xml:space="preserve">Serviceable Obtainable Market (SOM, Year 1): </w:t>
      </w:r>
      <w:r>
        <w:rPr>
          <w:rFonts w:ascii="Arial" w:cs="Arial" w:eastAsia="Arial" w:hAnsi="Arial"/>
          <w:color w:val="1A1A1A"/>
          <w:sz w:val="22"/>
          <w:szCs w:val="22"/>
        </w:rPr>
        <w:t xml:space="preserve">$150K–$400K. Sonoma/SF dispensary partnerships, La Séance events, DTC online sales, initial wellness line.</w:t>
      </w:r>
    </w:p>
    <w:p>
      <w:pPr>
        <w:pStyle w:val="Heading2"/>
        <w:spacing w:after="150" w:before="300"/>
      </w:pPr>
      <w:r>
        <w:rPr>
          <w:rFonts w:ascii="Georgia" w:cs="Georgia" w:eastAsia="Georgia" w:hAnsi="Georgia"/>
          <w:b/>
          <w:bCs/>
          <w:color w:val="2D6A4F"/>
          <w:sz w:val="26"/>
          <w:szCs w:val="26"/>
        </w:rPr>
        <w:t xml:space="preserve">Consumer Trends</w:t>
      </w:r>
    </w:p>
    <w:p>
      <w:pPr>
        <w:spacing w:after="120"/>
      </w:pPr>
      <w:r>
        <w:rPr>
          <w:rFonts w:ascii="Arial" w:cs="Arial" w:eastAsia="Arial" w:hAnsi="Arial"/>
          <w:b/>
          <w:bCs/>
          <w:color w:val="2D6A4F"/>
          <w:sz w:val="22"/>
          <w:szCs w:val="22"/>
        </w:rPr>
        <w:t xml:space="preserve">Premiumization: </w:t>
      </w:r>
      <w:r>
        <w:rPr>
          <w:rFonts w:ascii="Arial" w:cs="Arial" w:eastAsia="Arial" w:hAnsi="Arial"/>
          <w:color w:val="1A1A1A"/>
          <w:sz w:val="22"/>
          <w:szCs w:val="22"/>
        </w:rPr>
        <w:t xml:space="preserve">2025 consumers seek unique, high-quality experiences. Dispensaries listing terpene profiles on menus. Over 60% choosing organic/artisan cannabis.</w:t>
      </w:r>
    </w:p>
    <w:p>
      <w:pPr>
        <w:spacing w:after="120"/>
      </w:pPr>
      <w:r>
        <w:rPr>
          <w:rFonts w:ascii="Arial" w:cs="Arial" w:eastAsia="Arial" w:hAnsi="Arial"/>
          <w:b/>
          <w:bCs/>
          <w:color w:val="2D6A4F"/>
          <w:sz w:val="22"/>
          <w:szCs w:val="22"/>
        </w:rPr>
        <w:t xml:space="preserve">Personalization: </w:t>
      </w:r>
      <w:r>
        <w:rPr>
          <w:rFonts w:ascii="Arial" w:cs="Arial" w:eastAsia="Arial" w:hAnsi="Arial"/>
          <w:color w:val="1A1A1A"/>
          <w:sz w:val="22"/>
          <w:szCs w:val="22"/>
        </w:rPr>
        <w:t xml:space="preserve">AI-driven dosing, strain selection by mood/effect, terpene awareness at all-time high.</w:t>
      </w:r>
    </w:p>
    <w:p>
      <w:pPr>
        <w:spacing w:after="120"/>
      </w:pPr>
      <w:r>
        <w:rPr>
          <w:rFonts w:ascii="Arial" w:cs="Arial" w:eastAsia="Arial" w:hAnsi="Arial"/>
          <w:b/>
          <w:bCs/>
          <w:color w:val="2D6A4F"/>
          <w:sz w:val="22"/>
          <w:szCs w:val="22"/>
        </w:rPr>
        <w:t xml:space="preserve">Wellness Crossover: </w:t>
      </w:r>
      <w:r>
        <w:rPr>
          <w:rFonts w:ascii="Arial" w:cs="Arial" w:eastAsia="Arial" w:hAnsi="Arial"/>
          <w:color w:val="1A1A1A"/>
          <w:sz w:val="22"/>
          <w:szCs w:val="22"/>
        </w:rPr>
        <w:t xml:space="preserve">CBD + adaptogens, functional blending, cannabis-infused fine dining. Sophistication over stoner culture.</w:t>
      </w:r>
    </w:p>
    <w:p>
      <w:pPr>
        <w:pStyle w:val="Heading2"/>
        <w:spacing w:after="150" w:before="300"/>
      </w:pPr>
      <w:r>
        <w:rPr>
          <w:rFonts w:ascii="Georgia" w:cs="Georgia" w:eastAsia="Georgia" w:hAnsi="Georgia"/>
          <w:b/>
          <w:bCs/>
          <w:color w:val="2D6A4F"/>
          <w:sz w:val="26"/>
          <w:szCs w:val="26"/>
        </w:rPr>
        <w:t xml:space="preserve">Regulatory Landscape</w:t>
      </w:r>
    </w:p>
    <w:p>
      <w:pPr>
        <w:spacing w:after="120"/>
      </w:pPr>
      <w:r>
        <w:rPr>
          <w:rFonts w:ascii="Arial" w:cs="Arial" w:eastAsia="Arial" w:hAnsi="Arial"/>
          <w:b/>
          <w:bCs/>
          <w:color w:val="2D6A4F"/>
          <w:sz w:val="22"/>
          <w:szCs w:val="22"/>
        </w:rPr>
        <w:t xml:space="preserve">Tailwinds: </w:t>
      </w:r>
      <w:r>
        <w:rPr>
          <w:rFonts w:ascii="Arial" w:cs="Arial" w:eastAsia="Arial" w:hAnsi="Arial"/>
          <w:color w:val="1A1A1A"/>
          <w:sz w:val="22"/>
          <w:szCs w:val="22"/>
        </w:rPr>
        <w:t xml:space="preserve">Essential oils are FDA GRAS (21 CFR Part 182). Wellness line faces zero cannabis regulatory exposure.</w:t>
      </w:r>
    </w:p>
    <w:p>
      <w:pPr>
        <w:spacing w:after="120"/>
      </w:pPr>
      <w:r>
        <w:rPr>
          <w:rFonts w:ascii="Arial" w:cs="Arial" w:eastAsia="Arial" w:hAnsi="Arial"/>
          <w:b/>
          <w:bCs/>
          <w:color w:val="D4860B"/>
          <w:sz w:val="22"/>
          <w:szCs w:val="22"/>
        </w:rPr>
        <w:t xml:space="preserve">Monitor: </w:t>
      </w:r>
      <w:r>
        <w:rPr>
          <w:rFonts w:ascii="Arial" w:cs="Arial" w:eastAsia="Arial" w:hAnsi="Arial"/>
          <w:color w:val="1A1A1A"/>
          <w:sz w:val="22"/>
          <w:szCs w:val="22"/>
        </w:rPr>
        <w:t xml:space="preserve">FDA proposing GRAS pathway changes (NPRM Oct 2025). Current products use existing GRAS-recognized oils.</w:t>
      </w:r>
    </w:p>
    <w:p>
      <w:pPr>
        <w:spacing w:after="120"/>
      </w:pPr>
      <w:r>
        <w:rPr>
          <w:rFonts w:ascii="Arial" w:cs="Arial" w:eastAsia="Arial" w:hAnsi="Arial"/>
          <w:b/>
          <w:bCs/>
          <w:color w:val="C0392B"/>
          <w:sz w:val="22"/>
          <w:szCs w:val="22"/>
        </w:rPr>
        <w:t xml:space="preserve">Navigate: </w:t>
      </w:r>
      <w:r>
        <w:rPr>
          <w:rFonts w:ascii="Arial" w:cs="Arial" w:eastAsia="Arial" w:hAnsi="Arial"/>
          <w:color w:val="1A1A1A"/>
          <w:sz w:val="22"/>
          <w:szCs w:val="22"/>
        </w:rPr>
        <w:t xml:space="preserve">Federal hemp redefinition (Nov 2026). State divergence. Cross-botanical sourcing avoids Schedule I entirely.</w:t>
      </w:r>
    </w:p>
    <w:p>
      <w:r>
        <w:br w:type="page"/>
      </w:r>
    </w:p>
    <w:p>
      <w:pPr>
        <w:pStyle w:val="Heading1"/>
        <w:spacing w:after="200" w:before="400"/>
      </w:pPr>
      <w:r>
        <w:rPr>
          <w:rFonts w:ascii="Georgia" w:cs="Georgia" w:eastAsia="Georgia" w:hAnsi="Georgia"/>
          <w:b/>
          <w:bCs/>
          <w:color w:val="1A1A1A"/>
          <w:sz w:val="32"/>
          <w:szCs w:val="32"/>
        </w:rPr>
        <w:t xml:space="preserve">Competitive Landscape</w:t>
      </w:r>
    </w:p>
    <w:p>
      <w:pPr>
        <w:spacing w:after="120"/>
      </w:pPr>
      <w:r>
        <w:rPr>
          <w:rFonts w:ascii="Arial" w:cs="Arial" w:eastAsia="Arial" w:hAnsi="Arial"/>
          <w:color w:val="1A1A1A"/>
          <w:sz w:val="22"/>
          <w:szCs w:val="22"/>
        </w:rPr>
        <w:t xml:space="preserve">No incumbent combines strain-matched essential oil blends + temporal pre-loading + multisensory experience curation.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5160"/>
      </w:tblGrid>
      <w:tr>
        <w:trPr>
          <w:tblHeader/>
        </w:trPr>
        <w:tc>
          <w:tcPr>
            <w:tcW w:type="dxa" w:w="18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4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51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Abstrax Tech</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Terpene Supplier</w:t>
            </w:r>
          </w:p>
        </w:tc>
        <w:tc>
          <w:tcPr>
            <w:tcW w:type="dxa" w:w="1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51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Analyzes 400+ compounds. Supplies profiles, not consumer products or experiences.</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True Terpenes</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Terpene Supplier</w:t>
            </w:r>
          </w:p>
        </w:tc>
        <w:tc>
          <w:tcPr>
            <w:tcW w:type="dxa" w:w="1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51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Budget isolates for vape formulation. No matching, no pre-loading.</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Eybna</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Formulator</w:t>
            </w:r>
          </w:p>
        </w:tc>
        <w:tc>
          <w:tcPr>
            <w:tcW w:type="dxa" w:w="1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51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Israeli R&amp;D. Cannabis additives, not cross-botanical or temporal sequencing.</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Dispensary Brands</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Experience</w:t>
            </w:r>
          </w:p>
        </w:tc>
        <w:tc>
          <w:tcPr>
            <w:tcW w:type="dxa" w:w="1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51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Mood-based selection only. No supplementation or EO blends.</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EO MLMs</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Aromatherapy</w:t>
            </w:r>
          </w:p>
        </w:tc>
        <w:tc>
          <w:tcPr>
            <w:tcW w:type="dxa" w:w="1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51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Generic wellness. No cannabis, no pharmacological precision.</w:t>
            </w:r>
          </w:p>
        </w:tc>
      </w:tr>
    </w:tbl>
    <w:p>
      <w:pPr>
        <w:spacing w:after="100"/>
      </w:pPr>
    </w:p>
    <w:p>
      <w:pPr>
        <w:spacing w:after="100" w:before="200"/>
      </w:pPr>
      <w:r>
        <w:rPr>
          <w:rFonts w:ascii="Arial" w:cs="Arial" w:eastAsia="Arial" w:hAnsi="Arial"/>
          <w:b/>
          <w:bCs/>
          <w:color w:val="8B6914"/>
          <w:sz w:val="22"/>
          <w:szCs w:val="22"/>
        </w:rPr>
        <w:t xml:space="preserve">DEFENSIBLE MOAT</w:t>
      </w:r>
    </w:p>
    <w:p>
      <w:pPr>
        <w:spacing w:after="120"/>
      </w:pPr>
      <w:r>
        <w:rPr>
          <w:rFonts w:ascii="Arial" w:cs="Arial" w:eastAsia="Arial" w:hAnsi="Arial"/>
          <w:color w:val="1A1A1A"/>
          <w:sz w:val="22"/>
          <w:szCs w:val="22"/>
        </w:rPr>
        <w:t xml:space="preserve">The competitive advantage is structural. The patent covers the method (pre-loading), the system (matching engine), and the physical compositions. Published scientific articles create a citation moat: the framework becomes the reference standard others must cite.</w:t>
      </w:r>
    </w:p>
    <w:p>
      <w:r>
        <w:br w:type="page"/>
      </w:r>
    </w:p>
    <w:p>
      <w:pPr>
        <w:pStyle w:val="Heading1"/>
        <w:spacing w:after="200" w:before="400"/>
      </w:pPr>
      <w:r>
        <w:rPr>
          <w:rFonts w:ascii="Georgia" w:cs="Georgia" w:eastAsia="Georgia" w:hAnsi="Georgia"/>
          <w:b/>
          <w:bCs/>
          <w:color w:val="1A1A1A"/>
          <w:sz w:val="32"/>
          <w:szCs w:val="32"/>
        </w:rPr>
        <w:t xml:space="preserve">Products &amp; Service Lines</w:t>
      </w:r>
    </w:p>
    <w:p>
      <w:pPr>
        <w:pStyle w:val="Heading2"/>
        <w:spacing w:after="150" w:before="300"/>
      </w:pPr>
      <w:r>
        <w:rPr>
          <w:rFonts w:ascii="Georgia" w:cs="Georgia" w:eastAsia="Georgia" w:hAnsi="Georgia"/>
          <w:b/>
          <w:bCs/>
          <w:color w:val="2D6A4F"/>
          <w:sz w:val="26"/>
          <w:szCs w:val="26"/>
        </w:rPr>
        <w:t xml:space="preserve">Line 1: Solful Sessions (Cannabis Experience Curation)</w:t>
      </w:r>
    </w:p>
    <w:p>
      <w:pPr>
        <w:spacing w:after="120"/>
      </w:pPr>
      <w:r>
        <w:rPr>
          <w:rFonts w:ascii="Arial" w:cs="Arial" w:eastAsia="Arial" w:hAnsi="Arial"/>
          <w:b/>
          <w:bCs/>
          <w:color w:val="1A1A1A"/>
          <w:sz w:val="22"/>
          <w:szCs w:val="22"/>
        </w:rPr>
        <w:t xml:space="preserve">Protected by: </w:t>
      </w:r>
      <w:r>
        <w:rPr>
          <w:rFonts w:ascii="Arial" w:cs="Arial" w:eastAsia="Arial" w:hAnsi="Arial"/>
          <w:color w:val="8B6914"/>
          <w:sz w:val="22"/>
          <w:szCs w:val="22"/>
        </w:rPr>
        <w:t xml:space="preserve">Families A, B, E   |   </w:t>
      </w:r>
      <w:r>
        <w:rPr>
          <w:rFonts w:ascii="Arial" w:cs="Arial" w:eastAsia="Arial" w:hAnsi="Arial"/>
          <w:b/>
          <w:bCs/>
          <w:color w:val="1A1A1A"/>
          <w:sz w:val="22"/>
          <w:szCs w:val="22"/>
        </w:rPr>
        <w:t xml:space="preserve">Market: </w:t>
      </w:r>
      <w:r>
        <w:rPr>
          <w:rFonts w:ascii="Arial" w:cs="Arial" w:eastAsia="Arial" w:hAnsi="Arial"/>
          <w:color w:val="2D6A4F"/>
          <w:sz w:val="22"/>
          <w:szCs w:val="22"/>
        </w:rPr>
        <w:t xml:space="preserve">$47B US cannabis</w:t>
      </w:r>
    </w:p>
    <w:p>
      <w:pPr>
        <w:spacing w:after="80"/>
      </w:pPr>
    </w:p>
    <w:p>
      <w:pPr>
        <w:spacing w:after="100" w:before="200"/>
      </w:pPr>
      <w:r>
        <w:rPr>
          <w:rFonts w:ascii="Arial" w:cs="Arial" w:eastAsia="Arial" w:hAnsi="Arial"/>
          <w:b/>
          <w:bCs/>
          <w:color w:val="8B6914"/>
          <w:sz w:val="22"/>
          <w:szCs w:val="22"/>
        </w:rPr>
        <w:t xml:space="preserve">Strain-Matched EO Blend Bottles</w:t>
      </w:r>
    </w:p>
    <w:p>
      <w:pPr>
        <w:spacing w:after="120"/>
      </w:pPr>
      <w:r>
        <w:rPr>
          <w:rFonts w:ascii="Arial" w:cs="Arial" w:eastAsia="Arial" w:hAnsi="Arial"/>
          <w:color w:val="1A1A1A"/>
          <w:sz w:val="22"/>
          <w:szCs w:val="22"/>
        </w:rPr>
        <w:t xml:space="preserve">2mL glass roller bottles with 30–50 drops of ISO-standardized essential oils matching a specific cannabis cultivar's terpene ratio. Includes terpene profile card, pre-loading instructions, and QR code to Vibe Curator.</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$35–55/bottle, $120–180 for curated 3-pack</w:t>
      </w:r>
    </w:p>
    <w:p>
      <w:pPr>
        <w:spacing w:after="120"/>
      </w:pPr>
      <w:r>
        <w:rPr>
          <w:rFonts w:ascii="Arial" w:cs="Arial" w:eastAsia="Arial" w:hAnsi="Arial"/>
          <w:b/>
          <w:bCs/>
          <w:color w:val="1A1A1A"/>
          <w:sz w:val="22"/>
          <w:szCs w:val="22"/>
        </w:rPr>
        <w:t xml:space="preserve">Distribution: </w:t>
      </w:r>
      <w:r>
        <w:rPr>
          <w:rFonts w:ascii="Arial" w:cs="Arial" w:eastAsia="Arial" w:hAnsi="Arial"/>
          <w:color w:val="1A1A1A"/>
          <w:sz w:val="22"/>
          <w:szCs w:val="22"/>
        </w:rPr>
        <w:t xml:space="preserve">Dispensary retail, DTC, events</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~85%</w:t>
      </w:r>
    </w:p>
    <w:p>
      <w:pPr>
        <w:spacing w:after="100" w:before="200"/>
      </w:pPr>
      <w:r>
        <w:rPr>
          <w:rFonts w:ascii="Arial" w:cs="Arial" w:eastAsia="Arial" w:hAnsi="Arial"/>
          <w:b/>
          <w:bCs/>
          <w:color w:val="8B6914"/>
          <w:sz w:val="22"/>
          <w:szCs w:val="22"/>
        </w:rPr>
        <w:t xml:space="preserve">La Séance Experiential Events</w:t>
      </w:r>
    </w:p>
    <w:p>
      <w:pPr>
        <w:spacing w:after="120"/>
      </w:pPr>
      <w:r>
        <w:rPr>
          <w:rFonts w:ascii="Arial" w:cs="Arial" w:eastAsia="Arial" w:hAnsi="Arial"/>
          <w:color w:val="1A1A1A"/>
          <w:sz w:val="22"/>
          <w:szCs w:val="22"/>
        </w:rPr>
        <w:t xml:space="preserve">Curated 2–3 hour immersive terpene pre-loading experiences. 20–40 guests per event. Full protocol: EO blend → guided 20-min pre-load with breathwork → cannabis consumption → coordinated playlist + terpene-paired beverage.</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$75 general, $150 VIP (includes take-home kit)</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~65%</w:t>
      </w:r>
    </w:p>
    <w:p>
      <w:pPr>
        <w:spacing w:after="100" w:before="200"/>
      </w:pPr>
      <w:r>
        <w:rPr>
          <w:rFonts w:ascii="Arial" w:cs="Arial" w:eastAsia="Arial" w:hAnsi="Arial"/>
          <w:b/>
          <w:bCs/>
          <w:color w:val="8B6914"/>
          <w:sz w:val="22"/>
          <w:szCs w:val="22"/>
        </w:rPr>
        <w:t xml:space="preserve">Vibe Curator App</w:t>
      </w:r>
    </w:p>
    <w:p>
      <w:pPr>
        <w:spacing w:after="120"/>
      </w:pPr>
      <w:r>
        <w:rPr>
          <w:rFonts w:ascii="Arial" w:cs="Arial" w:eastAsia="Arial" w:hAnsi="Arial"/>
          <w:color w:val="1A1A1A"/>
          <w:sz w:val="22"/>
          <w:szCs w:val="22"/>
        </w:rPr>
        <w:t xml:space="preserve">Enter a strain or scan a COA barcode → receive EO recipe with drop counts, Spotify playlist from terpene-to-audio translation, matched beverage recipe, and guided pre-loading timer with breathwork cues.</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Free tier + $9.99/mo premium + $79.99/year</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~90%</w:t>
      </w:r>
    </w:p>
    <w:p>
      <w:pPr>
        <w:spacing w:after="100" w:before="200"/>
      </w:pPr>
      <w:r>
        <w:rPr>
          <w:rFonts w:ascii="Arial" w:cs="Arial" w:eastAsia="Arial" w:hAnsi="Arial"/>
          <w:b/>
          <w:bCs/>
          <w:color w:val="8B6914"/>
          <w:sz w:val="22"/>
          <w:szCs w:val="22"/>
        </w:rPr>
        <w:t xml:space="preserve">Dispensary White-Label Program</w:t>
      </w:r>
    </w:p>
    <w:p>
      <w:pPr>
        <w:spacing w:after="120"/>
      </w:pPr>
      <w:r>
        <w:rPr>
          <w:rFonts w:ascii="Arial" w:cs="Arial" w:eastAsia="Arial" w:hAnsi="Arial"/>
          <w:color w:val="1A1A1A"/>
          <w:sz w:val="22"/>
          <w:szCs w:val="22"/>
        </w:rPr>
        <w:t xml:space="preserve">Custom EO blends for a dispensary's top 5–10 strains, co-branded. Includes in-store display, budtender training, and QR-linked digital experience.</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$500–2,000/mo per location + $12–18/unit wholesale</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~95% licensing, ~70% wholesale</w:t>
      </w:r>
    </w:p>
    <w:p>
      <w:pPr>
        <w:spacing w:after="100" w:before="200"/>
      </w:pPr>
      <w:r>
        <w:rPr>
          <w:rFonts w:ascii="Arial" w:cs="Arial" w:eastAsia="Arial" w:hAnsi="Arial"/>
          <w:b/>
          <w:bCs/>
          <w:color w:val="8B6914"/>
          <w:sz w:val="22"/>
          <w:szCs w:val="22"/>
        </w:rPr>
        <w:t xml:space="preserve">Terpene Beverage Recipe Book</w:t>
      </w:r>
    </w:p>
    <w:p>
      <w:pPr>
        <w:spacing w:after="120"/>
      </w:pPr>
      <w:r>
        <w:rPr>
          <w:rFonts w:ascii="Arial" w:cs="Arial" w:eastAsia="Arial" w:hAnsi="Arial"/>
          <w:color w:val="1A1A1A"/>
          <w:sz w:val="22"/>
          <w:szCs w:val="22"/>
        </w:rPr>
        <w:t xml:space="preserve">24 strains × 5 categories = 120 recipes. Mocktails, cocktails, juices, herbal teas, wellness shots.</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$34.99 hardcover, $19.99 digital</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~60% direct, ~80% digital</w:t>
      </w:r>
    </w:p>
    <w:p>
      <w:pPr>
        <w:pStyle w:val="Heading2"/>
        <w:spacing w:after="150" w:before="300"/>
      </w:pPr>
      <w:r>
        <w:rPr>
          <w:rFonts w:ascii="Georgia" w:cs="Georgia" w:eastAsia="Georgia" w:hAnsi="Georgia"/>
          <w:b/>
          <w:bCs/>
          <w:color w:val="2D6A4F"/>
          <w:sz w:val="26"/>
          <w:szCs w:val="26"/>
        </w:rPr>
        <w:t xml:space="preserve">Line 2: Sports &amp; Wellness (Performance State Modulation)</w:t>
      </w:r>
    </w:p>
    <w:p>
      <w:pPr>
        <w:spacing w:after="120"/>
      </w:pPr>
      <w:r>
        <w:rPr>
          <w:rFonts w:ascii="Arial" w:cs="Arial" w:eastAsia="Arial" w:hAnsi="Arial"/>
          <w:b/>
          <w:bCs/>
          <w:color w:val="1A1A1A"/>
          <w:sz w:val="22"/>
          <w:szCs w:val="22"/>
        </w:rPr>
        <w:t xml:space="preserve">Protected by: </w:t>
      </w:r>
      <w:r>
        <w:rPr>
          <w:rFonts w:ascii="Arial" w:cs="Arial" w:eastAsia="Arial" w:hAnsi="Arial"/>
          <w:color w:val="8B6914"/>
          <w:sz w:val="22"/>
          <w:szCs w:val="22"/>
        </w:rPr>
        <w:t xml:space="preserve">Families C, D, F   |   </w:t>
      </w:r>
      <w:r>
        <w:rPr>
          <w:rFonts w:ascii="Arial" w:cs="Arial" w:eastAsia="Arial" w:hAnsi="Arial"/>
          <w:b/>
          <w:bCs/>
          <w:color w:val="1A1A1A"/>
          <w:sz w:val="22"/>
          <w:szCs w:val="22"/>
        </w:rPr>
        <w:t xml:space="preserve">Market: </w:t>
      </w:r>
      <w:r>
        <w:rPr>
          <w:rFonts w:ascii="Arial" w:cs="Arial" w:eastAsia="Arial" w:hAnsi="Arial"/>
          <w:color w:val="2D6A4F"/>
          <w:sz w:val="22"/>
          <w:szCs w:val="22"/>
        </w:rPr>
        <w:t xml:space="preserve">$7.5B aromatherapy</w:t>
      </w:r>
    </w:p>
    <w:p>
      <w:pPr>
        <w:spacing w:after="80"/>
      </w:pPr>
    </w:p>
    <w:p>
      <w:pPr>
        <w:spacing w:after="100" w:before="200"/>
      </w:pPr>
      <w:r>
        <w:rPr>
          <w:rFonts w:ascii="Arial" w:cs="Arial" w:eastAsia="Arial" w:hAnsi="Arial"/>
          <w:b/>
          <w:bCs/>
          <w:color w:val="8B6914"/>
          <w:sz w:val="22"/>
          <w:szCs w:val="22"/>
        </w:rPr>
        <w:t xml:space="preserve">Performance Nasal Inhalers</w:t>
      </w:r>
    </w:p>
    <w:p>
      <w:pPr>
        <w:spacing w:after="120"/>
      </w:pPr>
      <w:r>
        <w:rPr>
          <w:rFonts w:ascii="Arial" w:cs="Arial" w:eastAsia="Arial" w:hAnsi="Arial"/>
          <w:color w:val="1A1A1A"/>
          <w:sz w:val="22"/>
          <w:szCs w:val="22"/>
        </w:rPr>
        <w:t xml:space="preserve">Four SKUs for four target states:</w:t>
      </w:r>
    </w:p>
    <w:p>
      <w:pPr>
        <w:pStyle w:val="ListParagraph"/>
        <w:numPr>
          <w:ilvl w:val="0"/>
          <w:numId w:val="2"/>
        </w:numPr>
        <w:spacing w:after="60"/>
      </w:pPr>
      <w:r>
        <w:rPr>
          <w:rFonts w:ascii="Arial" w:cs="Arial" w:eastAsia="Arial" w:hAnsi="Arial"/>
          <w:color w:val="1A1A1A"/>
          <w:sz w:val="22"/>
          <w:szCs w:val="22"/>
        </w:rPr>
        <w:t xml:space="preserve">ACTIVATE (rosemary + peppermint — α-pinene + cineole)</w:t>
      </w:r>
    </w:p>
    <w:p>
      <w:pPr>
        <w:pStyle w:val="ListParagraph"/>
        <w:numPr>
          <w:ilvl w:val="0"/>
          <w:numId w:val="2"/>
        </w:numPr>
        <w:spacing w:after="60"/>
      </w:pPr>
      <w:r>
        <w:rPr>
          <w:rFonts w:ascii="Arial" w:cs="Arial" w:eastAsia="Arial" w:hAnsi="Arial"/>
          <w:color w:val="1A1A1A"/>
          <w:sz w:val="22"/>
          <w:szCs w:val="22"/>
        </w:rPr>
        <w:t xml:space="preserve">FOCUS (bergamot + sweet orange — d-limonene)</w:t>
      </w:r>
    </w:p>
    <w:p>
      <w:pPr>
        <w:pStyle w:val="ListParagraph"/>
        <w:numPr>
          <w:ilvl w:val="0"/>
          <w:numId w:val="2"/>
        </w:numPr>
        <w:spacing w:after="60"/>
      </w:pPr>
      <w:r>
        <w:rPr>
          <w:rFonts w:ascii="Arial" w:cs="Arial" w:eastAsia="Arial" w:hAnsi="Arial"/>
          <w:color w:val="1A1A1A"/>
          <w:sz w:val="22"/>
          <w:szCs w:val="22"/>
        </w:rPr>
        <w:t xml:space="preserve">RECOVER (lavender + black pepper — linalool + β-caryophyllene)</w:t>
      </w:r>
    </w:p>
    <w:p>
      <w:pPr>
        <w:pStyle w:val="ListParagraph"/>
        <w:numPr>
          <w:ilvl w:val="0"/>
          <w:numId w:val="2"/>
        </w:numPr>
        <w:spacing w:after="60"/>
      </w:pPr>
      <w:r>
        <w:rPr>
          <w:rFonts w:ascii="Arial" w:cs="Arial" w:eastAsia="Arial" w:hAnsi="Arial"/>
          <w:color w:val="1A1A1A"/>
          <w:sz w:val="22"/>
          <w:szCs w:val="22"/>
        </w:rPr>
        <w:t xml:space="preserve">SLEEP (lavender + lemongrass — linalool + myrcene)</w:t>
      </w:r>
    </w:p>
    <w:p>
      <w:pPr>
        <w:spacing w:after="120"/>
      </w:pPr>
      <w:r>
        <w:rPr>
          <w:rFonts w:ascii="Arial" w:cs="Arial" w:eastAsia="Arial" w:hAnsi="Arial"/>
          <w:color w:val="1A1A1A"/>
          <w:sz w:val="22"/>
          <w:szCs w:val="22"/>
        </w:rPr>
        <w:t xml:space="preserve">All GRAS.</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$25–40/inhaler, $89 for 4-pack</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~82%</w:t>
      </w:r>
    </w:p>
    <w:p>
      <w:pPr>
        <w:spacing w:after="100" w:before="200"/>
      </w:pPr>
      <w:r>
        <w:rPr>
          <w:rFonts w:ascii="Arial" w:cs="Arial" w:eastAsia="Arial" w:hAnsi="Arial"/>
          <w:b/>
          <w:bCs/>
          <w:color w:val="8B6914"/>
          <w:sz w:val="22"/>
          <w:szCs w:val="22"/>
        </w:rPr>
        <w:t xml:space="preserve">Studio &amp; Gym Wholesale</w:t>
      </w:r>
    </w:p>
    <w:p>
      <w:pPr>
        <w:spacing w:after="120"/>
      </w:pPr>
      <w:r>
        <w:rPr>
          <w:rFonts w:ascii="Arial" w:cs="Arial" w:eastAsia="Arial" w:hAnsi="Arial"/>
          <w:color w:val="1A1A1A"/>
          <w:sz w:val="22"/>
          <w:szCs w:val="22"/>
        </w:rPr>
        <w:t xml:space="preserve">Bulk wholesale for yoga studios, meditation centers, boutique gyms.</w:t>
      </w:r>
    </w:p>
    <w:p>
      <w:pPr>
        <w:spacing w:after="120"/>
      </w:pPr>
      <w:r>
        <w:rPr>
          <w:rFonts w:ascii="Arial" w:cs="Arial" w:eastAsia="Arial" w:hAnsi="Arial"/>
          <w:b/>
          <w:bCs/>
          <w:color w:val="1A1A1A"/>
          <w:sz w:val="22"/>
          <w:szCs w:val="22"/>
        </w:rPr>
        <w:t xml:space="preserve">Wholesale: </w:t>
      </w:r>
      <w:r>
        <w:rPr>
          <w:rFonts w:ascii="Arial" w:cs="Arial" w:eastAsia="Arial" w:hAnsi="Arial"/>
          <w:color w:val="1A1A1A"/>
          <w:sz w:val="22"/>
          <w:szCs w:val="22"/>
        </w:rPr>
        <w:t xml:space="preserve">$12–18/inhaler (50% off retail), minimum 24 units</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~65%</w:t>
      </w:r>
    </w:p>
    <w:p>
      <w:pPr>
        <w:spacing w:after="100" w:before="200"/>
      </w:pPr>
      <w:r>
        <w:rPr>
          <w:rFonts w:ascii="Arial" w:cs="Arial" w:eastAsia="Arial" w:hAnsi="Arial"/>
          <w:b/>
          <w:bCs/>
          <w:color w:val="8B6914"/>
          <w:sz w:val="22"/>
          <w:szCs w:val="22"/>
        </w:rPr>
        <w:t xml:space="preserve">Corporate Wellness Packages</w:t>
      </w:r>
    </w:p>
    <w:p>
      <w:pPr>
        <w:spacing w:after="120"/>
      </w:pPr>
      <w:r>
        <w:rPr>
          <w:rFonts w:ascii="Arial" w:cs="Arial" w:eastAsia="Arial" w:hAnsi="Arial"/>
          <w:color w:val="1A1A1A"/>
          <w:sz w:val="22"/>
          <w:szCs w:val="22"/>
        </w:rPr>
        <w:t xml:space="preserve">Bulk inhalers, on-site breathwork workshops, quarterly terpene education. Positioned as pharmacologically active alternative to meditation apps.</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$2,500–10,000/quarter</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~75%</w:t>
      </w:r>
    </w:p>
    <w:p>
      <w:pPr>
        <w:spacing w:after="100" w:before="200"/>
      </w:pPr>
      <w:r>
        <w:rPr>
          <w:rFonts w:ascii="Arial" w:cs="Arial" w:eastAsia="Arial" w:hAnsi="Arial"/>
          <w:b/>
          <w:bCs/>
          <w:color w:val="8B6914"/>
          <w:sz w:val="22"/>
          <w:szCs w:val="22"/>
        </w:rPr>
        <w:t xml:space="preserve">Sports Team Partnerships</w:t>
      </w:r>
    </w:p>
    <w:p>
      <w:pPr>
        <w:spacing w:after="120"/>
      </w:pPr>
      <w:r>
        <w:rPr>
          <w:rFonts w:ascii="Arial" w:cs="Arial" w:eastAsia="Arial" w:hAnsi="Arial"/>
          <w:color w:val="1A1A1A"/>
          <w:sz w:val="22"/>
          <w:szCs w:val="22"/>
        </w:rPr>
        <w:t xml:space="preserve">Custom terpene programs: PRE-GAME (activation via AChE inhibition), HALFTIME (anxiety reduction via A2a agonism), POST-GAME (recovery via GABA-A/CB2). Team-branded inhalers, quarterly efficacy tracking. WADA-compliant.</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$15,000–50,000/season</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~80%</w:t>
      </w:r>
    </w:p>
    <w:p>
      <w:pPr>
        <w:pStyle w:val="Heading2"/>
        <w:spacing w:after="150" w:before="300"/>
      </w:pPr>
      <w:r>
        <w:rPr>
          <w:rFonts w:ascii="Georgia" w:cs="Georgia" w:eastAsia="Georgia" w:hAnsi="Georgia"/>
          <w:b/>
          <w:bCs/>
          <w:color w:val="2D6A4F"/>
          <w:sz w:val="26"/>
          <w:szCs w:val="26"/>
        </w:rPr>
        <w:t xml:space="preserve">Line 3: Pharma &amp; Clinical (Clinical Translation Pipeline)</w:t>
      </w:r>
    </w:p>
    <w:p>
      <w:pPr>
        <w:spacing w:after="120"/>
      </w:pPr>
      <w:r>
        <w:rPr>
          <w:rFonts w:ascii="Arial" w:cs="Arial" w:eastAsia="Arial" w:hAnsi="Arial"/>
          <w:b/>
          <w:bCs/>
          <w:color w:val="1A1A1A"/>
          <w:sz w:val="22"/>
          <w:szCs w:val="22"/>
        </w:rPr>
        <w:t xml:space="preserve">Protected by: </w:t>
      </w:r>
      <w:r>
        <w:rPr>
          <w:rFonts w:ascii="Arial" w:cs="Arial" w:eastAsia="Arial" w:hAnsi="Arial"/>
          <w:color w:val="8B6914"/>
          <w:sz w:val="22"/>
          <w:szCs w:val="22"/>
        </w:rPr>
        <w:t xml:space="preserve">All 6 families   |   </w:t>
      </w:r>
      <w:r>
        <w:rPr>
          <w:rFonts w:ascii="Arial" w:cs="Arial" w:eastAsia="Arial" w:hAnsi="Arial"/>
          <w:b/>
          <w:bCs/>
          <w:color w:val="1A1A1A"/>
          <w:sz w:val="22"/>
          <w:szCs w:val="22"/>
        </w:rPr>
        <w:t xml:space="preserve">Market: </w:t>
      </w:r>
      <w:r>
        <w:rPr>
          <w:rFonts w:ascii="Arial" w:cs="Arial" w:eastAsia="Arial" w:hAnsi="Arial"/>
          <w:color w:val="2D6A4F"/>
          <w:sz w:val="22"/>
          <w:szCs w:val="22"/>
        </w:rPr>
        <w:t xml:space="preserve">Opioid-sparing therapeutics</w:t>
      </w:r>
    </w:p>
    <w:p>
      <w:pPr>
        <w:spacing w:after="80"/>
      </w:pPr>
    </w:p>
    <w:p>
      <w:pPr>
        <w:spacing w:after="100" w:before="200"/>
      </w:pPr>
      <w:r>
        <w:rPr>
          <w:rFonts w:ascii="Arial" w:cs="Arial" w:eastAsia="Arial" w:hAnsi="Arial"/>
          <w:b/>
          <w:bCs/>
          <w:color w:val="8B6914"/>
          <w:sz w:val="22"/>
          <w:szCs w:val="22"/>
        </w:rPr>
        <w:t xml:space="preserve">Pre-Loading Method Licensing</w:t>
      </w:r>
    </w:p>
    <w:p>
      <w:pPr>
        <w:spacing w:after="120"/>
      </w:pPr>
      <w:r>
        <w:rPr>
          <w:rFonts w:ascii="Arial" w:cs="Arial" w:eastAsia="Arial" w:hAnsi="Arial"/>
          <w:color w:val="1A1A1A"/>
          <w:sz w:val="22"/>
          <w:szCs w:val="22"/>
        </w:rPr>
        <w:t xml:space="preserve">License Family A to pharma for clinical trials. Primary target: opioid-sparing analgesia. No clinical trial of purified terpene blends for pain exists globally.</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$50K–250K upfront + milestones + 3–8% royalties</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~95%</w:t>
      </w:r>
    </w:p>
    <w:p>
      <w:pPr>
        <w:spacing w:after="100" w:before="200"/>
      </w:pPr>
      <w:r>
        <w:rPr>
          <w:rFonts w:ascii="Arial" w:cs="Arial" w:eastAsia="Arial" w:hAnsi="Arial"/>
          <w:b/>
          <w:bCs/>
          <w:color w:val="8B6914"/>
          <w:sz w:val="22"/>
          <w:szCs w:val="22"/>
        </w:rPr>
        <w:t xml:space="preserve">Clinical Trial Design Consulting</w:t>
      </w:r>
    </w:p>
    <w:p>
      <w:pPr>
        <w:spacing w:after="120"/>
      </w:pPr>
      <w:r>
        <w:rPr>
          <w:rFonts w:ascii="Arial" w:cs="Arial" w:eastAsia="Arial" w:hAnsi="Arial"/>
          <w:color w:val="1A1A1A"/>
          <w:sz w:val="22"/>
          <w:szCs w:val="22"/>
        </w:rPr>
        <w:t xml:space="preserve">Design terpene pre-loading trials: formulations, protocols, outcome measures.</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$25K–100K/engagement</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~90%</w:t>
      </w:r>
    </w:p>
    <w:p>
      <w:pPr>
        <w:spacing w:after="100" w:before="200"/>
      </w:pPr>
      <w:r>
        <w:rPr>
          <w:rFonts w:ascii="Arial" w:cs="Arial" w:eastAsia="Arial" w:hAnsi="Arial"/>
          <w:b/>
          <w:bCs/>
          <w:color w:val="8B6914"/>
          <w:sz w:val="22"/>
          <w:szCs w:val="22"/>
        </w:rPr>
        <w:t xml:space="preserve">Algorithm &amp; Data Licensing</w:t>
      </w:r>
    </w:p>
    <w:p>
      <w:pPr>
        <w:spacing w:after="120"/>
      </w:pPr>
      <w:r>
        <w:rPr>
          <w:rFonts w:ascii="Arial" w:cs="Arial" w:eastAsia="Arial" w:hAnsi="Arial"/>
          <w:color w:val="1A1A1A"/>
          <w:sz w:val="22"/>
          <w:szCs w:val="22"/>
        </w:rPr>
        <w:t xml:space="preserve">License the matching engine and EO composition database to research institutions or cannabis testing labs.</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$10K–50K/year (academic), $50K–200K/year (commercial)</w:t>
      </w:r>
    </w:p>
    <w:p>
      <w:pPr>
        <w:spacing w:after="120"/>
      </w:pPr>
      <w:r>
        <w:rPr>
          <w:rFonts w:ascii="Arial" w:cs="Arial" w:eastAsia="Arial" w:hAnsi="Arial"/>
          <w:b/>
          <w:bCs/>
          <w:color w:val="1A1A1A"/>
          <w:sz w:val="22"/>
          <w:szCs w:val="22"/>
        </w:rPr>
        <w:t xml:space="preserve">Margin: </w:t>
      </w:r>
      <w:r>
        <w:rPr>
          <w:rFonts w:ascii="Arial" w:cs="Arial" w:eastAsia="Arial" w:hAnsi="Arial"/>
          <w:color w:val="1A1A1A"/>
          <w:sz w:val="22"/>
          <w:szCs w:val="22"/>
        </w:rPr>
        <w:t xml:space="preserve">~95%</w:t>
      </w:r>
    </w:p>
    <w:p>
      <w:r>
        <w:br w:type="page"/>
      </w:r>
    </w:p>
    <w:p>
      <w:pPr>
        <w:pStyle w:val="Heading1"/>
        <w:spacing w:after="200" w:before="400"/>
      </w:pPr>
      <w:r>
        <w:rPr>
          <w:rFonts w:ascii="Georgia" w:cs="Georgia" w:eastAsia="Georgia" w:hAnsi="Georgia"/>
          <w:b/>
          <w:bCs/>
          <w:color w:val="1A1A1A"/>
          <w:sz w:val="32"/>
          <w:szCs w:val="32"/>
        </w:rPr>
        <w:t xml:space="preserve">Revenue Model — Product-Level Projections</w:t>
      </w:r>
    </w:p>
    <w:p>
      <w:pPr>
        <w:pStyle w:val="Heading2"/>
        <w:spacing w:after="150" w:before="300"/>
      </w:pPr>
      <w:r>
        <w:rPr>
          <w:rFonts w:ascii="Georgia" w:cs="Georgia" w:eastAsia="Georgia" w:hAnsi="Georgia"/>
          <w:b/>
          <w:bCs/>
          <w:color w:val="2D6A4F"/>
          <w:sz w:val="26"/>
          <w:szCs w:val="26"/>
        </w:rPr>
        <w:t xml:space="preserve">Year 1 (2026): $150K – $400K</w:t>
      </w:r>
    </w:p>
    <w:p>
      <w:pPr>
        <w:spacing w:after="120"/>
      </w:pPr>
      <w:r>
        <w:rPr>
          <w:rFonts w:ascii="Arial" w:cs="Arial" w:eastAsia="Arial" w:hAnsi="Arial"/>
          <w:i/>
          <w:iCs/>
          <w:color w:val="666666"/>
          <w:sz w:val="22"/>
          <w:szCs w:val="22"/>
        </w:rPr>
        <w:t xml:space="preserve">Proof of concept. Revenue validates model; metrics validate patent.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2000"/>
        <w:gridCol w:w="2960"/>
      </w:tblGrid>
      <w:tr>
        <w:trPr>
          <w:tblHeader/>
        </w:trPr>
        <w:tc>
          <w:tcPr>
            <w:tcW w:type="dxa" w:w="18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4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12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0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9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EO Blend Bottles</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800–2,000</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$35–55</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$28K–110K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5–8 strains at 1–2 dispensaries + DTC</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 Séance Events</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6–10 events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$5K–15K net</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$30K–150K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20–40 guests at $75–150/ticket</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Vibe Curator App</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500–2K users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Free/freemium</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$0–5K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Building user base</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Wellness Inhalers</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200–800</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$25–40</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$5K–32K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Q3 DTC launch</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Beverage Book</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Pre-orders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$0–5K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Pre-order campaign Q4</w:t>
            </w:r>
          </w:p>
        </w:tc>
      </w:tr>
      <w:tr>
        <w:trPr>
          <w:tblHeader w:val="false"/>
        </w:trPr>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White-Label Pilot</w:t>
            </w:r>
          </w:p>
        </w:tc>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0–1 partner</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$500–1K/mo</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$0–6K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If traction warrants</w:t>
            </w:r>
          </w:p>
        </w:tc>
      </w:tr>
    </w:tbl>
    <w:p>
      <w:pPr>
        <w:pStyle w:val="Heading2"/>
        <w:spacing w:after="150" w:before="300"/>
      </w:pPr>
      <w:r>
        <w:rPr>
          <w:rFonts w:ascii="Georgia" w:cs="Georgia" w:eastAsia="Georgia" w:hAnsi="Georgia"/>
          <w:b/>
          <w:bCs/>
          <w:color w:val="2D6A4F"/>
          <w:sz w:val="26"/>
          <w:szCs w:val="26"/>
        </w:rPr>
        <w:t xml:space="preserve">Year 2 (2027): $500K – $1.5M</w:t>
      </w:r>
    </w:p>
    <w:p>
      <w:pPr>
        <w:spacing w:after="120"/>
      </w:pPr>
      <w:r>
        <w:rPr>
          <w:rFonts w:ascii="Arial" w:cs="Arial" w:eastAsia="Arial" w:hAnsi="Arial"/>
          <w:i/>
          <w:iCs/>
          <w:color w:val="666666"/>
          <w:sz w:val="22"/>
          <w:szCs w:val="22"/>
        </w:rPr>
        <w:t xml:space="preserve">Expansion. Non-provisional filed. Revenue diversifies.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1900"/>
        <w:gridCol w:w="2460"/>
      </w:tblGrid>
      <w:tr>
        <w:trPr>
          <w:tblHeader/>
        </w:trPr>
        <w:tc>
          <w:tcPr>
            <w:tcW w:type="dxa" w:w="15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3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12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9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4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EO Blend Bottles</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3K–8K</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$35–55</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$105K–440K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 dispensaries + DTC. 24 strains.</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 Séance Events</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12–18</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$8K–20K net</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$96K–360K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Expand to LA, Portland, Denver</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Vibe Curator App</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2K–8K prem.</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$9.99/mo</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$24K–96K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Premium from dispensary QR funnel</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Wellness Inhalers</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2K–6K</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$25–40</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$50K–240K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Studio wholesale + DTC</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Dispensary White-Label</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3–8 partners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$750–2K/mo</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$27K–192K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Recurring SaaS-like revenue</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Sports Team Pilots</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 teams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$15K–30K</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$15K–60K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 collection for efficacy claims</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Beverage Book</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500–2K</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$18K–70K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DTC + dispensary + Amazon</w:t>
            </w:r>
          </w:p>
        </w:tc>
      </w:tr>
      <w:tr>
        <w:trPr>
          <w:tblHeader w:val="false"/>
        </w:trPr>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Corporate Wellness</w:t>
            </w:r>
          </w:p>
        </w:tc>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1–3 companies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$2.5K–10K/qtr</w:t>
            </w:r>
          </w:p>
        </w:tc>
        <w:tc>
          <w:tcPr>
            <w:tcW w:type="dxa" w:w="19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$10K–30K</w:t>
            </w:r>
          </w:p>
        </w:tc>
        <w:tc>
          <w:tcPr>
            <w:tcW w:type="dxa" w:w="24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First B2B wellness clients</w:t>
            </w:r>
          </w:p>
        </w:tc>
      </w:tr>
    </w:tbl>
    <w:p>
      <w:pPr>
        <w:pStyle w:val="Heading2"/>
        <w:spacing w:after="150" w:before="300"/>
      </w:pPr>
      <w:r>
        <w:rPr>
          <w:rFonts w:ascii="Georgia" w:cs="Georgia" w:eastAsia="Georgia" w:hAnsi="Georgia"/>
          <w:b/>
          <w:bCs/>
          <w:color w:val="2D6A4F"/>
          <w:sz w:val="26"/>
          <w:szCs w:val="26"/>
        </w:rPr>
        <w:t xml:space="preserve">Year 3 (2028): $2M – $5M+</w:t>
      </w:r>
    </w:p>
    <w:p>
      <w:pPr>
        <w:spacing w:after="120"/>
      </w:pPr>
      <w:r>
        <w:rPr>
          <w:rFonts w:ascii="Arial" w:cs="Arial" w:eastAsia="Arial" w:hAnsi="Arial"/>
          <w:i/>
          <w:iCs/>
          <w:color w:val="666666"/>
          <w:sz w:val="22"/>
          <w:szCs w:val="22"/>
        </w:rPr>
        <w:t xml:space="preserve">Scale &amp; licensing. IP portfolio is the primary value driver.</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700"/>
        <w:gridCol w:w="2960"/>
      </w:tblGrid>
      <w:tr>
        <w:trPr>
          <w:tblHeader/>
        </w:trPr>
        <w:tc>
          <w:tcPr>
            <w:tcW w:type="dxa" w:w="13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2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12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7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9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EO Blend Bottles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10K–25K</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$35–55</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$350K–1.4M</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National distribution. 40+ strains.</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 Séance Events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$10K–25K net</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$200K–750K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Touring franchise model</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Vibe Curator App</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10K–25K prem.</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$9.99/mo</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$120K–300K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 integrations. Diffuser.</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Wellness Inhalers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8K–20K</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$25–40</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$200K–800K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Amazon + national gym distribution</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Dispensary White-Label</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10–25 partners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$1K–2K/mo</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$120K–600K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Multi-state operators</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Sports Teams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3–8 teams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$20K–50K/season</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$60K–400K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Portfolio approach</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Pharma Licensing</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 deals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$50K–250K upfront</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$50K–500K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Milestone payments</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Corporate Wellness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5–15 companies</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$5K–10K/qtr</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$100K–600K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HR benefits channel</w:t>
            </w:r>
          </w:p>
        </w:tc>
      </w:tr>
      <w:tr>
        <w:trPr>
          <w:tblHeader w:val="false"/>
        </w:trPr>
        <w:tc>
          <w:tcPr>
            <w:tcW w:type="dxa" w:w="13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Beverage Book + Licensing</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2K–5K + licensing</w:t>
            </w:r>
          </w:p>
        </w:tc>
        <w:tc>
          <w:tcPr>
            <w:tcW w:type="dxa" w:w="12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Variable</w:t>
            </w:r>
          </w:p>
        </w:tc>
        <w:tc>
          <w:tcPr>
            <w:tcW w:type="dxa" w:w="17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$70K–250K</w:t>
            </w:r>
          </w:p>
        </w:tc>
        <w:tc>
          <w:tcPr>
            <w:tcW w:type="dxa" w:w="29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Hospitality licensing</w:t>
            </w:r>
          </w:p>
        </w:tc>
      </w:tr>
    </w:tbl>
    <w:p>
      <w:pPr>
        <w:pStyle w:val="Heading2"/>
        <w:spacing w:after="150" w:before="300"/>
      </w:pPr>
      <w:r>
        <w:rPr>
          <w:rFonts w:ascii="Georgia" w:cs="Georgia" w:eastAsia="Georgia" w:hAnsi="Georgia"/>
          <w:b/>
          <w:bCs/>
          <w:color w:val="2D6A4F"/>
          <w:sz w:val="26"/>
          <w:szCs w:val="26"/>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400"/>
        <w:gridCol w:w="2800"/>
      </w:tblGrid>
      <w:tr>
        <w:trPr>
          <w:tblHeader/>
        </w:trPr>
        <w:tc>
          <w:tcPr>
            <w:tcW w:type="dxa" w:w="208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08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COGS</w:t>
            </w:r>
          </w:p>
        </w:tc>
        <w:tc>
          <w:tcPr>
            <w:tcW w:type="dxa" w:w="24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8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rPr>
          <w:tblHeader w:val="false"/>
        </w:trPr>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EO Blend Bottle</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$4–8</w:t>
            </w:r>
          </w:p>
        </w:tc>
        <w:tc>
          <w:tcPr>
            <w:tcW w:type="dxa" w:w="2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$35–55</w:t>
            </w:r>
          </w:p>
        </w:tc>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~85%</w:t>
            </w:r>
          </w:p>
        </w:tc>
      </w:tr>
      <w:tr>
        <w:trPr>
          <w:tblHeader w:val="false"/>
        </w:trPr>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 Séance Ticket</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$20–35</w:t>
            </w:r>
          </w:p>
        </w:tc>
        <w:tc>
          <w:tcPr>
            <w:tcW w:type="dxa" w:w="2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$75–150</w:t>
            </w:r>
          </w:p>
        </w:tc>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~65%</w:t>
            </w:r>
          </w:p>
        </w:tc>
      </w:tr>
      <w:tr>
        <w:trPr>
          <w:tblHeader w:val="false"/>
        </w:trPr>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Wellness Inhaler</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$3–6</w:t>
            </w:r>
          </w:p>
        </w:tc>
        <w:tc>
          <w:tcPr>
            <w:tcW w:type="dxa" w:w="2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$25–40</w:t>
            </w:r>
          </w:p>
        </w:tc>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~82%</w:t>
            </w:r>
          </w:p>
        </w:tc>
      </w:tr>
      <w:tr>
        <w:trPr>
          <w:tblHeader w:val="false"/>
        </w:trPr>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White-Label License</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Negligible</w:t>
            </w:r>
          </w:p>
        </w:tc>
        <w:tc>
          <w:tcPr>
            <w:tcW w:type="dxa" w:w="2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$500–2K/mo</w:t>
            </w:r>
          </w:p>
        </w:tc>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~95%</w:t>
            </w:r>
          </w:p>
        </w:tc>
      </w:tr>
      <w:tr>
        <w:trPr>
          <w:tblHeader w:val="false"/>
        </w:trPr>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Pharma License</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Legal fees</w:t>
            </w:r>
          </w:p>
        </w:tc>
        <w:tc>
          <w:tcPr>
            <w:tcW w:type="dxa" w:w="24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$50K–250K</w:t>
            </w:r>
          </w:p>
        </w:tc>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~95%</w:t>
            </w:r>
          </w:p>
        </w:tc>
      </w:tr>
    </w:tbl>
    <w:p>
      <w:pPr>
        <w:spacing w:after="100"/>
      </w:pPr>
    </w:p>
    <w:p>
      <w:pPr>
        <w:spacing w:after="100" w:before="200"/>
      </w:pPr>
      <w:r>
        <w:rPr>
          <w:rFonts w:ascii="Arial" w:cs="Arial" w:eastAsia="Arial" w:hAnsi="Arial"/>
          <w:b/>
          <w:bCs/>
          <w:color w:val="8B6914"/>
          <w:sz w:val="22"/>
          <w:szCs w:val="22"/>
        </w:rPr>
        <w:t xml:space="preserve">FUNDING APPROACH</w:t>
      </w:r>
    </w:p>
    <w:p>
      <w:pPr>
        <w:spacing w:after="120"/>
      </w:pPr>
      <w:r>
        <w:rPr>
          <w:rFonts w:ascii="Arial" w:cs="Arial" w:eastAsia="Arial" w:hAnsi="Arial"/>
          <w:color w:val="1A1A1A"/>
          <w:sz w:val="22"/>
          <w:szCs w:val="22"/>
        </w:rPr>
        <w:t xml:space="preserve">Bootstrap through Year 1 using event revenue and DTC sales. The $320 provisional patent is the single highest-leverage investment. Evaluate fundraising in Year 2 based on traction. '44 claims, 8 independent, patent pending, revenue generating' is a different conversation than 'I have an idea.'</w:t>
      </w:r>
    </w:p>
    <w:p>
      <w:r>
        <w:br w:type="page"/>
      </w:r>
    </w:p>
    <w:p>
      <w:pPr>
        <w:pStyle w:val="Heading1"/>
        <w:spacing w:after="200" w:before="400"/>
      </w:pPr>
      <w:r>
        <w:rPr>
          <w:rFonts w:ascii="Georgia" w:cs="Georgia" w:eastAsia="Georgia" w:hAnsi="Georgia"/>
          <w:b/>
          <w:bCs/>
          <w:color w:val="1A1A1A"/>
          <w:sz w:val="32"/>
          <w:szCs w:val="32"/>
        </w:rPr>
        <w:t xml:space="preserve">IP &amp; Patent Strategy</w:t>
      </w:r>
    </w:p>
    <w:p>
      <w:pPr>
        <w:pStyle w:val="Heading2"/>
        <w:spacing w:after="150" w:before="300"/>
      </w:pPr>
      <w:r>
        <w:rPr>
          <w:rFonts w:ascii="Georgia" w:cs="Georgia" w:eastAsia="Georgia" w:hAnsi="Georgia"/>
          <w:b/>
          <w:bCs/>
          <w:color w:val="2D6A4F"/>
          <w:sz w:val="26"/>
          <w:szCs w:val="26"/>
        </w:rPr>
        <w:t xml:space="preserve">The Cage: Three Claim Types</w:t>
      </w:r>
    </w:p>
    <w:p>
      <w:pPr>
        <w:spacing w:after="120"/>
      </w:pPr>
      <w:r>
        <w:rPr>
          <w:rFonts w:ascii="Arial" w:cs="Arial" w:eastAsia="Arial" w:hAnsi="Arial"/>
          <w:color w:val="1A1A1A"/>
          <w:sz w:val="22"/>
          <w:szCs w:val="22"/>
        </w:rPr>
        <w:t xml:space="preserve">Method claims (what you do) — can't practice the pre-loading protocol without a license. System claims (what the software does) — can't build a COA-to-blend calculator without a license. Composition claims (the physical product) — can't sell a strain-matched EO blend without a license. Together they form a complete cage.</w:t>
      </w:r>
    </w:p>
    <w:p>
      <w:pPr>
        <w:pStyle w:val="Heading2"/>
        <w:spacing w:after="150" w:before="300"/>
      </w:pPr>
      <w:r>
        <w:rPr>
          <w:rFonts w:ascii="Georgia" w:cs="Georgia" w:eastAsia="Georgia" w:hAnsi="Georgia"/>
          <w:b/>
          <w:bCs/>
          <w:color w:val="2D6A4F"/>
          <w:sz w:val="26"/>
          <w:szCs w:val="26"/>
        </w:rPr>
        <w:t xml:space="preserve">Patent Portfolio: CPG-2026-PROV-001</w:t>
      </w:r>
    </w:p>
    <w:p>
      <w:pPr>
        <w:spacing w:after="100" w:before="200"/>
      </w:pPr>
      <w:r>
        <w:rPr>
          <w:rFonts w:ascii="Arial" w:cs="Arial" w:eastAsia="Arial" w:hAnsi="Arial"/>
          <w:b/>
          <w:bCs/>
          <w:color w:val="8B6914"/>
          <w:sz w:val="22"/>
          <w:szCs w:val="22"/>
        </w:rPr>
        <w:t xml:space="preserve">Family A — The Pre-Loading Method (Claims 1–14)</w:t>
      </w:r>
    </w:p>
    <w:p>
      <w:pPr>
        <w:spacing w:after="120"/>
      </w:pPr>
      <w:r>
        <w:rPr>
          <w:rFonts w:ascii="Arial" w:cs="Arial" w:eastAsia="Arial" w:hAnsi="Arial"/>
          <w:color w:val="1A1A1A"/>
          <w:sz w:val="22"/>
          <w:szCs w:val="22"/>
        </w:rPr>
        <w:t xml:space="preserve">Breathing a strain-matched terpene blend before consuming cannabis to prime receptor systems. Independent claim covers the broad method; 13 dependents add time windows (5–60 min broad, 10–30 min preferred), A2a-CB1 heteromer mechanism, measurable modulation outcomes, terpene list (10 key terpenes), ISO essential oil embodiment, delivery devices, music integration with iso principle, beverage pairing, and breathwork protocol.</w:t>
      </w:r>
    </w:p>
    <w:p>
      <w:pPr>
        <w:spacing w:after="120"/>
      </w:pPr>
      <w:r>
        <w:rPr>
          <w:rFonts w:ascii="Arial" w:cs="Arial" w:eastAsia="Arial" w:hAnsi="Arial"/>
          <w:i/>
          <w:iCs/>
          <w:color w:val="666666"/>
          <w:sz w:val="22"/>
          <w:szCs w:val="22"/>
        </w:rPr>
        <w:t xml:space="preserve">Protects: Solful EO blends, La Séance events, Vibe Curator timer, any dispensary pre-loading product, clinical trial methodology.</w:t>
      </w:r>
    </w:p>
    <w:p>
      <w:pPr>
        <w:spacing w:after="100" w:before="200"/>
      </w:pPr>
      <w:r>
        <w:rPr>
          <w:rFonts w:ascii="Arial" w:cs="Arial" w:eastAsia="Arial" w:hAnsi="Arial"/>
          <w:b/>
          <w:bCs/>
          <w:color w:val="8B6914"/>
          <w:sz w:val="22"/>
          <w:szCs w:val="22"/>
        </w:rPr>
        <w:t xml:space="preserve">Family B — The Matching Engine (Claims 15–22)</w:t>
      </w:r>
    </w:p>
    <w:p>
      <w:pPr>
        <w:spacing w:after="120"/>
      </w:pPr>
      <w:r>
        <w:rPr>
          <w:rFonts w:ascii="Arial" w:cs="Arial" w:eastAsia="Arial" w:hAnsi="Arial"/>
          <w:color w:val="1A1A1A"/>
          <w:sz w:val="22"/>
          <w:szCs w:val="22"/>
        </w:rPr>
        <w:t xml:space="preserve">Computer system that takes lab data and generates a blend recipe. 7 dependents add multisensory extension, validation algorithm, weighted audio targets, mobile/web/kiosk UI, inventory integration, and connected diffuser hardware (§101-safe).</w:t>
      </w:r>
    </w:p>
    <w:p>
      <w:pPr>
        <w:spacing w:after="120"/>
      </w:pPr>
      <w:r>
        <w:rPr>
          <w:rFonts w:ascii="Arial" w:cs="Arial" w:eastAsia="Arial" w:hAnsi="Arial"/>
          <w:i/>
          <w:iCs/>
          <w:color w:val="666666"/>
          <w:sz w:val="22"/>
          <w:szCs w:val="22"/>
        </w:rPr>
        <w:t xml:space="preserve">Protects: Vibe Curator app, any COA-to-blend calculator, dispensary kiosks, white-label licensing, connected diffusers.</w:t>
      </w:r>
    </w:p>
    <w:p>
      <w:pPr>
        <w:spacing w:after="100" w:before="200"/>
      </w:pPr>
      <w:r>
        <w:rPr>
          <w:rFonts w:ascii="Arial" w:cs="Arial" w:eastAsia="Arial" w:hAnsi="Arial"/>
          <w:b/>
          <w:bCs/>
          <w:color w:val="8B6914"/>
          <w:sz w:val="22"/>
          <w:szCs w:val="22"/>
        </w:rPr>
        <w:t xml:space="preserve">Family C — Non-Cannabis State Modulation (Claims 23–30)</w:t>
      </w:r>
    </w:p>
    <w:p>
      <w:pPr>
        <w:spacing w:after="120"/>
      </w:pPr>
      <w:r>
        <w:rPr>
          <w:rFonts w:ascii="Arial" w:cs="Arial" w:eastAsia="Arial" w:hAnsi="Arial"/>
          <w:color w:val="1A1A1A"/>
          <w:sz w:val="22"/>
          <w:szCs w:val="22"/>
        </w:rPr>
        <w:t xml:space="preserve">Choosing a target mental state and breathing a formulated blend. No cannabis. 7 dependents add time window, activation/calm focus/recovery states, athletic context, music, beverage.</w:t>
      </w:r>
    </w:p>
    <w:p>
      <w:pPr>
        <w:spacing w:after="120"/>
      </w:pPr>
      <w:r>
        <w:rPr>
          <w:rFonts w:ascii="Arial" w:cs="Arial" w:eastAsia="Arial" w:hAnsi="Arial"/>
          <w:i/>
          <w:iCs/>
          <w:color w:val="666666"/>
          <w:sz w:val="22"/>
          <w:szCs w:val="22"/>
        </w:rPr>
        <w:t xml:space="preserve">Protects: Corporate focus blends, wellness studios, yoga/meditation.</w:t>
      </w:r>
    </w:p>
    <w:p>
      <w:pPr>
        <w:spacing w:after="100" w:before="200"/>
      </w:pPr>
      <w:r>
        <w:rPr>
          <w:rFonts w:ascii="Arial" w:cs="Arial" w:eastAsia="Arial" w:hAnsi="Arial"/>
          <w:b/>
          <w:bCs/>
          <w:color w:val="8B6914"/>
          <w:sz w:val="22"/>
          <w:szCs w:val="22"/>
        </w:rPr>
        <w:t xml:space="preserve">Family D — Sports Method-of-Treatment (Claims 31–39)</w:t>
      </w:r>
    </w:p>
    <w:p>
      <w:pPr>
        <w:spacing w:after="120"/>
      </w:pPr>
      <w:r>
        <w:rPr>
          <w:rFonts w:ascii="Arial" w:cs="Arial" w:eastAsia="Arial" w:hAnsi="Arial"/>
          <w:color w:val="1A1A1A"/>
          <w:sz w:val="22"/>
          <w:szCs w:val="22"/>
        </w:rPr>
        <w:t xml:space="preserve">Three independent methods tying specific formulations to measurable outcomes. Dependents specify activation/recovery/anxiety blend details, delivery settings, expanded contexts (public speaking, exams).</w:t>
      </w:r>
    </w:p>
    <w:p>
      <w:pPr>
        <w:spacing w:after="120"/>
      </w:pPr>
      <w:r>
        <w:rPr>
          <w:rFonts w:ascii="Arial" w:cs="Arial" w:eastAsia="Arial" w:hAnsi="Arial"/>
          <w:i/>
          <w:iCs/>
          <w:color w:val="666666"/>
          <w:sz w:val="22"/>
          <w:szCs w:val="22"/>
        </w:rPr>
        <w:t xml:space="preserve">Protects: Sports teams, athletic products, performance anxiety products.</w:t>
      </w:r>
    </w:p>
    <w:p>
      <w:pPr>
        <w:spacing w:after="100" w:before="200"/>
      </w:pPr>
      <w:r>
        <w:rPr>
          <w:rFonts w:ascii="Arial" w:cs="Arial" w:eastAsia="Arial" w:hAnsi="Arial"/>
          <w:b/>
          <w:bCs/>
          <w:color w:val="8B6914"/>
          <w:sz w:val="22"/>
          <w:szCs w:val="22"/>
        </w:rPr>
        <w:t xml:space="preserve">Family E — Cannabis Compositions (Claims 40–43)</w:t>
      </w:r>
    </w:p>
    <w:p>
      <w:pPr>
        <w:spacing w:after="120"/>
      </w:pPr>
      <w:r>
        <w:rPr>
          <w:rFonts w:ascii="Arial" w:cs="Arial" w:eastAsia="Arial" w:hAnsi="Arial"/>
          <w:color w:val="1A1A1A"/>
          <w:sz w:val="22"/>
          <w:szCs w:val="22"/>
        </w:rPr>
        <w:t xml:space="preserve">The physical blend itself — composition of matter. 3 dependents add preferred format (2mL, 30–50 drops), packaging with instructions, QR-connected experience.</w:t>
      </w:r>
    </w:p>
    <w:p>
      <w:pPr>
        <w:spacing w:after="120"/>
      </w:pPr>
      <w:r>
        <w:rPr>
          <w:rFonts w:ascii="Arial" w:cs="Arial" w:eastAsia="Arial" w:hAnsi="Arial"/>
          <w:i/>
          <w:iCs/>
          <w:color w:val="666666"/>
          <w:sz w:val="22"/>
          <w:szCs w:val="22"/>
        </w:rPr>
        <w:t xml:space="preserve">Protects: Solful bottles, any strain-matched EO product, white-label blends.</w:t>
      </w:r>
    </w:p>
    <w:p>
      <w:pPr>
        <w:spacing w:after="100" w:before="200"/>
      </w:pPr>
      <w:r>
        <w:rPr>
          <w:rFonts w:ascii="Arial" w:cs="Arial" w:eastAsia="Arial" w:hAnsi="Arial"/>
          <w:b/>
          <w:bCs/>
          <w:color w:val="8B6914"/>
          <w:sz w:val="22"/>
          <w:szCs w:val="22"/>
        </w:rPr>
        <w:t xml:space="preserve">Family F — Wellness Compositions (Claim 44)</w:t>
      </w:r>
    </w:p>
    <w:p>
      <w:pPr>
        <w:spacing w:after="120"/>
      </w:pPr>
      <w:r>
        <w:rPr>
          <w:rFonts w:ascii="Arial" w:cs="Arial" w:eastAsia="Arial" w:hAnsi="Arial"/>
          <w:color w:val="1A1A1A"/>
          <w:sz w:val="22"/>
          <w:szCs w:val="22"/>
        </w:rPr>
        <w:t xml:space="preserve">Physical blends for state modulation with no cannabis association. Four predefined formulations.</w:t>
      </w:r>
    </w:p>
    <w:p>
      <w:pPr>
        <w:spacing w:after="120"/>
      </w:pPr>
      <w:r>
        <w:rPr>
          <w:rFonts w:ascii="Arial" w:cs="Arial" w:eastAsia="Arial" w:hAnsi="Arial"/>
          <w:i/>
          <w:iCs/>
          <w:color w:val="666666"/>
          <w:sz w:val="22"/>
          <w:szCs w:val="22"/>
        </w:rPr>
        <w:t xml:space="preserve">Protects: Sports line, corporate wellness, DTC wellness brand.</w:t>
      </w:r>
    </w:p>
    <w:p>
      <w:pPr>
        <w:pStyle w:val="Heading2"/>
        <w:spacing w:after="150" w:before="300"/>
      </w:pPr>
      <w:r>
        <w:rPr>
          <w:rFonts w:ascii="Georgia" w:cs="Georgia" w:eastAsia="Georgia" w:hAnsi="Georgia"/>
          <w:b/>
          <w:bCs/>
          <w:color w:val="2D6A4F"/>
          <w:sz w:val="26"/>
          <w:szCs w:val="26"/>
        </w:rPr>
        <w:t xml:space="preserve">IP Timeline</w:t>
      </w:r>
    </w:p>
    <w:p>
      <w:pPr>
        <w:spacing w:after="120"/>
      </w:pPr>
      <w:r>
        <w:rPr>
          <w:rFonts w:ascii="Arial" w:cs="Arial" w:eastAsia="Arial" w:hAnsi="Arial"/>
          <w:b/>
          <w:bCs/>
          <w:color w:val="1A1A1A"/>
          <w:sz w:val="22"/>
          <w:szCs w:val="22"/>
        </w:rPr>
        <w:t xml:space="preserve">March 2026: </w:t>
      </w:r>
      <w:r>
        <w:rPr>
          <w:rFonts w:ascii="Arial" w:cs="Arial" w:eastAsia="Arial" w:hAnsi="Arial"/>
          <w:color w:val="1A1A1A"/>
          <w:sz w:val="22"/>
          <w:szCs w:val="22"/>
        </w:rPr>
        <w:t xml:space="preserve">Provisional filed. Priority date. $320.</w:t>
      </w:r>
    </w:p>
    <w:p>
      <w:pPr>
        <w:spacing w:after="120"/>
      </w:pPr>
      <w:r>
        <w:rPr>
          <w:rFonts w:ascii="Arial" w:cs="Arial" w:eastAsia="Arial" w:hAnsi="Arial"/>
          <w:b/>
          <w:bCs/>
          <w:color w:val="1A1A1A"/>
          <w:sz w:val="22"/>
          <w:szCs w:val="22"/>
        </w:rPr>
        <w:t xml:space="preserve">Q1 2027: </w:t>
      </w:r>
      <w:r>
        <w:rPr>
          <w:rFonts w:ascii="Arial" w:cs="Arial" w:eastAsia="Arial" w:hAnsi="Arial"/>
          <w:color w:val="1A1A1A"/>
          <w:sz w:val="22"/>
          <w:szCs w:val="22"/>
        </w:rPr>
        <w:t xml:space="preserve">Articles published. Citation moat.</w:t>
      </w:r>
    </w:p>
    <w:p>
      <w:pPr>
        <w:spacing w:after="120"/>
      </w:pPr>
      <w:r>
        <w:rPr>
          <w:rFonts w:ascii="Arial" w:cs="Arial" w:eastAsia="Arial" w:hAnsi="Arial"/>
          <w:b/>
          <w:bCs/>
          <w:color w:val="1A1A1A"/>
          <w:sz w:val="22"/>
          <w:szCs w:val="22"/>
        </w:rPr>
        <w:t xml:space="preserve">March 2027: </w:t>
      </w:r>
      <w:r>
        <w:rPr>
          <w:rFonts w:ascii="Arial" w:cs="Arial" w:eastAsia="Arial" w:hAnsi="Arial"/>
          <w:color w:val="1A1A1A"/>
          <w:sz w:val="22"/>
          <w:szCs w:val="22"/>
        </w:rPr>
        <w:t xml:space="preserve">Non-provisional with additional data.</w:t>
      </w:r>
    </w:p>
    <w:p>
      <w:pPr>
        <w:spacing w:after="120"/>
      </w:pPr>
      <w:r>
        <w:rPr>
          <w:rFonts w:ascii="Arial" w:cs="Arial" w:eastAsia="Arial" w:hAnsi="Arial"/>
          <w:b/>
          <w:bCs/>
          <w:color w:val="1A1A1A"/>
          <w:sz w:val="22"/>
          <w:szCs w:val="22"/>
        </w:rPr>
        <w:t xml:space="preserve">Q2 2027: </w:t>
      </w:r>
      <w:r>
        <w:rPr>
          <w:rFonts w:ascii="Arial" w:cs="Arial" w:eastAsia="Arial" w:hAnsi="Arial"/>
          <w:color w:val="1A1A1A"/>
          <w:sz w:val="22"/>
          <w:szCs w:val="22"/>
        </w:rPr>
        <w:t xml:space="preserve">PCT international. EU, Canada, Israel, Australia.</w:t>
      </w:r>
    </w:p>
    <w:p>
      <w:r>
        <w:br w:type="page"/>
      </w:r>
    </w:p>
    <w:p>
      <w:pPr>
        <w:pStyle w:val="Heading1"/>
        <w:spacing w:after="200" w:before="400"/>
      </w:pPr>
      <w:r>
        <w:rPr>
          <w:rFonts w:ascii="Georgia" w:cs="Georgia" w:eastAsia="Georgia" w:hAnsi="Georgia"/>
          <w:b/>
          <w:bCs/>
          <w:color w:val="1A1A1A"/>
          <w:sz w:val="32"/>
          <w:szCs w:val="32"/>
        </w:rPr>
        <w:t xml:space="preserve">Go-to-Market Strategy</w:t>
      </w:r>
    </w:p>
    <w:p>
      <w:pPr>
        <w:pStyle w:val="Heading2"/>
        <w:spacing w:after="150" w:before="300"/>
      </w:pPr>
      <w:r>
        <w:rPr>
          <w:rFonts w:ascii="Georgia" w:cs="Georgia" w:eastAsia="Georgia" w:hAnsi="Georgia"/>
          <w:b/>
          <w:bCs/>
          <w:color w:val="2D6A4F"/>
          <w:sz w:val="26"/>
          <w:szCs w:val="26"/>
        </w:rPr>
        <w:t xml:space="preserve">Phase 1: Foundation (Mar – Jun 2026)</w:t>
      </w:r>
    </w:p>
    <w:p>
      <w:pPr>
        <w:spacing w:after="120"/>
      </w:pPr>
      <w:r>
        <w:rPr>
          <w:rFonts w:ascii="Arial" w:cs="Arial" w:eastAsia="Arial" w:hAnsi="Arial"/>
          <w:b/>
          <w:bCs/>
          <w:color w:val="1A1A1A"/>
          <w:sz w:val="22"/>
          <w:szCs w:val="22"/>
        </w:rPr>
        <w:t xml:space="preserve">Mid-March — Patent Filed: </w:t>
      </w:r>
      <w:r>
        <w:rPr>
          <w:rFonts w:ascii="Arial" w:cs="Arial" w:eastAsia="Arial" w:hAnsi="Arial"/>
          <w:color w:val="1A1A1A"/>
          <w:sz w:val="22"/>
          <w:szCs w:val="22"/>
        </w:rPr>
        <w:t xml:space="preserve">44 claims, 6 families. $320 micro-entity.</w:t>
      </w:r>
    </w:p>
    <w:p>
      <w:pPr>
        <w:spacing w:after="120"/>
      </w:pPr>
      <w:r>
        <w:rPr>
          <w:rFonts w:ascii="Arial" w:cs="Arial" w:eastAsia="Arial" w:hAnsi="Arial"/>
          <w:b/>
          <w:bCs/>
          <w:color w:val="1A1A1A"/>
          <w:sz w:val="22"/>
          <w:szCs w:val="22"/>
        </w:rPr>
        <w:t xml:space="preserve">April 20 — La Séance Soft Launch: </w:t>
      </w:r>
      <w:r>
        <w:rPr>
          <w:rFonts w:ascii="Arial" w:cs="Arial" w:eastAsia="Arial" w:hAnsi="Arial"/>
          <w:color w:val="1A1A1A"/>
          <w:sz w:val="22"/>
          <w:szCs w:val="22"/>
        </w:rPr>
        <w:t xml:space="preserve">First public terpene pre-loading experience. Full protocol: EO blend → 20-min pre-load → strain → playlist + beverage.</w:t>
      </w:r>
    </w:p>
    <w:p>
      <w:pPr>
        <w:spacing w:after="120"/>
      </w:pPr>
      <w:r>
        <w:rPr>
          <w:rFonts w:ascii="Arial" w:cs="Arial" w:eastAsia="Arial" w:hAnsi="Arial"/>
          <w:b/>
          <w:bCs/>
          <w:color w:val="1A1A1A"/>
          <w:sz w:val="22"/>
          <w:szCs w:val="22"/>
        </w:rPr>
        <w:t xml:space="preserve">May–June — Dispensary Pilot: </w:t>
      </w:r>
      <w:r>
        <w:rPr>
          <w:rFonts w:ascii="Arial" w:cs="Arial" w:eastAsia="Arial" w:hAnsi="Arial"/>
          <w:color w:val="1A1A1A"/>
          <w:sz w:val="22"/>
          <w:szCs w:val="22"/>
        </w:rPr>
        <w:t xml:space="preserve">3–5 strain-matched EO blends with QR codes at 1–2 dispensary partners.</w:t>
      </w:r>
    </w:p>
    <w:p>
      <w:pPr>
        <w:spacing w:after="120"/>
      </w:pPr>
      <w:r>
        <w:rPr>
          <w:rFonts w:ascii="Arial" w:cs="Arial" w:eastAsia="Arial" w:hAnsi="Arial"/>
          <w:b/>
          <w:bCs/>
          <w:color w:val="1A1A1A"/>
          <w:sz w:val="22"/>
          <w:szCs w:val="22"/>
        </w:rPr>
        <w:t xml:space="preserve">Q2 — Vibe Curator MVP: </w:t>
      </w:r>
      <w:r>
        <w:rPr>
          <w:rFonts w:ascii="Arial" w:cs="Arial" w:eastAsia="Arial" w:hAnsi="Arial"/>
          <w:color w:val="1A1A1A"/>
          <w:sz w:val="22"/>
          <w:szCs w:val="22"/>
        </w:rPr>
        <w:t xml:space="preserve">Web app: strain → EO recipe + playlist + beverage pairing.</w:t>
      </w:r>
    </w:p>
    <w:p>
      <w:pPr>
        <w:pStyle w:val="Heading2"/>
        <w:spacing w:after="150" w:before="300"/>
      </w:pPr>
      <w:r>
        <w:rPr>
          <w:rFonts w:ascii="Georgia" w:cs="Georgia" w:eastAsia="Georgia" w:hAnsi="Georgia"/>
          <w:b/>
          <w:bCs/>
          <w:color w:val="2D6A4F"/>
          <w:sz w:val="26"/>
          <w:szCs w:val="26"/>
        </w:rPr>
        <w:t xml:space="preserve">Phase 2: Expansion (Jul – Dec 2026)</w:t>
      </w:r>
    </w:p>
    <w:p>
      <w:pPr>
        <w:spacing w:after="120"/>
      </w:pPr>
      <w:r>
        <w:rPr>
          <w:rFonts w:ascii="Arial" w:cs="Arial" w:eastAsia="Arial" w:hAnsi="Arial"/>
          <w:b/>
          <w:bCs/>
          <w:color w:val="1A1A1A"/>
          <w:sz w:val="22"/>
          <w:szCs w:val="22"/>
        </w:rPr>
        <w:t xml:space="preserve">Q3 — Wellness Line Launch: </w:t>
      </w:r>
      <w:r>
        <w:rPr>
          <w:rFonts w:ascii="Arial" w:cs="Arial" w:eastAsia="Arial" w:hAnsi="Arial"/>
          <w:color w:val="1A1A1A"/>
          <w:sz w:val="22"/>
          <w:szCs w:val="22"/>
        </w:rPr>
        <w:t xml:space="preserve">Four non-cannabis blends via DTC and yoga/gym channels.</w:t>
      </w:r>
    </w:p>
    <w:p>
      <w:pPr>
        <w:spacing w:after="120"/>
      </w:pPr>
      <w:r>
        <w:rPr>
          <w:rFonts w:ascii="Arial" w:cs="Arial" w:eastAsia="Arial" w:hAnsi="Arial"/>
          <w:b/>
          <w:bCs/>
          <w:color w:val="1A1A1A"/>
          <w:sz w:val="22"/>
          <w:szCs w:val="22"/>
        </w:rPr>
        <w:t xml:space="preserve">Q3–Q4 — Sports Outreach: </w:t>
      </w:r>
      <w:r>
        <w:rPr>
          <w:rFonts w:ascii="Arial" w:cs="Arial" w:eastAsia="Arial" w:hAnsi="Arial"/>
          <w:color w:val="1A1A1A"/>
          <w:sz w:val="22"/>
          <w:szCs w:val="22"/>
        </w:rPr>
        <w:t xml:space="preserve">MLS, NBA G-League, college athletics. Patent-backed data + GRAS simplicity.</w:t>
      </w:r>
    </w:p>
    <w:p>
      <w:pPr>
        <w:spacing w:after="120"/>
      </w:pPr>
      <w:r>
        <w:rPr>
          <w:rFonts w:ascii="Arial" w:cs="Arial" w:eastAsia="Arial" w:hAnsi="Arial"/>
          <w:b/>
          <w:bCs/>
          <w:color w:val="1A1A1A"/>
          <w:sz w:val="22"/>
          <w:szCs w:val="22"/>
        </w:rPr>
        <w:t xml:space="preserve">Q4 — Dispensary Scale: </w:t>
      </w:r>
      <w:r>
        <w:rPr>
          <w:rFonts w:ascii="Arial" w:cs="Arial" w:eastAsia="Arial" w:hAnsi="Arial"/>
          <w:color w:val="1A1A1A"/>
          <w:sz w:val="22"/>
          <w:szCs w:val="22"/>
        </w:rPr>
        <w:t xml:space="preserve">White-label program for chains. Co-branded blends.</w:t>
      </w:r>
    </w:p>
    <w:p>
      <w:pPr>
        <w:spacing w:after="120"/>
      </w:pPr>
      <w:r>
        <w:rPr>
          <w:rFonts w:ascii="Arial" w:cs="Arial" w:eastAsia="Arial" w:hAnsi="Arial"/>
          <w:b/>
          <w:bCs/>
          <w:color w:val="1A1A1A"/>
          <w:sz w:val="22"/>
          <w:szCs w:val="22"/>
        </w:rPr>
        <w:t xml:space="preserve">Q4 — Beverage Book: </w:t>
      </w:r>
      <w:r>
        <w:rPr>
          <w:rFonts w:ascii="Arial" w:cs="Arial" w:eastAsia="Arial" w:hAnsi="Arial"/>
          <w:color w:val="1A1A1A"/>
          <w:sz w:val="22"/>
          <w:szCs w:val="22"/>
        </w:rPr>
        <w:t xml:space="preserve">120 recipes published/licensed.</w:t>
      </w:r>
    </w:p>
    <w:p>
      <w:pPr>
        <w:pStyle w:val="Heading2"/>
        <w:spacing w:after="150" w:before="300"/>
      </w:pPr>
      <w:r>
        <w:rPr>
          <w:rFonts w:ascii="Georgia" w:cs="Georgia" w:eastAsia="Georgia" w:hAnsi="Georgia"/>
          <w:b/>
          <w:bCs/>
          <w:color w:val="2D6A4F"/>
          <w:sz w:val="26"/>
          <w:szCs w:val="26"/>
        </w:rPr>
        <w:t xml:space="preserve">Phase 3: Moat &amp; Scale (2027+)</w:t>
      </w:r>
    </w:p>
    <w:p>
      <w:pPr>
        <w:spacing w:after="120"/>
      </w:pPr>
      <w:r>
        <w:rPr>
          <w:rFonts w:ascii="Arial" w:cs="Arial" w:eastAsia="Arial" w:hAnsi="Arial"/>
          <w:b/>
          <w:bCs/>
          <w:color w:val="1A1A1A"/>
          <w:sz w:val="22"/>
          <w:szCs w:val="22"/>
        </w:rPr>
        <w:t xml:space="preserve">Mar 2027 — Non-Provisional Patent: </w:t>
      </w:r>
      <w:r>
        <w:rPr>
          <w:rFonts w:ascii="Arial" w:cs="Arial" w:eastAsia="Arial" w:hAnsi="Arial"/>
          <w:color w:val="1A1A1A"/>
          <w:sz w:val="22"/>
          <w:szCs w:val="22"/>
        </w:rPr>
        <w:t xml:space="preserve">Convert to non-provisional with additional data.</w:t>
      </w:r>
    </w:p>
    <w:p>
      <w:pPr>
        <w:spacing w:after="120"/>
      </w:pPr>
      <w:r>
        <w:rPr>
          <w:rFonts w:ascii="Arial" w:cs="Arial" w:eastAsia="Arial" w:hAnsi="Arial"/>
          <w:b/>
          <w:bCs/>
          <w:color w:val="1A1A1A"/>
          <w:sz w:val="22"/>
          <w:szCs w:val="22"/>
        </w:rPr>
        <w:t xml:space="preserve">Q2 2027 — PCT International: </w:t>
      </w:r>
      <w:r>
        <w:rPr>
          <w:rFonts w:ascii="Arial" w:cs="Arial" w:eastAsia="Arial" w:hAnsi="Arial"/>
          <w:color w:val="1A1A1A"/>
          <w:sz w:val="22"/>
          <w:szCs w:val="22"/>
        </w:rPr>
        <w:t xml:space="preserve">Preserve global rights.</w:t>
      </w:r>
    </w:p>
    <w:p>
      <w:pPr>
        <w:spacing w:after="120"/>
      </w:pPr>
      <w:r>
        <w:rPr>
          <w:rFonts w:ascii="Arial" w:cs="Arial" w:eastAsia="Arial" w:hAnsi="Arial"/>
          <w:b/>
          <w:bCs/>
          <w:color w:val="1A1A1A"/>
          <w:sz w:val="22"/>
          <w:szCs w:val="22"/>
        </w:rPr>
        <w:t xml:space="preserve">2027–28 — Pharma Licensing: </w:t>
      </w:r>
      <w:r>
        <w:rPr>
          <w:rFonts w:ascii="Arial" w:cs="Arial" w:eastAsia="Arial" w:hAnsi="Arial"/>
          <w:color w:val="1A1A1A"/>
          <w:sz w:val="22"/>
          <w:szCs w:val="22"/>
        </w:rPr>
        <w:t xml:space="preserve">License method and algorithm for clinical trials.</w:t>
      </w:r>
    </w:p>
    <w:p>
      <w:r>
        <w:br w:type="page"/>
      </w:r>
    </w:p>
    <w:p>
      <w:pPr>
        <w:pStyle w:val="Heading1"/>
        <w:spacing w:after="200" w:before="400"/>
      </w:pPr>
      <w:r>
        <w:rPr>
          <w:rFonts w:ascii="Georgia" w:cs="Georgia" w:eastAsia="Georgia" w:hAnsi="Georgia"/>
          <w:b/>
          <w:bCs/>
          <w:color w:val="1A1A1A"/>
          <w:sz w:val="32"/>
          <w:szCs w:val="32"/>
        </w:rPr>
        <w:t xml:space="preserve">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12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Dispensary Partners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Distribution &amp; validation</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 Séance</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Launch venue &amp; brand partner</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Cannabis Consumers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Early adopters &amp; evangelists</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Craft Cannabis Farms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Strain sourcing &amp; COA data</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Wellness Studios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Non-cannabis channel</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MEDIUM</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Sports Teams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High-value licensing</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MEDIUM</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Investors / Advisors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Funding &amp; strategic guidance</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MEDIUM</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Pharma Partners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Clinical trial licensing</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2D6A4F"/>
                <w:sz w:val="20"/>
                <w:szCs w:val="20"/>
              </w:rPr>
              <w:t xml:space="preserve">LOW</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rPr>
          <w:tblHeader w:val="false"/>
        </w:trP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Regulators</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Compliance &amp; pathway clarity</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2980B9"/>
                <w:sz w:val="20"/>
                <w:szCs w:val="20"/>
              </w:rPr>
              <w:t xml:space="preserve">ONGOING</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w:t>
            </w:r>
          </w:p>
        </w:tc>
      </w:tr>
    </w:tbl>
    <w:p>
      <w:r>
        <w:br w:type="page"/>
      </w:r>
    </w:p>
    <w:p>
      <w:pPr>
        <w:pStyle w:val="Heading1"/>
        <w:spacing w:after="200" w:before="400"/>
      </w:pPr>
      <w:r>
        <w:rPr>
          <w:rFonts w:ascii="Georgia" w:cs="Georgia" w:eastAsia="Georgia" w:hAnsi="Georgia"/>
          <w:b/>
          <w:bCs/>
          <w:color w:val="1A1A1A"/>
          <w:sz w:val="32"/>
          <w:szCs w:val="32"/>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3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0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Mar 2026</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Provisional patent filed (44 claims, 6 families)</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Apr 20, 2026</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Soft launch at La Séance</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Q2 2026</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First dispensary partnership live</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Q2 2026</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Vibe Curator app MVP</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Q3 2026</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Wellness line launch (4 blends)</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Q3 2026</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First sports team pilot conversation</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Q4 2026</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Beverage recipe book published</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Q1 2027</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Journal articles published (BJP, PharmRev)</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 2027</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Non-provisional patent filed</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Q2 2027</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PCT international filing</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rPr>
          <w:tblHeader w:val="false"/>
        </w:trP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2027–28</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First pharma licensing deal</w:t>
            </w:r>
          </w:p>
        </w:tc>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bl>
    <w:p>
      <w:r>
        <w:br w:type="page"/>
      </w:r>
    </w:p>
    <w:p>
      <w:pPr>
        <w:pStyle w:val="Heading1"/>
        <w:spacing w:after="200" w:before="400"/>
      </w:pPr>
      <w:r>
        <w:rPr>
          <w:rFonts w:ascii="Georgia" w:cs="Georgia" w:eastAsia="Georgia" w:hAnsi="Georgia"/>
          <w:b/>
          <w:bCs/>
          <w:color w:val="1A1A1A"/>
          <w:sz w:val="32"/>
          <w:szCs w:val="32"/>
        </w:rP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D5D0C8" w:sz="1"/>
              <w:left w:val="single" w:color="D5D0C8" w:sz="1"/>
              <w:bottom w:val="single" w:color="D5D0C8" w:sz="1"/>
              <w:right w:val="single" w:color="D5D0C8"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2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Patent not granted or narrowed</w:t>
            </w:r>
          </w:p>
        </w:tc>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MEDIUM</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44 claims / 6 families = redundancy. Composition claims strongest.</w:t>
            </w:r>
          </w:p>
        </w:tc>
      </w:tr>
      <w:tr>
        <w:trPr>
          <w:tblHeader w:val="false"/>
        </w:trPr>
        <w:tc>
          <w:tcPr>
            <w:tcW w:type="dxa" w:w="2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FDA GRAS pathway changes</w:t>
            </w:r>
          </w:p>
        </w:tc>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2D6A4F"/>
                <w:sz w:val="20"/>
                <w:szCs w:val="20"/>
              </w:rPr>
              <w:t xml:space="preserve">LOW</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Existing GRAS oils. Monitor NPRM.</w:t>
            </w:r>
          </w:p>
        </w:tc>
      </w:tr>
      <w:tr>
        <w:trPr>
          <w:tblHeader w:val="false"/>
        </w:trPr>
        <w:tc>
          <w:tcPr>
            <w:tcW w:type="dxa" w:w="2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Sonoma price compression</w:t>
            </w:r>
          </w:p>
        </w:tc>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2D6A4F"/>
                <w:sz w:val="20"/>
                <w:szCs w:val="20"/>
              </w:rPr>
              <w:t xml:space="preserve">LOW</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Business is terpene products, not flower. Compression drives differentiation.</w:t>
            </w:r>
          </w:p>
        </w:tc>
      </w:tr>
      <w:tr>
        <w:trPr>
          <w:tblHeader w:val="false"/>
        </w:trPr>
        <w:tc>
          <w:tcPr>
            <w:tcW w:type="dxa" w:w="2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Competitor replication</w:t>
            </w:r>
          </w:p>
        </w:tc>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MEDIUM</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Patent pending + citation moat + proprietary recipes.</w:t>
            </w:r>
          </w:p>
        </w:tc>
      </w:tr>
      <w:tr>
        <w:trPr>
          <w:tblHeader w:val="false"/>
        </w:trPr>
        <w:tc>
          <w:tcPr>
            <w:tcW w:type="dxa" w:w="2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Consumer skepticism</w:t>
            </w:r>
          </w:p>
        </w:tc>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MEDIUM</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2024 studies. Experiential events. Budtender education.</w:t>
            </w:r>
          </w:p>
        </w:tc>
      </w:tr>
      <w:tr>
        <w:trPr>
          <w:tblHeader w:val="false"/>
        </w:trPr>
        <w:tc>
          <w:tcPr>
            <w:tcW w:type="dxa" w:w="2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State regulatory divergence</w:t>
            </w:r>
          </w:p>
        </w:tc>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2D6A4F"/>
                <w:sz w:val="20"/>
                <w:szCs w:val="20"/>
              </w:rPr>
              <w:t xml:space="preserve">LOW</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EO products avoid scheduling. Wellness line: zero exposure.</w:t>
            </w:r>
          </w:p>
        </w:tc>
      </w:tr>
      <w:tr>
        <w:trPr>
          <w:tblHeader w:val="false"/>
        </w:trPr>
        <w:tc>
          <w:tcPr>
            <w:tcW w:type="dxa" w:w="2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Single-founder risk</w:t>
            </w:r>
          </w:p>
        </w:tc>
        <w:tc>
          <w:tcPr>
            <w:tcW w:type="dxa" w:w="150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5360"/>
            <w:tcBorders>
              <w:top w:val="single" w:color="D5D0C8" w:sz="1"/>
              <w:left w:val="single" w:color="D5D0C8" w:sz="1"/>
              <w:bottom w:val="single" w:color="D5D0C8" w:sz="1"/>
              <w:right w:val="single" w:color="D5D0C8"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IP documented. Algorithm codified. Recipe book written. Advisory board Q3 2026.</w:t>
            </w:r>
          </w:p>
        </w:tc>
      </w:tr>
    </w:tbl>
    <w:p>
      <w:pPr>
        <w:spacing w:after="400"/>
      </w:pPr>
    </w:p>
    <w:p>
      <w:pPr>
        <w:pBdr>
          <w:top w:val="single" w:color="2D6A4F" w:sz="4" w:space="1"/>
        </w:pBdr>
        <w:spacing w:after="100" w:before="200"/>
        <w:jc w:val="center"/>
      </w:pPr>
      <w:r>
        <w:rPr>
          <w:rFonts w:ascii="Arial" w:cs="Arial" w:eastAsia="Arial" w:hAnsi="Arial"/>
          <w:color w:val="666666"/>
          <w:sz w:val="18"/>
          <w:szCs w:val="18"/>
        </w:rPr>
        <w:t xml:space="preserve">Solful Sessions · Confidential Business Plan · March 2026</w:t>
      </w:r>
    </w:p>
    <w:p>
      <w:pPr>
        <w:jc w:val="center"/>
      </w:pPr>
      <w:r>
        <w:rPr>
          <w:rFonts w:ascii="Arial" w:cs="Arial" w:eastAsia="Arial" w:hAnsi="Arial"/>
          <w:color w:val="666666"/>
          <w:sz w:val="18"/>
          <w:szCs w:val="18"/>
        </w:rPr>
        <w:t xml:space="preserve">Charles Pelletier-Gagné · Sebastopol, California</w:t>
      </w:r>
    </w:p>
    <w:p>
      <w:pPr>
        <w:jc w:val="center"/>
      </w:pPr>
      <w:r>
        <w:rPr>
          <w:rFonts w:ascii="Arial" w:cs="Arial" w:eastAsia="Arial" w:hAnsi="Arial"/>
          <w:color w:val="666666"/>
          <w:sz w:val="18"/>
          <w:szCs w:val="18"/>
        </w:rPr>
        <w:t xml:space="preserve">Patent Application CPG-2026-PROV-001 · 44 claims · 6 families · 8 independent claims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Solful Sessions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2026-03-07T21:28:01.678Z</dcterms:created>
  <dcterms:modified xsi:type="dcterms:W3CDTF">2026-03-07T21:28:01.678Z</dcterms:modified>
</cp:coreProperties>
</file>

<file path=docProps/custom.xml><?xml version="1.0" encoding="utf-8"?>
<Properties xmlns="http://schemas.openxmlformats.org/officeDocument/2006/custom-properties" xmlns:vt="http://schemas.openxmlformats.org/officeDocument/2006/docPropsVTypes"/>
</file>