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2"/>
          <w:szCs w:val="52"/>
        </w:rPr>
        <w:t xml:space="preserve">Researcher Target List &amp; Outreach Strategy</w:t>
      </w:r>
    </w:p>
    <w:p>
      <w:pPr>
        <w:spacing w:before="300"/>
        <w:jc w:val="center"/>
      </w:pPr>
      <w:r>
        <w:rPr>
          <w:rFonts w:ascii="Arial" w:cs="Arial" w:eastAsia="Arial" w:hAnsi="Arial"/>
          <w:color w:val="555555"/>
          <w:sz w:val="28"/>
          <w:szCs w:val="28"/>
        </w:rPr>
        <w:t xml:space="preserve">Unified Terpene Pharmacology Publication Series</w:t>
      </w:r>
    </w:p>
    <w:p>
      <w:pPr>
        <w:spacing w:before="600"/>
        <w:jc w:val="center"/>
      </w:pPr>
      <w:r>
        <w:rPr>
          <w:rFonts w:ascii="Arial" w:cs="Arial" w:eastAsia="Arial" w:hAnsi="Arial"/>
          <w:sz w:val="22"/>
          <w:szCs w:val="22"/>
        </w:rPr>
        <w:t xml:space="preserve">Charles Pelletier-Gagné  |  Independent Researcher  |  Sebastopol, CA</w:t>
      </w:r>
    </w:p>
    <w:p>
      <w:pPr>
        <w:spacing w:before="200"/>
        <w:jc w:val="center"/>
      </w:pPr>
      <w:r>
        <w:rPr>
          <w:rFonts w:ascii="Arial" w:cs="Arial" w:eastAsia="Arial" w:hAnsi="Arial"/>
          <w:color w:val="888888"/>
          <w:sz w:val="22"/>
          <w:szCs w:val="22"/>
        </w:rPr>
        <w:t xml:space="preserve">Prepared February 2026</w:t>
      </w:r>
    </w:p>
    <w:p>
      <w:r>
        <w:br w:type="page"/>
      </w:r>
    </w:p>
    <w:p>
      <w:pPr>
        <w:pStyle w:val="Heading1"/>
      </w:pPr>
      <w:r>
        <w:t xml:space="preserve">1. Publication Series Overview</w:t>
      </w:r>
    </w:p>
    <w:p>
      <w:r>
        <w:t xml:space="preserve">This document maps 45+ researchers to a 5-article academic publication series on unified terpene pharmacology, bridging cannabis science, aromatherapy, and forest medicine. Each researcher is assessed for co-authorship potential, advisory value, or strategic positioning as a sympathetic peer reviewer.</w:t>
      </w:r>
    </w:p>
    <w:p>
      <w:pPr>
        <w:spacing w:after="80"/>
      </w:pPr>
      <w:r>
        <w:t xml:space="preserve"/>
      </w:r>
    </w:p>
    <w:p>
      <w:pPr>
        <w:pStyle w:val="Heading2"/>
      </w:pPr>
      <w:r>
        <w:t xml:space="preserve">Planned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 1 (Submitted)</w:t>
            </w:r>
            <w:r>
              <w:rPr>
                <w:rFonts w:ascii="Arial" w:cs="Arial" w:eastAsia="Arial" w:hAnsi="Arial"/>
                <w:i/>
                <w:iCs/>
                <w:sz w:val="18"/>
                <w:szCs w:val="18"/>
              </w:rPr>
              <w:t xml:space="preserve">
British Journal of Pharmacology</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Perspective/hypothesis piece introducing the unified terpene pharmacology framework and the disciplinary fragmentation problem.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Article 2 (In Progress)</w:t>
            </w:r>
            <w:r>
              <w:rPr>
                <w:rFonts w:ascii="Arial" w:cs="Arial" w:eastAsia="Arial" w:hAnsi="Arial"/>
                <w:i/>
                <w:iCs/>
                <w:sz w:val="18"/>
                <w:szCs w:val="18"/>
              </w:rPr>
              <w:t xml:space="preserve">
Pharmacological Reviews (15,000–25,000 words)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Comprehensive mechanistic review synthesizing evidence across cannabis pharmacology, aromatherapy, and forest medicine. The anchor piece of the series.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 3 (Planned)</w:t>
            </w:r>
            <w:r>
              <w:rPr>
                <w:rFonts w:ascii="Arial" w:cs="Arial" w:eastAsia="Arial" w:hAnsi="Arial"/>
                <w:i/>
                <w:iCs/>
                <w:sz w:val="18"/>
                <w:szCs w:val="18"/>
              </w:rPr>
              <w:t xml:space="preserve">
Target: Frontiers in Pharmacology or TIPS</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Network pharmacology and systems-level analysis. Computational modeling of terpene polypharmacology and multi-target mechanisms.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Article 4 (Planned)</w:t>
            </w:r>
            <w:r>
              <w:rPr>
                <w:rFonts w:ascii="Arial" w:cs="Arial" w:eastAsia="Arial" w:hAnsi="Arial"/>
                <w:i/>
                <w:iCs/>
                <w:sz w:val="18"/>
                <w:szCs w:val="18"/>
              </w:rPr>
              <w:t xml:space="preserve">
Target: Journal of Ethnopharmacology or similar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Traditional knowledge integration: TCM, Ayurveda, and indigenous terpene practices reframed through modern pharmacological evidence.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 5 (Planned)</w:t>
            </w:r>
            <w:r>
              <w:rPr>
                <w:rFonts w:ascii="Arial" w:cs="Arial" w:eastAsia="Arial" w:hAnsi="Arial"/>
                <w:i/>
                <w:iCs/>
                <w:sz w:val="18"/>
                <w:szCs w:val="18"/>
              </w:rPr>
              <w:t xml:space="preserve">
Target: Nature Reviews Drug Discovery or similar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Translational review: clinical trial landscape, regulatory pathway, and the future of terpene-based therapeutics.</w:t>
            </w:r>
          </w:p>
        </w:tc>
      </w:tr>
    </w:tbl>
    <w:p>
      <w:pPr>
        <w:spacing w:after="80"/>
      </w:pPr>
      <w:r>
        <w:t xml:space="preserve"/>
      </w:r>
    </w:p>
    <w:p>
      <w:r>
        <w:br w:type="page"/>
      </w:r>
    </w:p>
    <w:p>
      <w:pPr>
        <w:pStyle w:val="Heading1"/>
      </w:pPr>
      <w:r>
        <w:t xml:space="preserve">2. Tier 1 — Core Terpene-Cannabinoid Pharmacology</w:t>
      </w:r>
    </w:p>
    <w:p>
      <w:r>
        <w:t xml:space="preserve">These researchers are the most directly relevant to the unified terpene pharmacology thesis. They represent the leading edge of terpene mechanism science and the first human clinical evidence for the entourage effect.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PI on R01AT011517 (NCCIH). Discovered A2a receptor mechanism for terpene antinociception. LaVigne 2021 → Schwarz 2024 → Seekins 2025.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(lead)
Art. 3,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UA Pharmacology dept
Consults: Napreva, Botanical Results, Teleport Pharma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Led first controlled human terpene-cannabinoid trial (Spindle 2024, d-limonene + THC). Patent PCT/US2022/014296.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tspindle@jhmi.edu</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Senior author on Spindle 2024. Planning oral limonene replication and myrcene studies. Connected to Lambert Initiative.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JH Cannabis Science Lab
Consultant: Jazz Pharma, Charlotte’s Web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Author of “Taming THC” (2,000+ citations). Co-author Spindle 2024. Pioneer of entourage effect concept. Adviser to True Terpenes.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(lead)
Art. 1, 4,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CReDO Science
Sci adviser: True Terpenes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R01-AT010762: Myrcene and β-caryophyllene analgesic effects alone and with THC. Testing opioid-sparing effects. Also studying CBG+THC.</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UCLA
NCCIH-funded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R01-AT010773: Preclinical evaluation of minor cannabinoids and terpenes as analgesics. 100+ cannabinoid pharmacology publications.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RTI International
NCCIH-funded</w:t>
            </w:r>
          </w:p>
        </w:tc>
      </w:tr>
    </w:tbl>
    <w:p>
      <w:pPr>
        <w:spacing w:after="80"/>
      </w:pPr>
      <w:r>
        <w:t xml:space="preserve"/>
      </w:r>
    </w:p>
    <w:p>
      <w:r>
        <w:br w:type="page"/>
      </w:r>
    </w:p>
    <w:p>
      <w:pPr>
        <w:pStyle w:val="Heading1"/>
      </w:pPr>
      <w:r>
        <w:t xml:space="preserve">3. Tier 2 — NCCIH-Funded PIs &amp; Cannabinoid Pharmacology</w:t>
      </w:r>
    </w:p>
    <w:p>
      <w:r>
        <w:t xml:space="preserve">These researchers hold active NCCIH grants studying cannabinoids and terpenes for pain. They presented at the June 4, 2024 NCCIH annual meeting ("Exploring the Mechanisms Underlying Analgesic Properties of Minor Cannabinoids and Terpenes").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CBG and β-caryophyllene in chemotherapy-induced neuropathy and orofacial pain. Found sex-based differences in CNS vs PNS response.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Temple University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Cannabinoid-opioid interaction studies. Testing synthetic cannabinoids + morphine for additive/synergistic effects.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Temple University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CB1/CB2 receptor mechanisms. CB2-selective agonist pain research. Major contributor to IUPHAR cannabinoid nomenclature.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IU Addiction Neuroscience Lab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Cannabinoid-opioid interactions in chronic pain. Found long-lasting cannabinoid pain relief without tolerance development.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UW</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R21-AT010761: Synthesizing rare phytocannabinoids. Testing on CB1, CB2, GPR55, and TRP channels.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UIUC Chemistry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CBG side-chain structure and pain mechanisms. Short side-chains show anti-nociceptive effects in CIPN.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Penn State Pharmacology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R21-AT010774: Terpenes from Humulus lupulus (hops) for pain. Collaborates with Isaac Chiu (Harvard) on sensory neuron mechanisms.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4</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Emory
Key hops-cannabis terpene bridge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Hops terpene mechanisms on sensory neurons. Testing myrcene, α-humulene, β-caryophyllene formulations. Neuroimmunology.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Harvard Medical School</w:t>
            </w:r>
          </w:p>
        </w:tc>
      </w:tr>
    </w:tbl>
    <w:p>
      <w:pPr>
        <w:spacing w:after="80"/>
      </w:pPr>
      <w:r>
        <w:t xml:space="preserve"/>
      </w:r>
    </w:p>
    <w:p>
      <w:pPr>
        <w:pStyle w:val="Heading2"/>
      </w:pPr>
      <w:r>
        <w:t xml:space="preserve">Additional 2024 NCCIH Meeting Presenters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Keynote speaker. Cannabis safety/efficacy overview. Endocannabinoid system pioneer.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UC Irvine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Collaborative hops terpene program.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See above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CBD mechanisms using PET/CT imaging. CBD binding to 5-HT1A.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3,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NYU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Terpene research program.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Oregon State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Brain imaging (ERP) studies of THC and CBD effects.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CU Boulder</w:t>
            </w:r>
          </w:p>
        </w:tc>
      </w:tr>
    </w:tbl>
    <w:p>
      <w:pPr>
        <w:spacing w:after="80"/>
      </w:pPr>
      <w:r>
        <w:t xml:space="preserve"/>
      </w:r>
    </w:p>
    <w:p>
      <w:r>
        <w:br w:type="page"/>
      </w:r>
    </w:p>
    <w:p>
      <w:pPr>
        <w:pStyle w:val="Heading1"/>
      </w:pPr>
      <w:r>
        <w:t xml:space="preserve">4. Tier 3 — Adjacent Domains</w:t>
      </w:r>
    </w:p>
    <w:p>
      <w:r>
        <w:t xml:space="preserve">These researchers work in aromatherapy, forest medicine, heteromer biology, and related fields. Their inclusion validates the cross-disciplinary thesis of the publication series.</w:t>
      </w:r>
    </w:p>
    <w:p>
      <w:pPr>
        <w:spacing w:after="80"/>
      </w:pPr>
      <w:r>
        <w:t xml:space="preserve"/>
      </w:r>
    </w:p>
    <w:p>
      <w:pPr>
        <w:pStyle w:val="Heading2"/>
      </w:pPr>
      <w:r>
        <w:t xml:space="preserve">4A. Aromatherapy &amp; Forest Medicine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Pioneer of forest bathing/shinrin-yoku. NK cell + phytoncide immunology program (2006–2025). Author of research program on α-pinene/d-limonene inhalation effects on immune function.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(lead)
Art. 4</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Nippon Medical School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Rosemary/1,8-cineole cognition research (2003–2025). fNIRS brain metabolism study. Ambient terpene exposure paradigm.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Northumbria University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Silexan (oral lavender/linalool) clinical trial program. Gold-standard anxiolytic RCTs. Superior to placebo, comparable to sertraline and lorazepam.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(lead)
Art.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Medical University of Vienna</w:t>
            </w:r>
          </w:p>
        </w:tc>
      </w:tr>
    </w:tbl>
    <w:p>
      <w:pPr>
        <w:spacing w:after="80"/>
      </w:pPr>
      <w:r>
        <w:t xml:space="preserve"/>
      </w:r>
    </w:p>
    <w:p>
      <w:pPr>
        <w:pStyle w:val="Heading2"/>
      </w:pPr>
      <w:r>
        <w:t xml:space="preserve">4B. GPCR Heteromer Biology</w:t>
      </w:r>
    </w:p>
    <w:p>
      <w:r>
        <w:t xml:space="preserve">The A2a receptor mechanism discovered by Streicher’s lab connects terpene pharmacology to GPCR heteromer biology. These researchers characterize the receptor complexes that may mediate terpene effects.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A2a-CB1 heteromer architecture and signaling. Definitive structural characterization of adenosine-cannabinoid receptor complexes.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NIDA Intramural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A2a-CB1 heterotetramer characterization. Functional studies in neuronal preparations.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Univ. of Coimbra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Hippocampal A2a-CB1 heteromers. CBD mechanism through heteromer modulation.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IDIBELL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A2A-CB2 heteromer allosteric modulation (BJP 2025). Interface-switching and allosteric gating mechanisms. Molecular Neuropharmacology Group.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UB Faculty of Pharmacy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Molecular dynamics of heteromer interfaces. Co-authored A2A-CB2 allosterism paper (BJP 2025).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UAB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GPCR heteromerization pioneer. A2A-D2 structural models. Founded much of the heteromer field.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UB Biochemistry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GPCR heteroreceptor complexes in brain disorders. Allosteric receptor-receptor interactions. A2A-D2 interface mapping.</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Karolinska Neuroscience</w:t>
            </w:r>
          </w:p>
        </w:tc>
      </w:tr>
    </w:tbl>
    <w:p>
      <w:pPr>
        <w:spacing w:after="80"/>
      </w:pPr>
      <w:r>
        <w:t xml:space="preserve"/>
      </w:r>
    </w:p>
    <w:p>
      <w:r>
        <w:br w:type="page"/>
      </w:r>
    </w:p>
    <w:p>
      <w:pPr>
        <w:pStyle w:val="Heading1"/>
      </w:pPr>
      <w:r>
        <w:t xml:space="preserve">5. Tier 4 — Newly Identified Researchers</w:t>
      </w:r>
    </w:p>
    <w:p>
      <w:pPr>
        <w:spacing w:after="80"/>
      </w:pPr>
      <w:r>
        <w:t xml:space="preserve"/>
      </w:r>
    </w:p>
    <w:p>
      <w:pPr>
        <w:pStyle w:val="Heading2"/>
      </w:pPr>
      <w:r>
        <w:t xml:space="preserve">5A. Lambert Initiative (University of Sydney)</w:t>
      </w:r>
    </w:p>
    <w:p>
      <w:r>
        <w:t xml:space="preserve">Vandrey specifically mentioned the Lambert Initiative as collaborators. Their finding that terpenes do NOT modulate cannabinoid activity at CB1/CB2/TRPV1/TRPA1 is critical counterevidence that strengthens the case for alternative mechanisms (A2a, GABAergic, etc.).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NHMRC Principal Research Fellow. Leads Lambert Initiative. CBN sleep research, Tourette syndrome CBD/THC trial (NEJM Evidence 2024).</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iain.mcgregor@sydney.edu.au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Cannabinoid pharmacology. Co-authored terpene-CB1/CB2 non-interaction findings. Critical for balanced mechanistic discussion.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jonathon.arnold@sydney.edu.au</w:t>
            </w:r>
          </w:p>
        </w:tc>
      </w:tr>
    </w:tbl>
    <w:p>
      <w:pPr>
        <w:spacing w:after="80"/>
      </w:pPr>
      <w:r>
        <w:t xml:space="preserve"/>
      </w:r>
    </w:p>
    <w:p>
      <w:pPr>
        <w:pStyle w:val="Heading2"/>
      </w:pPr>
      <w:r>
        <w:t xml:space="preserve">5B. Cannabinoid Pharmacology Pioneers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Author of seminal β-caryophyllene CB2 paper (PNAS 2008). Now studying endocannabinoid transporters. Co-founder Synendos Therapeutics.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Univ. of Bern
gertschlab.com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Largest academic cannabis lab (44 researchers). GC-MS terpene/flavonoid profiling. Cancer biology + natural drug discovery. CSO CannaSoul Analytics.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meirilab@technion.ac.il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 years in cannabis pharmacology. Co-discovered anandamide. Allosteric CB1 modulation. Recent phytocannabinoid beyond-CB1 work.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Aberdeen IMS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President, Spanish Cannabinoid Research Society. Endocannabinoid system in cancer. 20+ years cannabinoid antitumor research.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cristina.sanchez@quim.ucm.es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$1.9M NIH grant for cannabis in neuropathic pain. PK-PD modeling. Founded Cannify.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linda@cannify.us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Endocannabinoid system pioneer. NCCIH 2024 keynote. Cannabis safety/efficacy.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UC Irvine</w:t>
            </w:r>
          </w:p>
        </w:tc>
      </w:tr>
    </w:tbl>
    <w:p>
      <w:pPr>
        <w:spacing w:after="80"/>
      </w:pPr>
      <w:r>
        <w:t xml:space="preserve"/>
      </w:r>
    </w:p>
    <w:p>
      <w:pPr>
        <w:pStyle w:val="Heading2"/>
      </w:pPr>
      <w:r>
        <w:t xml:space="preserve">5C. Bioavailability &amp; Analytical Chemistry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Developed validated method for quantifying 7 terpenes in human serum (HS-SPME-GC-MS/MS). Environmental Science &amp; Technology 2020.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lsilva@cdc.gov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Terpene bioavailability studies in humans (Mastiha). Plasma kinetics of monoterpenes. UHPLC-HRMS/MS.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Harokopio University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Co-author on Spindle 2024. Terpene/cannabinoid bioanalytical methods. LC-MS/MS expertise.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 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UC Anschutz</w:t>
            </w:r>
          </w:p>
        </w:tc>
      </w:tr>
    </w:tbl>
    <w:p>
      <w:pPr>
        <w:spacing w:after="80"/>
      </w:pPr>
      <w:r>
        <w:t xml:space="preserve"/>
      </w:r>
    </w:p>
    <w:p>
      <w:pPr>
        <w:pStyle w:val="Heading2"/>
      </w:pPr>
      <w:r>
        <w:t xml:space="preserve">5D. Streicher Lab Alumni (Early-Career)</w:t>
      </w:r>
    </w:p>
    <w:p>
      <w:r>
        <w:t xml:space="preserve">These early-career researchers are potential co-authors who may be motivated by the publication opportunity and have direct expertise in the A2a-terpene mechanism.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 / Institution</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 Focus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 Fit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First author on PAIN 2024 A2a mechanism paper. Characterized spinal cord A2a pathway for terpene antinociception.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UA alumni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author on fibromyalgia/post-operative extension (Seekins 2025). Extended A2a mechanism to additional pain models.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Via UA College of Medicine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r>
              <w:rPr>
                <w:rFonts w:ascii="Arial" w:cs="Arial" w:eastAsia="Arial" w:hAnsi="Arial"/>
                <w:sz w:val="18"/>
                <w:szCs w:val="18"/>
              </w:rPr>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First author on the foundational cannabimimetic terpene paper (Scientific Reports 2021).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 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Via LinkedIn/professional networks</w:t>
            </w:r>
          </w:p>
        </w:tc>
      </w:tr>
    </w:tbl>
    <w:p>
      <w:pPr>
        <w:spacing w:after="80"/>
      </w:pPr>
      <w:r>
        <w:t xml:space="preserve"/>
      </w:r>
    </w:p>
    <w:p>
      <w:r>
        <w:br w:type="page"/>
      </w:r>
    </w:p>
    <w:p>
      <w:pPr>
        <w:pStyle w:val="Heading1"/>
      </w:pPr>
      <w:r>
        <w:t xml:space="preserve">6. Article-to-Researcher Mapping</w:t>
      </w:r>
    </w:p>
    <w:p>
      <w:r>
        <w:t xml:space="preserve">This section maps each planned article to the researchers who would add the most value as co-authors, advisors, or reviewers.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Article</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Key Researchers &amp; Rationale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 1 (BJP)
Submitted</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Russo (entourage concept authority)
Streicher (A2a mechanism evidence)</w:t>
            </w:r>
            <w:r>
              <w:rPr>
                <w:rFonts w:ascii="Arial" w:cs="Arial" w:eastAsia="Arial" w:hAnsi="Arial"/>
                <w:sz w:val="18"/>
                <w:szCs w:val="18"/>
              </w:rPr>
              <w:t xml:space="preserve">
</w:t>
            </w:r>
            <w:r>
              <w:rPr>
                <w:rFonts w:ascii="Arial" w:cs="Arial" w:eastAsia="Arial" w:hAnsi="Arial"/>
                <w:i/>
                <w:iCs/>
                <w:sz w:val="18"/>
                <w:szCs w:val="18"/>
              </w:rPr>
              <w:t xml:space="preserve">Already submitted. Consider adding co-authors if revisions requested.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Article 2
Pharmacological Reviews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targets: Streicher, Russo, Kasper, Li, Ferré
Strong fits: Spindle, Vandrey, Cooper, Wiley, Ward, Arnold, Gertsch, Schwarz, Seekins
Heteromer: Navarro, Kőfalvi, Aso, Franco</w:t>
            </w:r>
            <w:r>
              <w:rPr>
                <w:rFonts w:ascii="Arial" w:cs="Arial" w:eastAsia="Arial" w:hAnsi="Arial"/>
                <w:sz w:val="18"/>
                <w:szCs w:val="18"/>
              </w:rPr>
              <w:t xml:space="preserve">
</w:t>
            </w:r>
            <w:r>
              <w:rPr>
                <w:rFonts w:ascii="Arial" w:cs="Arial" w:eastAsia="Arial" w:hAnsi="Arial"/>
                <w:i/>
                <w:iCs/>
                <w:sz w:val="18"/>
                <w:szCs w:val="18"/>
              </w:rPr>
              <w:t xml:space="preserve">Anchor piece. Streicher and Russo as co-authors would add enormous credibility. Ferré validates the A2a-CB1 heteromer connection. Kasper and Li bridge aromatherapy/forest medicine.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 3
Network Pharmacology</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Primary: Ferré, Navarro, Franco, Chiu
Supporting: Sarlah, Dedi Meiri, Borroto-Escuela, Llinas del Torrent, Kőfalvi, Aso</w:t>
            </w:r>
            <w:r>
              <w:rPr>
                <w:rFonts w:ascii="Arial" w:cs="Arial" w:eastAsia="Arial" w:hAnsi="Arial"/>
                <w:sz w:val="18"/>
                <w:szCs w:val="18"/>
              </w:rPr>
              <w:t xml:space="preserve">
</w:t>
            </w:r>
            <w:r>
              <w:rPr>
                <w:rFonts w:ascii="Arial" w:cs="Arial" w:eastAsia="Arial" w:hAnsi="Arial"/>
                <w:i/>
                <w:iCs/>
                <w:sz w:val="18"/>
                <w:szCs w:val="18"/>
              </w:rPr>
              <w:t xml:space="preserve">Computational/systems focus. Barcelona heteromer group (Navarro/Franco) and Ferré are natural fits. Chiu for neuroimmune network modeling.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Article 4
Ethnopharmacology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Russo, Quave, Li, Moss
Supporting: Gertsch</w:t>
            </w:r>
            <w:r>
              <w:rPr>
                <w:rFonts w:ascii="Arial" w:cs="Arial" w:eastAsia="Arial" w:hAnsi="Arial"/>
                <w:sz w:val="18"/>
                <w:szCs w:val="18"/>
              </w:rPr>
              <w:t xml:space="preserve">
</w:t>
            </w:r>
            <w:r>
              <w:rPr>
                <w:rFonts w:ascii="Arial" w:cs="Arial" w:eastAsia="Arial" w:hAnsi="Arial"/>
                <w:i/>
                <w:iCs/>
                <w:sz w:val="18"/>
                <w:szCs w:val="18"/>
              </w:rPr>
              <w:t xml:space="preserve">Traditional knowledge integration. Russo’s ethnobotanical background is ideal. Quave bridges hops-cannabis terpenes. Li brings forest medicine. Moss provides aromatherapy clinical evidence.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 5
Translational Review</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Primary: Spindle, Vandrey, Cooper, Kasper, Klumpers
Supporting: Silva, Papada, Sempio, Wiley, Ward, McGregor</w:t>
            </w:r>
            <w:r>
              <w:rPr>
                <w:rFonts w:ascii="Arial" w:cs="Arial" w:eastAsia="Arial" w:hAnsi="Arial"/>
                <w:sz w:val="18"/>
                <w:szCs w:val="18"/>
              </w:rPr>
              <w:t xml:space="preserve">
</w:t>
            </w:r>
            <w:r>
              <w:rPr>
                <w:rFonts w:ascii="Arial" w:cs="Arial" w:eastAsia="Arial" w:hAnsi="Arial"/>
                <w:i/>
                <w:iCs/>
                <w:sz w:val="18"/>
                <w:szCs w:val="18"/>
              </w:rPr>
              <w:t xml:space="preserve">Clinical and regulatory focus. Spindle/Vandrey led first human trial. Kasper has gold-standard RCT data. Cooper is running the key NCCIH terpene trials.</w:t>
            </w:r>
          </w:p>
        </w:tc>
      </w:tr>
    </w:tbl>
    <w:p>
      <w:pPr>
        <w:spacing w:after="80"/>
      </w:pPr>
      <w:r>
        <w:t xml:space="preserve"/>
      </w:r>
    </w:p>
    <w:p>
      <w:r>
        <w:br w:type="page"/>
      </w:r>
    </w:p>
    <w:p>
      <w:pPr>
        <w:pStyle w:val="Heading1"/>
      </w:pPr>
      <w:r>
        <w:t xml:space="preserve">7. Conflict of Interest Analysis</w:t>
      </w:r>
    </w:p>
    <w:p>
      <w:r>
        <w:t xml:space="preserve">Academic journals require full COI disclosure. The following analysis maps known industry ties that should be considered when selecting co-authors and when preparing COI statements.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Known Industry Ties &amp; COI Considerations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John Streicher</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Consults for Napreva. Equity in Botanical Results &amp; Teleport Pharmaceuticals. All terpene-related — requires full disclosure but strengthens commercial translation narrative.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Ethan Russo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Founder/CEO of CReDO Science. Scientific adviser to True Terpenes. Long history of industry consulting. High-profile COI but also highest-profile entourage authority.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Ryan Vandrey</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Consultant for Jazz Pharma, Charlotte’s Web, and others. Industry ties are standard for senior cannabis pharmacologists. Not disqualifying.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Tory Spindle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Patent filed PCT/US2022/014296 (limonene-THC). IP interest in research outcomes. Standard in academic pharma.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Dedi Meiri</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CSO of CannaSoul Analytics. Industry ties to Eybna Technologies (terpene R&amp;D). Israeli cannabis sector connections.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Jürg Gertsch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Co-founder and SAB member, Synendos Therapeutics AG (endocannabinoid transporter). Equity interest.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Linda Klumpers</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Founded Cannify (cannabis education platform). Consultant for Verdient Science.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Ferré (NIH intramural), Mackie (academic), Arnold &amp; McGregor (Lambert — academic), Navarro/Franco (academic), Quave (academic), Li (academic), Moss (academic), Kasper (academic, though Silexan is a Schwabe product).</w:t>
            </w:r>
          </w:p>
        </w:tc>
      </w:tr>
    </w:tbl>
    <w:p>
      <w:pPr>
        <w:spacing w:after="80"/>
      </w:pPr>
      <w:r>
        <w:t xml:space="preserve"/>
      </w:r>
    </w:p>
    <w:p>
      <w:r>
        <w:br w:type="page"/>
      </w:r>
    </w:p>
    <w:p>
      <w:pPr>
        <w:pStyle w:val="Heading1"/>
      </w:pPr>
      <w:r>
        <w:t xml:space="preserve">8. Outreach Strategy &amp; Prioritized Contact Plan</w:t>
      </w:r>
    </w:p>
    <w:p>
      <w:pPr>
        <w:spacing w:after="80"/>
      </w:pPr>
      <w:r>
        <w:t xml:space="preserve"/>
      </w:r>
    </w:p>
    <w:p>
      <w:pPr>
        <w:pStyle w:val="Heading2"/>
      </w:pPr>
      <w:r>
        <w:t xml:space="preserve">8A. Outreach Principles</w:t>
      </w:r>
    </w:p>
    <w:p>
      <w:pPr>
        <w:spacing w:after="80"/>
      </w:pPr>
      <w:r>
        <w:t xml:space="preserve"/>
      </w:r>
    </w:p>
    <w:p>
      <w:pPr>
        <w:spacing w:after="120"/>
      </w:pPr>
      <w:r/>
      <w:r/>
    </w:p>
    <w:p>
      <w:pPr>
        <w:spacing w:after="120"/>
      </w:pPr>
      <w:r/>
      <w:r/>
    </w:p>
    <w:p>
      <w:pPr>
        <w:spacing w:after="120"/>
      </w:pPr>
      <w:r/>
      <w:r/>
    </w:p>
    <w:p>
      <w:pPr>
        <w:spacing w:after="120"/>
      </w:pPr>
      <w:r/>
      <w:r/>
    </w:p>
    <w:p>
      <w:pPr>
        <w:spacing w:after="120"/>
      </w:pPr>
      <w:r/>
      <w:r/>
    </w:p>
    <w:p>
      <w:pPr>
        <w:spacing w:after="120"/>
      </w:pPr>
      <w:r/>
      <w:r/>
    </w:p>
    <w:p>
      <w:pPr>
        <w:spacing w:after="80"/>
      </w:pPr>
      <w:r>
        <w:t xml:space="preserve"/>
      </w:r>
    </w:p>
    <w:p>
      <w:pPr>
        <w:pStyle w:val="Heading2"/>
      </w:pPr>
      <w:r>
        <w:t xml:space="preserve">8B. Prioritized Outreach Sequence</w:t>
      </w:r>
    </w:p>
    <w:p>
      <w:r>
        <w:t xml:space="preserve">The following sequence is ordered by strategic importance and time-sensitivity.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Action Plan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Phase 1 (Weeks 1–2)
Foundation Partners</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 John Streicher — His A2a mechanism is the scientific backbone of Articles 2–3. Request a call to discuss co-authorship on the Pharmacological Reviews piece. Mention his R01AT011517 and how your review contextualizes his findings within the broader terpene pharmacology literature.
2. Ethan Russo — The “Taming THC” author is the natural co-author for Article 2 and potential Article 4. His name on the masthead signals legitimacy to the entire field. Lead with how your synthesis extends his 2011 framework with 13 years of new evidence.
3. Sergi Ferré — His A2a-CB1 heteromer work provides the molecular architecture for Streicher’s terpene mechanism. Request input on Article 2’s receptor pharmacology sections and potential co-authorship on Article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2 (Weeks 3–4)
Clinical Evidence Anchors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Tory Spindle / Ryan Vandrey — Approach together (same institution). Their Spindle 2024 trial is the clinical proof point. Co-authorship on Article 5 (translational review) is the natural ask.
5. Siegfried Kasper — Silexan RCT program is the gold-standard aromatherapy evidence. His involvement in Article 2 bridges the cannabis-aromatherapy divide. Email in English; his published work is international.
6. Qing Li — Forest medicine pioneer. His NK cell/phytoncide work is the third pillar of the unified framework. Co-authorship on Article 2 and potential Article 4.</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Phase 3 (Weeks 5–6)
NCCIH Network</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 Ziva Cooper — Her active myrcene/BCP trial (R01-AT010762) will generate data directly relevant to Articles 2 and 5. Approach with specific reference to her June 4 presentation.
8. Cassandra Quave + Isaac Chiu — Their hops terpene program uniquely bridges botanical and neuroscience approaches. Natural fit for Articles 2 and 4.
9. Sara Jane Ward — Her sex-differentiated terpene findings add an important dimension to Article 2.
10. Jenny Wiley — Her systematic terpene evaluation at RTI is directly complementary.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Phase 4 (Weeks 7–8)
Heteromer &amp; International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 Gemma Navarro / Rafael Franco (Barcelona) — Their 2025 BJP paper on A2A-CB2 allosterism is cutting-edge. Natural co-authors for Article 3.
12. Lambert Initiative (McGregor / Arnold) — Their negative CB1/CB2 findings actually strengthen the case for alternative mechanisms. Important for balanced Article 2 discussion.
13. Jürg Gertsch — β-caryophyllene CB2 pioneer. His current endocannabinoid transporter work may intersect. Advisory role for Article 2.
14. Antonio Kőfalvi / Ester Aso — Heteromer specialists. Advisory or co-author on Article 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Phase 5 (Ongoing)
Early Career &amp; Reviewers</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15–17. Schwarz, Seekins, LaVigne — Streicher lab alumni. Approach after Streicher relationship is established. They may be eager for co-authorship opportunities.
18–20. Reviewer targets: Kenneth Mackie, Daniele Piomelli, Roger Pertwee — these senior figures are better positioned as sympathetic peer reviewers. Do NOT approach as co-authors; instead, build awareness so editors consider them as reviewers.</w:t>
            </w:r>
          </w:p>
        </w:tc>
      </w:tr>
    </w:tbl>
    <w:p>
      <w:pPr>
        <w:spacing w:after="80"/>
      </w:pPr>
      <w:r>
        <w:t xml:space="preserve"/>
      </w:r>
    </w:p>
    <w:p>
      <w:r>
        <w:br w:type="page"/>
      </w:r>
    </w:p>
    <w:p>
      <w:pPr>
        <w:pStyle w:val="Heading1"/>
      </w:pPr>
      <w:r>
        <w:t xml:space="preserve">9. Reviewer vs. Co-Author Strategy</w:t>
      </w:r>
    </w:p>
    <w:p>
      <w:r>
        <w:t xml:space="preserve">Some researchers are more valuable as sympathetic peer reviewers than as co-authors. This distinction matters for journal 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Researchers &amp; Rationale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Streicher (A2a mechanism), Russo (entourage framework), Ferré (heteromer architecture), Spindle/Vandrey (clinical evidence), Kasper (Silexan RCTs), Li (forest medicine), Cooper (active terpene trials), Schwarz/Seekins (bench data). These researchers have data or frameworks that directly strengthen specific articles.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Gertsch (CB2/BCP authority), Navarro/Franco (heteromer modeling), Quave/Chiu (hops-cannabis bridge), Arnold/McGregor (critical counterevidence). These researchers add credibility through advisory input without needing to generate new content.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Mackie (IUPHAR authority, likely editor-suggested), Piomelli (endocannabinoid pioneer), Pertwee (living legend, emeritus), Vrana/Sarlah (NCCIH-funded but less central). Build awareness of your work so they arrive at review positively predisposed. Do NOT contact directly about reviewing — that’s the editor’s role.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Ward, Rawls, Land, Bidwell, Stevens, Ding. Cite their NCCIH-funded work prominently in your articles. This creates goodwill and increases the chance they’ll be receptive if asked to review.</w:t>
            </w:r>
          </w:p>
        </w:tc>
      </w:tr>
    </w:tbl>
    <w:p>
      <w:pPr>
        <w:spacing w:after="80"/>
      </w:pPr>
      <w:r>
        <w:t xml:space="preserve"/>
      </w:r>
    </w:p>
    <w:p>
      <w:r>
        <w:br w:type="page"/>
      </w:r>
    </w:p>
    <w:p>
      <w:pPr>
        <w:pStyle w:val="Heading1"/>
      </w:pPr>
      <w:r>
        <w:t xml:space="preserve">10. Outreach Email Templates</w:t>
      </w:r>
    </w:p>
    <w:p>
      <w:pPr>
        <w:spacing w:after="80"/>
      </w:pPr>
      <w:r>
        <w:t xml:space="preserve"/>
      </w:r>
    </w:p>
    <w:p>
      <w:pPr>
        <w:pStyle w:val="Heading2"/>
      </w:pPr>
      <w:r>
        <w:t xml:space="preserve">Template A: Tier 1 Co-Author Request</w:t>
      </w:r>
    </w:p>
    <w:p>
      <w:pPr>
        <w:spacing w:after="80"/>
      </w:pPr>
      <w:r>
        <w:t xml:space="preserve"/>
      </w:r>
    </w:p>
    <w:p>
      <w:r/>
      <w:r/>
    </w:p>
    <w:p>
      <w:pPr>
        <w:spacing w:after="80"/>
      </w:pPr>
      <w:r>
        <w:t xml:space="preserve"/>
      </w:r>
    </w:p>
    <w:p>
      <w:r>
        <w:t xml:space="preserve">Dear Dr. [Name],</w:t>
      </w:r>
    </w:p>
    <w:p>
      <w:pPr>
        <w:spacing w:after="80"/>
      </w:pPr>
      <w:r>
        <w:t xml:space="preserve"/>
      </w:r>
    </w:p>
    <w:p>
      <w:r>
        <w:t xml:space="preserve">I’m an independent researcher preparing a comprehensive review for Pharmacological Reviews on unified terpene pharmacology — a synthesis that bridges cannabis pharmacology, clinical aromatherapy, and forest medicine research into a single mechanistic framework.</w:t>
      </w:r>
    </w:p>
    <w:p>
      <w:pPr>
        <w:spacing w:after="80"/>
      </w:pPr>
      <w:r>
        <w:t xml:space="preserve"/>
      </w:r>
    </w:p>
    <w:p>
      <w:r>
        <w:t xml:space="preserve">Your work on [specific research, e.g., “the A2a receptor mechanism for terpene antinociception”] is foundational to this synthesis. I’ve compiled a comprehensive evidence base that contextualizes your findings within the broader terpene pharmacology literature, and I believe your expertise would substantially strengthen the review.</w:t>
      </w:r>
    </w:p>
    <w:p>
      <w:pPr>
        <w:spacing w:after="80"/>
      </w:pPr>
      <w:r>
        <w:t xml:space="preserve"/>
      </w:r>
    </w:p>
    <w:p>
      <w:r>
        <w:t xml:space="preserve">I’d welcome the opportunity to discuss potential co-authorship. I’ve attached a summary of the evidence base and article outline. Would you have 30 minutes for a call in the coming weeks?</w:t>
      </w:r>
    </w:p>
    <w:p>
      <w:pPr>
        <w:spacing w:after="80"/>
      </w:pPr>
      <w:r>
        <w:t xml:space="preserve"/>
      </w:r>
    </w:p>
    <w:p>
      <w:r>
        <w:t xml:space="preserve">Best regards,</w:t>
      </w:r>
    </w:p>
    <w:p>
      <w:r>
        <w:t xml:space="preserve">Charles Pelletier-Gagné</w:t>
      </w:r>
    </w:p>
    <w:p>
      <w:r>
        <w:t xml:space="preserve">Independent Researcher, Sebastopol, CA</w:t>
      </w:r>
    </w:p>
    <w:p>
      <w:pPr>
        <w:spacing w:after="80"/>
      </w:pPr>
      <w:r>
        <w:t xml:space="preserve"/>
      </w:r>
    </w:p>
    <w:p>
      <w:pPr>
        <w:spacing w:after="80"/>
      </w:pPr>
      <w:r>
        <w:t xml:space="preserve"/>
      </w:r>
    </w:p>
    <w:p>
      <w:pPr>
        <w:pStyle w:val="Heading2"/>
      </w:pPr>
      <w:r>
        <w:t xml:space="preserve">Template B: NCCIH Network Outreach</w:t>
      </w:r>
    </w:p>
    <w:p>
      <w:pPr>
        <w:spacing w:after="80"/>
      </w:pPr>
      <w:r>
        <w:t xml:space="preserve"/>
      </w:r>
    </w:p>
    <w:p>
      <w:r/>
      <w:r/>
    </w:p>
    <w:p>
      <w:pPr>
        <w:spacing w:after="80"/>
      </w:pPr>
      <w:r>
        <w:t xml:space="preserve"/>
      </w:r>
    </w:p>
    <w:p>
      <w:r>
        <w:t xml:space="preserve">Dear Dr. [Name],</w:t>
      </w:r>
    </w:p>
    <w:p>
      <w:pPr>
        <w:spacing w:after="80"/>
      </w:pPr>
      <w:r>
        <w:t xml:space="preserve"/>
      </w:r>
    </w:p>
    <w:p>
      <w:r>
        <w:t xml:space="preserve">I was struck by your presentation at the June 4, 2024 NCCIH annual meeting on [specific topic]. I’m preparing a series of academic articles on unified terpene pharmacology, and your work on [specific findings] directly informs the [mechanistic/clinical/translational] discussion.</w:t>
      </w:r>
    </w:p>
    <w:p>
      <w:pPr>
        <w:spacing w:after="80"/>
      </w:pPr>
      <w:r>
        <w:t xml:space="preserve"/>
      </w:r>
    </w:p>
    <w:p>
      <w:r>
        <w:t xml:space="preserve">The review I’m developing for [target journal] synthesizes evidence across traditionally siloed fields — cannabis pharmacology, aromatherapy clinical trials, and forest medicine immunology — to demonstrate that these disciplines are studying the same molecules through the same mechanisms. Your [specific contribution] is a key piece of this synthesis.</w:t>
      </w:r>
    </w:p>
    <w:p>
      <w:pPr>
        <w:spacing w:after="80"/>
      </w:pPr>
      <w:r>
        <w:t xml:space="preserve"/>
      </w:r>
    </w:p>
    <w:p>
      <w:r>
        <w:t xml:space="preserve">Would you be open to discussing an advisory or co-authorship role? I’d value your input on [specific section/question].</w:t>
      </w:r>
    </w:p>
    <w:p>
      <w:pPr>
        <w:spacing w:after="80"/>
      </w:pPr>
      <w:r>
        <w:t xml:space="preserve"/>
      </w:r>
    </w:p>
    <w:p>
      <w:r>
        <w:t xml:space="preserve">Best regards,</w:t>
      </w:r>
    </w:p>
    <w:p>
      <w:r>
        <w:t xml:space="preserve">Charles Pelletier-Gagné</w:t>
      </w:r>
    </w:p>
    <w:p>
      <w:pPr>
        <w:spacing w:after="80"/>
      </w:pPr>
      <w:r>
        <w:t xml:space="preserve"/>
      </w:r>
    </w:p>
    <w:p>
      <w:pPr>
        <w:spacing w:after="80"/>
      </w:pPr>
      <w:r>
        <w:t xml:space="preserve"/>
      </w:r>
    </w:p>
    <w:p>
      <w:pPr>
        <w:pStyle w:val="Heading2"/>
      </w:pPr>
      <w:r>
        <w:t xml:space="preserve">Template C: International Researcher</w:t>
      </w:r>
    </w:p>
    <w:p>
      <w:pPr>
        <w:spacing w:after="80"/>
      </w:pPr>
      <w:r>
        <w:t xml:space="preserve"/>
      </w:r>
    </w:p>
    <w:p>
      <w:r/>
      <w:r/>
    </w:p>
    <w:p>
      <w:pPr>
        <w:spacing w:after="80"/>
      </w:pPr>
      <w:r>
        <w:t xml:space="preserve"/>
      </w:r>
    </w:p>
    <w:p>
      <w:r>
        <w:t xml:space="preserve">Dear [Professor/Dr.] [Name],</w:t>
      </w:r>
    </w:p>
    <w:p>
      <w:pPr>
        <w:spacing w:after="80"/>
      </w:pPr>
      <w:r>
        <w:t xml:space="preserve"/>
      </w:r>
    </w:p>
    <w:p>
      <w:r>
        <w:t xml:space="preserve">Your research program on [specific area] represents a critical body of evidence that is, I believe, underappreciated in cannabis pharmacology circles. I’m preparing a comprehensive review for Pharmacological Reviews that explicitly bridges your field with cannabis terpene science and other domains — demonstrating that α-pinene, limonene, linalool, and β-caryophyllene operate through the same mechanisms regardless of whether they arrive via cannabis, essential oils, or forest air.</w:t>
      </w:r>
    </w:p>
    <w:p>
      <w:pPr>
        <w:spacing w:after="80"/>
      </w:pPr>
      <w:r>
        <w:t xml:space="preserve"/>
      </w:r>
    </w:p>
    <w:p>
      <w:r>
        <w:t xml:space="preserve">Your [specific findings, e.g., “NK cell activation by phytoncide exposure”] would be featured prominently. I’d be honored to discuss how your work fits within this unified framework and whether you’d be interested in a co-authorship or advisory role.</w:t>
      </w:r>
    </w:p>
    <w:p>
      <w:pPr>
        <w:spacing w:after="80"/>
      </w:pPr>
      <w:r>
        <w:t xml:space="preserve"/>
      </w:r>
    </w:p>
    <w:p>
      <w:r>
        <w:t xml:space="preserve">Best regards,</w:t>
      </w:r>
    </w:p>
    <w:p>
      <w:r>
        <w:t xml:space="preserve">Charles Pelletier-Gagné</w:t>
      </w:r>
    </w:p>
    <w:p>
      <w:pPr>
        <w:spacing w:after="80"/>
      </w:pPr>
      <w:r>
        <w:t xml:space="preserve"/>
      </w:r>
    </w:p>
    <w:p>
      <w:r>
        <w:br w:type="page"/>
      </w:r>
    </w:p>
    <w:p>
      <w:pPr>
        <w:pStyle w:val="Heading1"/>
      </w:pPr>
      <w:r>
        <w:t xml:space="preserve">11.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Total researchers identified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Tier 1 (co-author priority)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Tier 2 (NCCIH network)</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Tier 3 (adjacent domains)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Tier 4 (newly identified)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Early-career targets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Countries represented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 (US, UK, Austria, Japan, Israel, Spain, Portugal, Sweden)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NCCIH terpene grants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 (~$3M total)</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Outreach phases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 (8–10 weeks)</w:t>
            </w:r>
          </w:p>
        </w:tc>
      </w:tr>
    </w:tbl>
    <w:p>
      <w:pPr>
        <w:spacing w:after="80"/>
      </w:pPr>
      <w:r>
        <w:t xml:space="preserve"/>
      </w:r>
    </w:p>
    <w:p>
      <w:r/>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Researcher Target List &amp; Outreach Strategy</w:t>
    </w:r>
    <w:r>
      <w:rPr>
        <w:rFonts w:ascii="Arial" w:cs="Arial" w:eastAsia="Arial" w:hAnsi="Arial"/>
        <w:color w:val="888888"/>
        <w:sz w:val="16"/>
        <w:szCs w:val="16"/>
      </w:rPr>
      <w:t xml:space="preserve">	Pelletier-Gagné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2026-02-20T08:05:29.899Z</dcterms:created>
  <dcterms:modified xsi:type="dcterms:W3CDTF">2026-02-20T08:05:29.899Z</dcterms:modified>
</cp:coreProperties>
</file>

<file path=docProps/custom.xml><?xml version="1.0" encoding="utf-8"?>
<Properties xmlns="http://schemas.openxmlformats.org/officeDocument/2006/custom-properties" xmlns:vt="http://schemas.openxmlformats.org/officeDocument/2006/docPropsVTypes"/>
</file>