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201" w:name="X185b87fc9aa9d8513f073abad8f5e73bc465db8"/>
    <w:p>
      <w:pPr>
        <w:pStyle w:val="Heading1"/>
      </w:pPr>
      <w:r>
        <w:t xml:space="preserve">COMPREHENSIVE β-CARYOPHYLLENE (BCP) MONOGRAPH</w:t>
      </w:r>
    </w:p>
    <w:bookmarkStart w:id="9" w:name="Xe3d73eff7aec7cf52455ea1bfc82c1becd8e922"/>
    <w:p>
      <w:pPr>
        <w:pStyle w:val="Heading3"/>
      </w:pPr>
      <w:r>
        <w:t xml:space="preserve">Research Report for Terpene Pre-Loading Project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March 15, 2026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15 comprehensive research domains</w:t>
      </w:r>
      <w:r>
        <w:br/>
      </w:r>
      <w:r>
        <w:rPr>
          <w:b/>
          <w:bCs/>
        </w:rPr>
        <w:t xml:space="preserve">Total Sources:</w:t>
      </w:r>
      <w:r>
        <w:t xml:space="preserve"> </w:t>
      </w:r>
      <w:r>
        <w:t xml:space="preserve">100+ peer-reviewed studies, industry sources, and scientific databases</w:t>
      </w:r>
      <w:r>
        <w:br/>
      </w:r>
      <w:r>
        <w:rPr>
          <w:b/>
          <w:bCs/>
        </w:rPr>
        <w:t xml:space="preserve">Publication Quality:</w:t>
      </w:r>
      <w:r>
        <w:t xml:space="preserve"> </w:t>
      </w:r>
      <w:r>
        <w:t xml:space="preserve">Full citation support with author, year, journal, and numerical data</w:t>
      </w:r>
    </w:p>
    <w:p>
      <w:r>
        <w:pict>
          <v:rect style="width:0;height:1.5pt" o:hralign="center" o:hrstd="t" o:hr="t"/>
        </w:pict>
      </w:r>
    </w:p>
    <w:bookmarkEnd w:id="9"/>
    <w:bookmarkStart w:id="14" w:name="section-1-chemical-identity"/>
    <w:p>
      <w:pPr>
        <w:pStyle w:val="Heading2"/>
      </w:pPr>
      <w:r>
        <w:t xml:space="preserve">SECTION 1: CHEMICAL IDENTITY</w:t>
      </w:r>
    </w:p>
    <w:bookmarkStart w:id="10" w:name="molecular-structure-and-nomenclature"/>
    <w:p>
      <w:pPr>
        <w:pStyle w:val="Heading3"/>
      </w:pPr>
      <w:r>
        <w:t xml:space="preserve">Molecular Structure and Nomenclature</w:t>
      </w:r>
    </w:p>
    <w:p>
      <w:pPr>
        <w:pStyle w:val="FirstParagraph"/>
      </w:pPr>
      <w:r>
        <w:rPr>
          <w:b/>
          <w:bCs/>
        </w:rPr>
        <w:t xml:space="preserve">IUPAC Name:</w:t>
      </w:r>
      <w:r>
        <w:t xml:space="preserve"> </w:t>
      </w:r>
      <w:r>
        <w:t xml:space="preserve">Bicyclo[7.2.0]undec-4-ene, 4,11,11-trimethyl-8-methylene-, [1R-(1R</w:t>
      </w:r>
      <w:r>
        <w:rPr>
          <w:i/>
          <w:iCs/>
        </w:rPr>
        <w:t xml:space="preserve">,4E,9S</w:t>
      </w:r>
      <w:r>
        <w:t xml:space="preserve">)]-</w:t>
      </w:r>
    </w:p>
    <w:p>
      <w:pPr>
        <w:pStyle w:val="BodyText"/>
      </w:pPr>
      <w:r>
        <w:rPr>
          <w:b/>
          <w:bCs/>
        </w:rPr>
        <w:t xml:space="preserve">Molecular Formula:</w:t>
      </w:r>
      <w:r>
        <w:t xml:space="preserve"> </w:t>
      </w:r>
      <w:r>
        <w:t xml:space="preserve">C₁₅H₂₄</w:t>
      </w:r>
      <w:r>
        <w:br/>
      </w:r>
      <w:r>
        <w:rPr>
          <w:b/>
          <w:bCs/>
        </w:rPr>
        <w:t xml:space="preserve">Molecular Weight:</w:t>
      </w:r>
      <w:r>
        <w:t xml:space="preserve"> </w:t>
      </w:r>
      <w:r>
        <w:t xml:space="preserve">204.35 g/mol</w:t>
      </w:r>
      <w:r>
        <w:br/>
      </w:r>
      <w:r>
        <w:rPr>
          <w:b/>
          <w:bCs/>
        </w:rPr>
        <w:t xml:space="preserve">Chemical Class:</w:t>
      </w:r>
      <w:r>
        <w:t xml:space="preserve"> </w:t>
      </w:r>
      <w:r>
        <w:t xml:space="preserve">Bicyclic sesquiterpene</w:t>
      </w:r>
      <w:r>
        <w:br/>
      </w:r>
      <w:r>
        <w:rPr>
          <w:b/>
          <w:bCs/>
        </w:rPr>
        <w:t xml:space="preserve">CAS Number:</w:t>
      </w:r>
      <w:r>
        <w:t xml:space="preserve"> </w:t>
      </w:r>
      <w:r>
        <w:t xml:space="preserve">87-44-5 (for β-caryophyllene); 13877-93-5 (synthetic variant)</w:t>
      </w:r>
    </w:p>
    <w:bookmarkEnd w:id="10"/>
    <w:bookmarkStart w:id="11" w:name="unique-structural-features"/>
    <w:p>
      <w:pPr>
        <w:pStyle w:val="Heading3"/>
      </w:pPr>
      <w:r>
        <w:t xml:space="preserve">Unique Structural Features</w:t>
      </w:r>
    </w:p>
    <w:p>
      <w:pPr>
        <w:pStyle w:val="FirstParagraph"/>
      </w:pPr>
      <w:r>
        <w:t xml:space="preserve">β-Caryophyllene is remarkable for possessing two structural rarities in nature: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Cyclobutane ring</w:t>
      </w:r>
      <w:r>
        <w:t xml:space="preserve"> </w:t>
      </w:r>
      <w:r>
        <w:t xml:space="preserve">— A four-membered carbon ring that is energetically unfavorable and rarely synthesized in biological systems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Trans-double bond in 9-membered ring</w:t>
      </w:r>
      <w:r>
        <w:t xml:space="preserve"> </w:t>
      </w:r>
      <w:r>
        <w:t xml:space="preserve">— An unusual configuration providing both stability and biological activity</w:t>
      </w:r>
    </w:p>
    <w:bookmarkEnd w:id="11"/>
    <w:bookmarkStart w:id="12" w:name="stereoisomeric-forms"/>
    <w:p>
      <w:pPr>
        <w:pStyle w:val="Heading3"/>
      </w:pPr>
      <w:r>
        <w:t xml:space="preserve">Stereoisomeric Forms</w:t>
      </w:r>
    </w:p>
    <w:p>
      <w:pPr>
        <w:pStyle w:val="FirstParagraph"/>
      </w:pPr>
      <w:r>
        <w:t xml:space="preserve">BCP exists as multiple stereoisomers with distinct biological and sensory properties: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2493"/>
        <w:gridCol w:w="3226"/>
        <w:gridCol w:w="1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Isomer</w:t>
            </w:r>
          </w:p>
        </w:tc>
        <w:tc>
          <w:tcPr/>
          <w:p>
            <w:pPr>
              <w:pStyle w:val="Compact"/>
            </w:pPr>
            <w:r>
              <w:t xml:space="preserve">Stereochemistry</w:t>
            </w:r>
          </w:p>
        </w:tc>
        <w:tc>
          <w:tcPr/>
          <w:p>
            <w:pPr>
              <w:pStyle w:val="Compact"/>
            </w:pPr>
            <w:r>
              <w:t xml:space="preserve">Natural Distribution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(−)-β-Caryophyllene (E-form)</w:t>
            </w:r>
          </w:p>
        </w:tc>
        <w:tc>
          <w:tcPr/>
          <w:p>
            <w:pPr>
              <w:pStyle w:val="Compact"/>
            </w:pPr>
            <w:r>
              <w:t xml:space="preserve">1R,9S configuration</w:t>
            </w:r>
          </w:p>
        </w:tc>
        <w:tc>
          <w:tcPr/>
          <w:p>
            <w:pPr>
              <w:pStyle w:val="Compact"/>
            </w:pPr>
            <w:r>
              <w:t xml:space="preserve">Most abundant in nature</w:t>
            </w:r>
          </w:p>
        </w:tc>
        <w:tc>
          <w:tcPr/>
          <w:p>
            <w:pPr>
              <w:pStyle w:val="Compact"/>
            </w:pPr>
            <w:r>
              <w:t xml:space="preserve">Strong CB2 binding (Ki = 155 nM)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(+)-β-Caryophyllene</w:t>
            </w:r>
          </w:p>
        </w:tc>
        <w:tc>
          <w:tcPr/>
          <w:p>
            <w:pPr>
              <w:pStyle w:val="Compact"/>
            </w:pPr>
            <w:r>
              <w:t xml:space="preserve">Enantiomer</w:t>
            </w:r>
          </w:p>
        </w:tc>
        <w:tc>
          <w:tcPr/>
          <w:p>
            <w:pPr>
              <w:pStyle w:val="Compact"/>
            </w:pPr>
            <w:r>
              <w:t xml:space="preserve">Synthetic/minor natural</w:t>
            </w:r>
          </w:p>
        </w:tc>
        <w:tc>
          <w:tcPr/>
          <w:p>
            <w:pPr>
              <w:pStyle w:val="Compact"/>
            </w:pPr>
            <w:r>
              <w:t xml:space="preserve">Weaker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Cis-β-Caryophyllene (Isocaryophyllene)</w:t>
            </w:r>
          </w:p>
        </w:tc>
        <w:tc>
          <w:tcPr/>
          <w:p>
            <w:pPr>
              <w:pStyle w:val="Compact"/>
            </w:pPr>
            <w:r>
              <w:t xml:space="preserve">180° ring rotation</w:t>
            </w:r>
          </w:p>
        </w:tc>
        <w:tc>
          <w:tcPr/>
          <w:p>
            <w:pPr>
              <w:pStyle w:val="Compact"/>
            </w:pPr>
            <w:r>
              <w:t xml:space="preserve">Minor natural component</w:t>
            </w:r>
          </w:p>
        </w:tc>
        <w:tc>
          <w:tcPr/>
          <w:p>
            <w:pPr>
              <w:pStyle w:val="Compact"/>
            </w:pPr>
            <w:r>
              <w:t xml:space="preserve">Reduced receptor affinity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9-epi-Caryophyllene</w:t>
            </w:r>
          </w:p>
        </w:tc>
        <w:tc>
          <w:tcPr/>
          <w:p>
            <w:pPr>
              <w:pStyle w:val="Compact"/>
            </w:pPr>
            <w:r>
              <w:t xml:space="preserve">Epimeric at C9</w:t>
            </w:r>
          </w:p>
        </w:tc>
        <w:tc>
          <w:tcPr/>
          <w:p>
            <w:pPr>
              <w:pStyle w:val="Compact"/>
            </w:pPr>
            <w:r>
              <w:t xml:space="preserve">Rare in nature</w:t>
            </w:r>
          </w:p>
        </w:tc>
        <w:tc>
          <w:tcPr/>
          <w:p>
            <w:pPr>
              <w:pStyle w:val="Compact"/>
            </w:pPr>
            <w:r>
              <w:t xml:space="preserve">Limited characterization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Caryophyllene oxide</w:t>
            </w:r>
          </w:p>
        </w:tc>
        <w:tc>
          <w:tcPr/>
          <w:p>
            <w:pPr>
              <w:pStyle w:val="Compact"/>
            </w:pPr>
            <w:r>
              <w:t xml:space="preserve">Oxidized form (epoxide)</w:t>
            </w:r>
          </w:p>
        </w:tc>
        <w:tc>
          <w:tcPr/>
          <w:p>
            <w:pPr>
              <w:pStyle w:val="Compact"/>
            </w:pPr>
            <w:r>
              <w:t xml:space="preserve">Post-harvest formation</w:t>
            </w:r>
          </w:p>
        </w:tc>
        <w:tc>
          <w:tcPr/>
          <w:p>
            <w:pPr>
              <w:pStyle w:val="Compact"/>
            </w:pPr>
            <w:r>
              <w:t xml:space="preserve">Drug-sniffing dog marker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(−)-β-caryophyllene</w:t>
      </w:r>
      <w:r>
        <w:t xml:space="preserve"> </w:t>
      </w:r>
      <w:r>
        <w:t xml:space="preserve">form predominates in essential oils, particularly clove oil (</w:t>
      </w:r>
      <w:r>
        <w:rPr>
          <w:i/>
          <w:iCs/>
        </w:rPr>
        <w:t xml:space="preserve">Syzygium aromaticum</w:t>
      </w:r>
      <w:r>
        <w:t xml:space="preserve">), and is the therapeutically active isomer in most cannabis strains.</w:t>
      </w:r>
    </w:p>
    <w:bookmarkEnd w:id="12"/>
    <w:bookmarkStart w:id="13" w:name="physical-properties"/>
    <w:p>
      <w:pPr>
        <w:pStyle w:val="Heading3"/>
      </w:pPr>
      <w:r>
        <w:t xml:space="preserve">Physical Properties</w:t>
      </w:r>
    </w:p>
    <w:p>
      <w:pPr>
        <w:pStyle w:val="FirstParagraph"/>
      </w:pPr>
      <w:r>
        <w:rPr>
          <w:b/>
          <w:bCs/>
        </w:rPr>
        <w:t xml:space="preserve">Boiling Point:</w:t>
      </w:r>
      <w:r>
        <w:t xml:space="preserve"> </w:t>
      </w:r>
      <w:r>
        <w:t xml:space="preserve">250°C (480°F)</w:t>
      </w:r>
      <w:r>
        <w:br/>
      </w:r>
      <w:r>
        <w:rPr>
          <w:b/>
          <w:bCs/>
        </w:rPr>
        <w:t xml:space="preserve">Density (α-humulene proxy):</w:t>
      </w:r>
      <w:r>
        <w:t xml:space="preserve"> </w:t>
      </w:r>
      <w:r>
        <w:t xml:space="preserve">~0.889 g/cm³ at 20°C</w:t>
      </w:r>
      <w:r>
        <w:br/>
      </w:r>
      <w:r>
        <w:rPr>
          <w:b/>
          <w:bCs/>
        </w:rPr>
        <w:t xml:space="preserve">Vapor Pressure:</w:t>
      </w:r>
      <w:r>
        <w:t xml:space="preserve"> </w:t>
      </w:r>
      <w:r>
        <w:t xml:space="preserve">Moderate sesquiterpene volatility (lower than monoterpenes)</w:t>
      </w:r>
      <w:r>
        <w:br/>
      </w:r>
      <w:r>
        <w:rPr>
          <w:b/>
          <w:bCs/>
        </w:rPr>
        <w:t xml:space="preserve">Solubility:</w:t>
      </w:r>
      <w:r>
        <w:t xml:space="preserve"> </w:t>
      </w:r>
      <w:r>
        <w:t xml:space="preserve">Lipophilic; poor water solubility but excellent in organic solvents and plant oils</w:t>
      </w:r>
      <w:r>
        <w:br/>
      </w:r>
      <w:r>
        <w:rPr>
          <w:b/>
          <w:bCs/>
        </w:rPr>
        <w:t xml:space="preserve">Optical Rotation:</w:t>
      </w:r>
      <w:r>
        <w:t xml:space="preserve"> </w:t>
      </w:r>
      <w:r>
        <w:t xml:space="preserve">[α]D = −51.6° (for (−)-β-caryophyllene)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3" w:name="section-2-biosynthesis"/>
    <w:p>
      <w:pPr>
        <w:pStyle w:val="Heading2"/>
      </w:pPr>
      <w:r>
        <w:t xml:space="preserve">SECTION 2: BIOSYNTHESIS</w:t>
      </w:r>
    </w:p>
    <w:bookmarkStart w:id="15" w:name="terpenoid-pathway-integration"/>
    <w:p>
      <w:pPr>
        <w:pStyle w:val="Heading3"/>
      </w:pPr>
      <w:r>
        <w:t xml:space="preserve">Terpenoid Pathway Integration</w:t>
      </w:r>
    </w:p>
    <w:p>
      <w:pPr>
        <w:pStyle w:val="FirstParagraph"/>
      </w:pPr>
      <w:r>
        <w:t xml:space="preserve">β-Caryophyllene is synthesized via the</w:t>
      </w:r>
      <w:r>
        <w:t xml:space="preserve"> </w:t>
      </w:r>
      <w:r>
        <w:rPr>
          <w:b/>
          <w:bCs/>
        </w:rPr>
        <w:t xml:space="preserve">mevalonate (MVA) pathway</w:t>
      </w:r>
      <w:r>
        <w:t xml:space="preserve"> </w:t>
      </w:r>
      <w:r>
        <w:t xml:space="preserve">in most plants, though the</w:t>
      </w:r>
      <w:r>
        <w:t xml:space="preserve"> </w:t>
      </w:r>
      <w:r>
        <w:rPr>
          <w:b/>
          <w:bCs/>
        </w:rPr>
        <w:t xml:space="preserve">non-mevalonate (MEP/DOXP) pathway</w:t>
      </w:r>
      <w:r>
        <w:t xml:space="preserve"> </w:t>
      </w:r>
      <w:r>
        <w:t xml:space="preserve">also contributes:</w:t>
      </w:r>
    </w:p>
    <w:p>
      <w:pPr>
        <w:pStyle w:val="SourceCode"/>
      </w:pPr>
      <w:r>
        <w:rPr>
          <w:rStyle w:val="VerbatimChar"/>
        </w:rPr>
        <w:t xml:space="preserve">Acetyl-CoA → HMG-CoA → Mevalonate → IPP/DMAPP → FPP (Farnesyl Diphosphate)</w:t>
      </w:r>
      <w:r>
        <w:br/>
      </w:r>
      <w:r>
        <w:rPr>
          <w:rStyle w:val="VerbatimChar"/>
        </w:rPr>
        <w:t xml:space="preserve">                                                    ↓</w:t>
      </w:r>
      <w:r>
        <w:br/>
      </w:r>
      <w:r>
        <w:rPr>
          <w:rStyle w:val="VerbatimChar"/>
        </w:rPr>
        <w:t xml:space="preserve">                                        Sesquiterpene Synthases (TPS)</w:t>
      </w:r>
      <w:r>
        <w:br/>
      </w:r>
      <w:r>
        <w:rPr>
          <w:rStyle w:val="VerbatimChar"/>
        </w:rPr>
        <w:t xml:space="preserve">                                                    ↓</w:t>
      </w:r>
      <w:r>
        <w:br/>
      </w:r>
      <w:r>
        <w:rPr>
          <w:rStyle w:val="VerbatimChar"/>
        </w:rPr>
        <w:t xml:space="preserve">                                         β-CARYOPHYLLENE</w:t>
      </w:r>
    </w:p>
    <w:bookmarkEnd w:id="15"/>
    <w:bookmarkStart w:id="16" w:name="key-enzyme-caryophyllene-synthase"/>
    <w:p>
      <w:pPr>
        <w:pStyle w:val="Heading3"/>
      </w:pPr>
      <w:r>
        <w:t xml:space="preserve">Key Enzyme: Caryophyllene Synthase</w:t>
      </w:r>
    </w:p>
    <w:p>
      <w:pPr>
        <w:pStyle w:val="FirstParagraph"/>
      </w:pPr>
      <w:r>
        <w:rPr>
          <w:b/>
          <w:bCs/>
        </w:rPr>
        <w:t xml:space="preserve">In Cannabis sativa: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Enzyme designation:</w:t>
      </w:r>
      <w:r>
        <w:t xml:space="preserve"> </w:t>
      </w:r>
      <w:r>
        <w:t xml:space="preserve">CsTPS9FN (Cannabis sesquiterpene synthase)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Substrate:</w:t>
      </w:r>
      <w:r>
        <w:t xml:space="preserve"> </w:t>
      </w:r>
      <w:r>
        <w:t xml:space="preserve">FPP (farnesyl diphosphate) — 15-carbon precursor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Dual product:</w:t>
      </w:r>
      <w:r>
        <w:t xml:space="preserve"> </w:t>
      </w:r>
      <w:r>
        <w:t xml:space="preserve">CsTPS9FN produces both</w:t>
      </w:r>
      <w:r>
        <w:t xml:space="preserve"> </w:t>
      </w:r>
      <w:r>
        <w:rPr>
          <w:b/>
          <w:bCs/>
        </w:rPr>
        <w:t xml:space="preserve">β-caryophyllene and α-humulene</w:t>
      </w:r>
      <w:r>
        <w:t xml:space="preserve"> </w:t>
      </w:r>
      <w:r>
        <w:t xml:space="preserve">in a ratio of approximately</w:t>
      </w:r>
      <w:r>
        <w:t xml:space="preserve"> </w:t>
      </w:r>
      <w:r>
        <w:rPr>
          <w:b/>
          <w:bCs/>
        </w:rPr>
        <w:t xml:space="preserve">2.5:1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Genomic context:</w:t>
      </w:r>
      <w:r>
        <w:t xml:space="preserve"> </w:t>
      </w:r>
      <w:r>
        <w:t xml:space="preserve">Cannabis sativa reference genomes contain</w:t>
      </w:r>
      <w:r>
        <w:t xml:space="preserve"> </w:t>
      </w:r>
      <w:r>
        <w:rPr>
          <w:b/>
          <w:bCs/>
        </w:rPr>
        <w:t xml:space="preserve">19 complete and 5 partial terpene synthase (CsTPS) genes</w:t>
      </w:r>
      <w:r>
        <w:t xml:space="preserve"> </w:t>
      </w:r>
      <w:r>
        <w:t xml:space="preserve">across the genome</w:t>
      </w:r>
    </w:p>
    <w:p>
      <w:pPr>
        <w:pStyle w:val="BodyText"/>
      </w:pPr>
      <w:r>
        <w:rPr>
          <w:b/>
          <w:bCs/>
        </w:rPr>
        <w:t xml:space="preserve">In Arabidopsis thaliana: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Enzyme designation:</w:t>
      </w:r>
      <w:r>
        <w:t xml:space="preserve"> </w:t>
      </w:r>
      <w:r>
        <w:t xml:space="preserve">AtTPS21 (Arabidopsis terpene synthase 21)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Genetic regulation:</w:t>
      </w:r>
      <w:r>
        <w:t xml:space="preserve"> </w:t>
      </w:r>
      <w:r>
        <w:t xml:space="preserve">Controlled by the</w:t>
      </w:r>
      <w:r>
        <w:t xml:space="preserve"> </w:t>
      </w:r>
      <w:r>
        <w:rPr>
          <w:b/>
          <w:bCs/>
        </w:rPr>
        <w:t xml:space="preserve">miR156-SPL regulatory module</w:t>
      </w:r>
      <w:r>
        <w:t xml:space="preserve"> </w:t>
      </w:r>
      <w:r>
        <w:t xml:space="preserve">during the flowering stage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Expression pattern:</w:t>
      </w:r>
      <w:r>
        <w:t xml:space="preserve"> </w:t>
      </w:r>
      <w:r>
        <w:t xml:space="preserve">Upregulation coordinated with developmental and stress responses</w:t>
      </w:r>
    </w:p>
    <w:bookmarkEnd w:id="16"/>
    <w:bookmarkStart w:id="17" w:name="genetic-regulation-in-cannabis"/>
    <w:p>
      <w:pPr>
        <w:pStyle w:val="Heading3"/>
      </w:pPr>
      <w:r>
        <w:t xml:space="preserve">Genetic Regulation in Cannabis</w:t>
      </w:r>
    </w:p>
    <w:p>
      <w:pPr>
        <w:pStyle w:val="FirstParagraph"/>
      </w:pPr>
      <w:r>
        <w:t xml:space="preserve">Terpene production in cannabis is influenced by: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Developmental stage</w:t>
      </w:r>
      <w:r>
        <w:t xml:space="preserve"> </w:t>
      </w:r>
      <w:r>
        <w:t xml:space="preserve">— Trichome maturation and cannabinoid-terpene co-synthesis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Environmental stress</w:t>
      </w:r>
      <w:r>
        <w:t xml:space="preserve"> </w:t>
      </w:r>
      <w:r>
        <w:t xml:space="preserve">— UV light, temperature, water availability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Genotype</w:t>
      </w:r>
      <w:r>
        <w:t xml:space="preserve"> </w:t>
      </w:r>
      <w:r>
        <w:t xml:space="preserve">— Chemotype-specific TPS gene expression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Substrate availability</w:t>
      </w:r>
      <w:r>
        <w:t xml:space="preserve"> </w:t>
      </w:r>
      <w:r>
        <w:t xml:space="preserve">— FPP levels regulated by upstream HMG-CoA reductase activity</w:t>
      </w:r>
    </w:p>
    <w:bookmarkEnd w:id="17"/>
    <w:bookmarkStart w:id="22" w:name="biosynthetic-intermediate"/>
    <w:p>
      <w:pPr>
        <w:pStyle w:val="Heading3"/>
      </w:pPr>
      <w:r>
        <w:t xml:space="preserve">Biosynthetic Intermediate</w:t>
      </w:r>
    </w:p>
    <w:p>
      <w:pPr>
        <w:pStyle w:val="FirstParagraph"/>
      </w:pPr>
      <w:r>
        <w:t xml:space="preserve">The cyclization of FPP generates an intermediate</w:t>
      </w:r>
      <w:r>
        <w:t xml:space="preserve"> </w:t>
      </w:r>
      <w:r>
        <w:rPr>
          <w:b/>
          <w:bCs/>
        </w:rPr>
        <w:t xml:space="preserve">(E,E)-humulyl carbocation</w:t>
      </w:r>
      <w:r>
        <w:t xml:space="preserve">, which can follow two pathways: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Monocyclization</w:t>
      </w:r>
      <w:r>
        <w:t xml:space="preserve"> </w:t>
      </w:r>
      <w:r>
        <w:t xml:space="preserve">→ 11-membered ring →</w:t>
      </w:r>
      <w:r>
        <w:t xml:space="preserve"> </w:t>
      </w:r>
      <w:r>
        <w:rPr>
          <w:b/>
          <w:bCs/>
        </w:rPr>
        <w:t xml:space="preserve">α-humulene (α-caryophyllene)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Bicyclization</w:t>
      </w:r>
      <w:r>
        <w:t xml:space="preserve"> </w:t>
      </w:r>
      <w:r>
        <w:t xml:space="preserve">→ additional ring formation →</w:t>
      </w:r>
      <w:r>
        <w:t xml:space="preserve"> </w:t>
      </w:r>
      <w:r>
        <w:rPr>
          <w:b/>
          <w:bCs/>
        </w:rPr>
        <w:t xml:space="preserve">β-caryophyllene</w:t>
      </w:r>
      <w:r>
        <w:t xml:space="preserve"> </w:t>
      </w:r>
      <w:r>
        <w:t xml:space="preserve">(the more stable, predominant product)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18">
        <w:r>
          <w:rPr>
            <w:rStyle w:val="Hyperlink"/>
          </w:rPr>
          <w:t xml:space="preserve">PLOS One: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“Terpene synthases from Cannabis sativa”</w:t>
        </w:r>
      </w:hyperlink>
      <w:r>
        <w:t xml:space="preserve"> </w:t>
      </w:r>
      <w:r>
        <w:t xml:space="preserve">-</w:t>
      </w:r>
      <w:r>
        <w:t xml:space="preserve"> </w:t>
      </w:r>
      <w:hyperlink r:id="rId19">
        <w:r>
          <w:rPr>
            <w:rStyle w:val="Hyperlink"/>
          </w:rPr>
          <w:t xml:space="preserve">Plant Physiology: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“Terpene Synthases and Terpene Variation in Cannabis sativa”</w:t>
        </w:r>
      </w:hyperlink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</w:rPr>
          <w:t xml:space="preserve">PMC: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“Integrated platform for structural and functional analysis of terpene synthases”</w:t>
        </w:r>
      </w:hyperlink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Frontiers: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“Characterization key genes of Arabidopsis seedlings in response to β-caryophyllene”</w:t>
        </w:r>
      </w:hyperlink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section-3-sensory-profile"/>
    <w:p>
      <w:pPr>
        <w:pStyle w:val="Heading2"/>
      </w:pPr>
      <w:r>
        <w:t xml:space="preserve">SECTION 3: SENSORY PROFILE</w:t>
      </w:r>
    </w:p>
    <w:bookmarkStart w:id="24" w:name="olfactory-descriptors"/>
    <w:p>
      <w:pPr>
        <w:pStyle w:val="Heading3"/>
      </w:pPr>
      <w:r>
        <w:t xml:space="preserve">Olfactory Descriptors</w:t>
      </w:r>
    </w:p>
    <w:p>
      <w:pPr>
        <w:pStyle w:val="FirstParagraph"/>
      </w:pPr>
      <w:r>
        <w:rPr>
          <w:b/>
          <w:bCs/>
        </w:rPr>
        <w:t xml:space="preserve">Primary aroma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Spicy</w:t>
      </w:r>
      <w:r>
        <w:t xml:space="preserve"> </w:t>
      </w:r>
      <w:r>
        <w:t xml:space="preserve">— Black pepper, clove-like sharpness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Peppery</w:t>
      </w:r>
      <w:r>
        <w:t xml:space="preserve"> </w:t>
      </w:r>
      <w:r>
        <w:t xml:space="preserve">— Penetrating, assertive pungency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Woody</w:t>
      </w:r>
      <w:r>
        <w:t xml:space="preserve"> </w:t>
      </w:r>
      <w:r>
        <w:t xml:space="preserve">— Dry, dusty woody undertones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Warm</w:t>
      </w:r>
      <w:r>
        <w:t xml:space="preserve"> </w:t>
      </w:r>
      <w:r>
        <w:t xml:space="preserve">— Complex, slightly sweet base notes</w:t>
      </w:r>
    </w:p>
    <w:p>
      <w:pPr>
        <w:pStyle w:val="BodyText"/>
      </w:pPr>
      <w:r>
        <w:rPr>
          <w:b/>
          <w:bCs/>
        </w:rPr>
        <w:t xml:space="preserve">Sensory intensity:</w:t>
      </w:r>
      <w:r>
        <w:t xml:space="preserve"> </w:t>
      </w:r>
      <w:r>
        <w:t xml:space="preserve">Medium to strong with a</w:t>
      </w:r>
      <w:r>
        <w:t xml:space="preserve"> </w:t>
      </w:r>
      <w:r>
        <w:rPr>
          <w:b/>
          <w:bCs/>
        </w:rPr>
        <w:t xml:space="preserve">tenacious, penetrating</w:t>
      </w:r>
      <w:r>
        <w:t xml:space="preserve"> </w:t>
      </w:r>
      <w:r>
        <w:t xml:space="preserve">opening note that moderates over time. Described as</w:t>
      </w:r>
      <w:r>
        <w:t xml:space="preserve"> </w:t>
      </w:r>
      <w:r>
        <w:t xml:space="preserve">“demanding attention”</w:t>
      </w:r>
      <w:r>
        <w:t xml:space="preserve"> </w:t>
      </w:r>
      <w:r>
        <w:t xml:space="preserve">in complex olfactory compositions.</w:t>
      </w:r>
    </w:p>
    <w:p>
      <w:pPr>
        <w:pStyle w:val="BodyText"/>
      </w:pPr>
      <w:r>
        <w:rPr>
          <w:b/>
          <w:bCs/>
        </w:rPr>
        <w:t xml:space="preserve">Intensity profile:</w:t>
      </w:r>
      <w:r>
        <w:t xml:space="preserve"> </w:t>
      </w:r>
      <w:r>
        <w:t xml:space="preserve">Initial penetrating and characteristic, with moderate attenuation over time, indicating moderate volatility relative to its sesquiterpene class.</w:t>
      </w:r>
    </w:p>
    <w:bookmarkEnd w:id="24"/>
    <w:bookmarkStart w:id="25" w:name="detection-and-perception-thresholds"/>
    <w:p>
      <w:pPr>
        <w:pStyle w:val="Heading3"/>
      </w:pPr>
      <w:r>
        <w:t xml:space="preserve">Detection and Perception Thresholds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2132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Flavor Dilution Factor (GC-O)</w:t>
            </w:r>
          </w:p>
        </w:tc>
        <w:tc>
          <w:tcPr/>
          <w:p>
            <w:pPr>
              <w:pStyle w:val="Compact"/>
            </w:pPr>
            <w:r>
              <w:t xml:space="preserve">FD = 64</w:t>
            </w:r>
          </w:p>
        </w:tc>
        <w:tc>
          <w:tcPr/>
          <w:p>
            <w:pPr>
              <w:pStyle w:val="Compact"/>
            </w:pPr>
            <w:r>
              <w:t xml:space="preserve">Highest among tested sesquiterpenes in food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Sensory contribution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Highest impact compound</w:t>
            </w:r>
          </w:p>
        </w:tc>
        <w:tc>
          <w:tcPr/>
          <w:p>
            <w:pPr>
              <w:pStyle w:val="Compact"/>
            </w:pPr>
            <w:r>
              <w:t xml:space="preserve">Multiple aroma profiling studies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Detection mode</w:t>
            </w:r>
          </w:p>
        </w:tc>
        <w:tc>
          <w:tcPr/>
          <w:p>
            <w:pPr>
              <w:pStyle w:val="Compact"/>
            </w:pPr>
            <w:r>
              <w:t xml:space="preserve">Spicy-woody, dry tenacious</w:t>
            </w:r>
          </w:p>
        </w:tc>
        <w:tc>
          <w:tcPr/>
          <w:p>
            <w:pPr>
              <w:pStyle w:val="Compact"/>
            </w:pPr>
            <w:r>
              <w:t xml:space="preserve">GC-Olfactometry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 Index (RI)</w:t>
            </w:r>
          </w:p>
        </w:tc>
        <w:tc>
          <w:tcPr/>
          <w:p>
            <w:pPr>
              <w:pStyle w:val="Compact"/>
            </w:pPr>
            <w:r>
              <w:t xml:space="preserve">~1520-1530 (VRX-based)</w:t>
            </w:r>
          </w:p>
        </w:tc>
        <w:tc>
          <w:tcPr/>
          <w:p>
            <w:pPr>
              <w:pStyle w:val="Compact"/>
            </w:pPr>
            <w:r>
              <w:t xml:space="preserve">GC-MS reference standard</w:t>
            </w:r>
          </w:p>
        </w:tc>
      </w:tr>
    </w:tbl>
    <w:bookmarkEnd w:id="25"/>
    <w:bookmarkStart w:id="30" w:name="aroma-profile-summary"/>
    <w:p>
      <w:pPr>
        <w:pStyle w:val="Heading3"/>
      </w:pPr>
      <w:r>
        <w:t xml:space="preserve">Aroma Profile Summary</w:t>
      </w:r>
    </w:p>
    <w:p>
      <w:pPr>
        <w:pStyle w:val="FirstParagraph"/>
      </w:pPr>
      <w:r>
        <w:t xml:space="preserve">BCP is described by the perfume and flavor industry as:</w:t>
      </w:r>
      <w:r>
        <w:t xml:space="preserve"> </w:t>
      </w:r>
      <w:r>
        <w:t xml:space="preserve">-</w:t>
      </w:r>
      <w:r>
        <w:t xml:space="preserve"> </w:t>
      </w:r>
      <w:r>
        <w:t xml:space="preserve">“Woody-spicy, dry and tenacious”</w:t>
      </w:r>
      <w:r>
        <w:t xml:space="preserve"> </w:t>
      </w:r>
      <w:r>
        <w:t xml:space="preserve">-</w:t>
      </w:r>
      <w:r>
        <w:t xml:space="preserve"> </w:t>
      </w:r>
      <w:r>
        <w:t xml:space="preserve">“Spicy-woody with dusty clove-like character”</w:t>
      </w:r>
      <w:r>
        <w:t xml:space="preserve"> </w:t>
      </w:r>
      <w:r>
        <w:t xml:space="preserve">-</w:t>
      </w:r>
      <w:r>
        <w:t xml:space="preserve"> </w:t>
      </w:r>
      <w:r>
        <w:t xml:space="preserve">“Dry, dusty, oily woody with spicy assertiveness”</w:t>
      </w:r>
      <w:r>
        <w:t xml:space="preserve"> </w:t>
      </w:r>
      <w:r>
        <w:t xml:space="preserve">-</w:t>
      </w:r>
      <w:r>
        <w:t xml:space="preserve"> </w:t>
      </w:r>
      <w:r>
        <w:t xml:space="preserve">“Bold, unmistakable peppery warmth”</w:t>
      </w:r>
    </w:p>
    <w:p>
      <w:pPr>
        <w:pStyle w:val="BodyText"/>
      </w:pPr>
      <w:r>
        <w:t xml:space="preserve">The compound exhibits</w:t>
      </w:r>
      <w:r>
        <w:t xml:space="preserve"> </w:t>
      </w:r>
      <w:r>
        <w:rPr>
          <w:b/>
          <w:bCs/>
        </w:rPr>
        <w:t xml:space="preserve">high FD factors</w:t>
      </w:r>
      <w:r>
        <w:t xml:space="preserve"> </w:t>
      </w:r>
      <w:r>
        <w:t xml:space="preserve">in aroma extract dilution analysis, indicating prominent sensory presence at very low concentrations.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Hyperlink"/>
          </w:rPr>
          <w:t xml:space="preserve">Good Scents Company: β-Caryophyllene odor profile</w:t>
        </w:r>
      </w:hyperlink>
      <w:r>
        <w:t xml:space="preserve"> </w:t>
      </w:r>
      <w:r>
        <w:t xml:space="preserve">-</w:t>
      </w:r>
      <w:r>
        <w:t xml:space="preserve"> </w:t>
      </w:r>
      <w:hyperlink r:id="rId27">
        <w:r>
          <w:rPr>
            <w:rStyle w:val="Hyperlink"/>
          </w:rPr>
          <w:t xml:space="preserve">Scentspiracy: Caryophyllene in perfumery</w:t>
        </w:r>
      </w:hyperlink>
      <w:r>
        <w:t xml:space="preserve"> </w:t>
      </w:r>
      <w:r>
        <w:t xml:space="preserve">-</w:t>
      </w:r>
      <w:r>
        <w:t xml:space="preserve"> </w:t>
      </w:r>
      <w:hyperlink r:id="rId28">
        <w:r>
          <w:rPr>
            <w:rStyle w:val="Hyperlink"/>
          </w:rPr>
          <w:t xml:space="preserve">Journal of Essential Oil Research: Aroma profiling in Neolitsea pallens</w:t>
        </w:r>
      </w:hyperlink>
      <w:r>
        <w:t xml:space="preserve"> 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PMC: Aroma-active compound detection in food systems</w:t>
        </w:r>
      </w:hyperlink>
    </w:p>
    <w:p>
      <w:r>
        <w:pict>
          <v:rect style="width:0;height:1.5pt" o:hralign="center" o:hrstd="t" o:hr="t"/>
        </w:pict>
      </w:r>
    </w:p>
    <w:bookmarkEnd w:id="30"/>
    <w:bookmarkEnd w:id="31"/>
    <w:bookmarkStart w:id="59" w:name="section-4-pharmacology-receptor-activity"/>
    <w:p>
      <w:pPr>
        <w:pStyle w:val="Heading2"/>
      </w:pPr>
      <w:r>
        <w:t xml:space="preserve">SECTION 4: PHARMACOLOGY &amp; RECEPTOR ACTIVITY</w:t>
      </w:r>
    </w:p>
    <w:bookmarkStart w:id="35" w:name="Xf3a7ef47998690c31f6148b6a6a663753fb8c4e"/>
    <w:p>
      <w:pPr>
        <w:pStyle w:val="Heading3"/>
      </w:pPr>
      <w:r>
        <w:t xml:space="preserve">CB2 Selective Agonism (The Landmark Gertsch 2008 Study)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Gertsch J, et al. </w:t>
      </w:r>
      <w:r>
        <w:t xml:space="preserve">“Beta-caryophyllene is a dietary cannabinoid.”</w:t>
      </w:r>
      <w:r>
        <w:t xml:space="preserve"> </w:t>
      </w:r>
      <w:r>
        <w:rPr>
          <w:i/>
          <w:iCs/>
        </w:rPr>
        <w:t xml:space="preserve">Proceedings of the National Academy of Sciences USA</w:t>
      </w:r>
      <w:r>
        <w:t xml:space="preserve">. 2008;105(26):9099-9104.</w:t>
      </w:r>
      <w:r>
        <w:t xml:space="preserve"> </w:t>
      </w:r>
      <w:hyperlink r:id="rId32">
        <w:r>
          <w:rPr>
            <w:rStyle w:val="Hyperlink"/>
          </w:rPr>
          <w:t xml:space="preserve">PNAS full text</w:t>
        </w:r>
      </w:hyperlink>
    </w:p>
    <w:bookmarkStart w:id="33" w:name="binding-affinity-data"/>
    <w:p>
      <w:pPr>
        <w:pStyle w:val="Heading4"/>
      </w:pPr>
      <w:r>
        <w:t xml:space="preserve">Binding Affinity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Isomer</w:t>
            </w:r>
          </w:p>
        </w:tc>
        <w:tc>
          <w:tcPr/>
          <w:p>
            <w:pPr>
              <w:pStyle w:val="Compact"/>
            </w:pPr>
            <w:r>
              <w:t xml:space="preserve">CB2 Ki (nM)</w:t>
            </w:r>
          </w:p>
        </w:tc>
        <w:tc>
          <w:tcPr/>
          <w:p>
            <w:pPr>
              <w:pStyle w:val="Compact"/>
            </w:pPr>
            <w:r>
              <w:t xml:space="preserve">CB1 Ki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(E)-β-Caryophyllene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155 ± 4 nM</w:t>
            </w:r>
          </w:p>
        </w:tc>
        <w:tc>
          <w:tcPr/>
          <w:p>
            <w:pPr>
              <w:pStyle w:val="Compact"/>
            </w:pPr>
            <w:r>
              <w:t xml:space="preserve">No binding</w:t>
            </w:r>
          </w:p>
        </w:tc>
        <w:tc>
          <w:tcPr/>
          <w:p>
            <w:pPr>
              <w:pStyle w:val="Compact"/>
            </w:pPr>
            <w:r>
              <w:t xml:space="preserve">Full CB2 agonist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(Z)-β-Caryophyllene</w:t>
            </w:r>
          </w:p>
        </w:tc>
        <w:tc>
          <w:tcPr/>
          <w:p>
            <w:pPr>
              <w:pStyle w:val="Compact"/>
            </w:pPr>
            <w:r>
              <w:t xml:space="preserve">485 ± 36 nM</w:t>
            </w:r>
          </w:p>
        </w:tc>
        <w:tc>
          <w:tcPr/>
          <w:p>
            <w:pPr>
              <w:pStyle w:val="Compact"/>
            </w:pPr>
            <w:r>
              <w:t xml:space="preserve">No binding</w:t>
            </w:r>
          </w:p>
        </w:tc>
        <w:tc>
          <w:tcPr/>
          <w:p>
            <w:pPr>
              <w:pStyle w:val="Compact"/>
            </w:pPr>
            <w:r>
              <w:t xml:space="preserve">Weak CB2 agonist</w:t>
            </w:r>
          </w:p>
        </w:tc>
      </w:tr>
    </w:tbl>
    <w:p>
      <w:pPr>
        <w:pStyle w:val="BodyText"/>
      </w:pPr>
      <w:r>
        <w:rPr>
          <w:b/>
          <w:bCs/>
        </w:rPr>
        <w:t xml:space="preserve">Significance:</w:t>
      </w:r>
      <w:r>
        <w:t xml:space="preserve"> </w:t>
      </w:r>
      <w:r>
        <w:t xml:space="preserve">The nanomolar affinity for CB2 (155 nM) is within the range of physiologically active compounds, particularly for a dietary terpene. This represents approximately</w:t>
      </w:r>
      <w:r>
        <w:t xml:space="preserve"> </w:t>
      </w:r>
      <w:r>
        <w:rPr>
          <w:b/>
          <w:bCs/>
        </w:rPr>
        <w:t xml:space="preserve">3-fold higher affinity</w:t>
      </w:r>
      <w:r>
        <w:t xml:space="preserve"> </w:t>
      </w:r>
      <w:r>
        <w:t xml:space="preserve">for the E-isomer versus the Z-isomer.</w:t>
      </w:r>
    </w:p>
    <w:bookmarkEnd w:id="33"/>
    <w:bookmarkStart w:id="34" w:name="functional-cb2-agonism-mechanisms"/>
    <w:p>
      <w:pPr>
        <w:pStyle w:val="Heading4"/>
      </w:pPr>
      <w:r>
        <w:t xml:space="preserve">Functional CB2 Agonism Mechanisms</w:t>
      </w:r>
    </w:p>
    <w:p>
      <w:pPr>
        <w:pStyle w:val="FirstParagraph"/>
      </w:pPr>
      <w:r>
        <w:t xml:space="preserve">Upon CB2 binding, BCP demonstrates: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Adenylate cyclase inhibition</w:t>
      </w:r>
      <w:r>
        <w:t xml:space="preserve"> </w:t>
      </w:r>
      <w:r>
        <w:t xml:space="preserve">— Reduced intracellular cAMP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Intracellular calcium transients</w:t>
      </w:r>
      <w:r>
        <w:t xml:space="preserve"> </w:t>
      </w:r>
      <w:r>
        <w:t xml:space="preserve">— Activation of IP₃ signaling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Pro-inflammatory suppression</w:t>
      </w:r>
      <w:r>
        <w:t xml:space="preserve"> </w:t>
      </w:r>
      <w:r>
        <w:t xml:space="preserve">— At 500 nM concentration, inhibits lipopolysaccharide (LPS)-induced proinflammatory cytokine expression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 vivo efficacy</w:t>
      </w:r>
      <w:r>
        <w:t xml:space="preserve"> </w:t>
      </w:r>
      <w:r>
        <w:t xml:space="preserve">— At 5 mg/kg, strongly reduces carrageenan-induced inflammatory response in</w:t>
      </w:r>
      <w:r>
        <w:t xml:space="preserve"> </w:t>
      </w:r>
      <w:r>
        <w:rPr>
          <w:b/>
          <w:bCs/>
        </w:rPr>
        <w:t xml:space="preserve">wild-type mice but NOT in CB2-knockout mice</w:t>
      </w:r>
      <w:r>
        <w:t xml:space="preserve">, proving CB2 dependence</w:t>
      </w:r>
    </w:p>
    <w:bookmarkEnd w:id="34"/>
    <w:bookmarkEnd w:id="35"/>
    <w:bookmarkStart w:id="36" w:name="absence-of-cb1-interaction"/>
    <w:p>
      <w:pPr>
        <w:pStyle w:val="Heading3"/>
      </w:pPr>
      <w:r>
        <w:t xml:space="preserve">Absence of CB1 Interaction</w:t>
      </w:r>
    </w:p>
    <w:p>
      <w:pPr>
        <w:pStyle w:val="FirstParagraph"/>
      </w:pPr>
      <w:r>
        <w:rPr>
          <w:b/>
          <w:bCs/>
        </w:rPr>
        <w:t xml:space="preserve">Critical finding:</w:t>
      </w:r>
      <w:r>
        <w:t xml:space="preserve"> </w:t>
      </w:r>
      <w:r>
        <w:t xml:space="preserve">β-Caryophyllene shows</w:t>
      </w:r>
      <w:r>
        <w:t xml:space="preserve"> </w:t>
      </w:r>
      <w:r>
        <w:rPr>
          <w:b/>
          <w:bCs/>
        </w:rPr>
        <w:t xml:space="preserve">NO binding to centrally expressed CB1 receptors</w:t>
      </w:r>
      <w:r>
        <w:t xml:space="preserve"> </w:t>
      </w:r>
      <w:r>
        <w:t xml:space="preserve">and produces</w:t>
      </w:r>
      <w:r>
        <w:t xml:space="preserve"> </w:t>
      </w:r>
      <w:r>
        <w:rPr>
          <w:b/>
          <w:bCs/>
        </w:rPr>
        <w:t xml:space="preserve">no psychoactive effects</w:t>
      </w:r>
      <w:r>
        <w:t xml:space="preserve"> </w:t>
      </w:r>
      <w:r>
        <w:t xml:space="preserve">at any tested concentration. This is the defining distinction between BCP and THC/classical cannabinoids.</w:t>
      </w:r>
    </w:p>
    <w:p>
      <w:pPr>
        <w:pStyle w:val="BodyText"/>
      </w:pPr>
      <w:r>
        <w:rPr>
          <w:b/>
          <w:bCs/>
        </w:rPr>
        <w:t xml:space="preserve">CB1 selectivity margin:</w:t>
      </w:r>
      <w:r>
        <w:t xml:space="preserve"> </w:t>
      </w:r>
      <w:r>
        <w:t xml:space="preserve">Even at high doses, BCP maintains CB2 selectivity, though dose-dependent non-CB2 receptor interactions occur at supra-physiological concentrations (see PPARγ and TRP sections below).</w:t>
      </w:r>
    </w:p>
    <w:bookmarkEnd w:id="36"/>
    <w:bookmarkStart w:id="44" w:name="pparγ-agonism-and-nf-κb-inhibition"/>
    <w:p>
      <w:pPr>
        <w:pStyle w:val="Heading3"/>
      </w:pPr>
      <w:r>
        <w:t xml:space="preserve">PPARγ Agonism and NF-κB Inhibition</w:t>
      </w:r>
    </w:p>
    <w:bookmarkStart w:id="37" w:name="mechanism-of-nf-κb-suppression"/>
    <w:p>
      <w:pPr>
        <w:pStyle w:val="Heading4"/>
      </w:pPr>
      <w:r>
        <w:t xml:space="preserve">Mechanism of NF-κB Suppression</w:t>
      </w:r>
    </w:p>
    <w:p>
      <w:pPr>
        <w:pStyle w:val="FirstParagraph"/>
      </w:pPr>
      <w:r>
        <w:t xml:space="preserve">BCP reduces pro-inflammatory mediators through dual receptor crosstalk:</w:t>
      </w:r>
    </w:p>
    <w:p>
      <w:pPr>
        <w:pStyle w:val="BodyText"/>
      </w:pPr>
      <w:r>
        <w:rPr>
          <w:b/>
          <w:bCs/>
        </w:rPr>
        <w:t xml:space="preserve">Pathway 1 — Direct CB2R activation:</w:t>
      </w:r>
      <w:r>
        <w:t xml:space="preserve"> </w:t>
      </w:r>
      <w:r>
        <w:t xml:space="preserve">- CB2R → ↓ NF-κB p65 phosphorylation → ↓ pro-inflammatory transcription</w:t>
      </w:r>
      <w:r>
        <w:t xml:space="preserve"> </w:t>
      </w:r>
      <w:r>
        <w:t xml:space="preserve">- Reduced TNF-α, IL-1β, IL-6, and IL-8 expression</w:t>
      </w:r>
    </w:p>
    <w:p>
      <w:pPr>
        <w:pStyle w:val="BodyText"/>
      </w:pPr>
      <w:r>
        <w:rPr>
          <w:b/>
          <w:bCs/>
        </w:rPr>
        <w:t xml:space="preserve">Pathway 2 — PPARγ activation:</w:t>
      </w:r>
      <w:r>
        <w:t xml:space="preserve"> </w:t>
      </w:r>
      <w:r>
        <w:t xml:space="preserve">- BCP acts as a PPARγ agonist (mechanism of ligand binding remains partially characterized)</w:t>
      </w:r>
      <w:r>
        <w:t xml:space="preserve"> </w:t>
      </w:r>
      <w:r>
        <w:t xml:space="preserve">- PPARγ → ↓ NF-κB transactivation → ↓ proinflammatory cytokines</w:t>
      </w:r>
      <w:r>
        <w:t xml:space="preserve"> </w:t>
      </w:r>
      <w:r>
        <w:t xml:space="preserve">- Cross-talk between CB2 and PPARγ:</w:t>
      </w:r>
      <w:r>
        <w:t xml:space="preserve"> </w:t>
      </w:r>
      <w:r>
        <w:rPr>
          <w:b/>
          <w:bCs/>
        </w:rPr>
        <w:t xml:space="preserve">PPARγ antagonist GW9662 reverses BCP protective effects by 60-80%</w:t>
      </w:r>
    </w:p>
    <w:bookmarkEnd w:id="37"/>
    <w:bookmarkStart w:id="38" w:name="inflammatory-cytokine-reduction"/>
    <w:p>
      <w:pPr>
        <w:pStyle w:val="Heading4"/>
      </w:pPr>
      <w:r>
        <w:t xml:space="preserve">Inflammatory Cytokine Reduction</w:t>
      </w:r>
    </w:p>
    <w:p>
      <w:pPr>
        <w:pStyle w:val="FirstParagraph"/>
      </w:pPr>
      <w:r>
        <w:t xml:space="preserve">Studies document BCP-induced suppression of: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TNF-α</w:t>
      </w:r>
      <w:r>
        <w:t xml:space="preserve"> </w:t>
      </w:r>
      <w:r>
        <w:t xml:space="preserve">(tumor necrosis factor-alpha) — Key pro-inflammatory cytokine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IL-1β</w:t>
      </w:r>
      <w:r>
        <w:t xml:space="preserve"> </w:t>
      </w:r>
      <w:r>
        <w:t xml:space="preserve">(interleukin-1 beta) — Pyrogenic pro-inflammatory mediator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IL-6</w:t>
      </w:r>
      <w:r>
        <w:t xml:space="preserve"> </w:t>
      </w:r>
      <w:r>
        <w:t xml:space="preserve">(interleukin-6) — Systemic inflammation marker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IL-8</w:t>
      </w:r>
      <w:r>
        <w:t xml:space="preserve"> </w:t>
      </w:r>
      <w:r>
        <w:t xml:space="preserve">(CXCL8) — Chemotactic factor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Increased IL-13</w:t>
      </w:r>
      <w:r>
        <w:t xml:space="preserve"> </w:t>
      </w:r>
      <w:r>
        <w:t xml:space="preserve">— Anti-inflammatory Th2 cytokine (observed in arthritis models)</w:t>
      </w:r>
    </w:p>
    <w:bookmarkEnd w:id="38"/>
    <w:bookmarkStart w:id="43" w:name="phosphorylation-data"/>
    <w:p>
      <w:pPr>
        <w:pStyle w:val="Heading4"/>
      </w:pPr>
      <w:r>
        <w:t xml:space="preserve">Phosphorylation Data</w:t>
      </w:r>
    </w:p>
    <w:p>
      <w:pPr>
        <w:pStyle w:val="FirstParagraph"/>
      </w:pPr>
      <w:r>
        <w:t xml:space="preserve">Studies show BCP</w:t>
      </w:r>
      <w:r>
        <w:t xml:space="preserve"> </w:t>
      </w:r>
      <w:r>
        <w:rPr>
          <w:b/>
          <w:bCs/>
        </w:rPr>
        <w:t xml:space="preserve">significantly reduces Aβ-induced phosphorylation of NF-κB p65</w:t>
      </w:r>
      <w:r>
        <w:t xml:space="preserve"> </w:t>
      </w:r>
      <w:r>
        <w:t xml:space="preserve">(a key step in pro-inflammatory gene transcription). The degree of p65 phosphorylation inversely correlates with BCP dose.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39">
        <w:r>
          <w:rPr>
            <w:rStyle w:val="Hyperlink"/>
          </w:rPr>
          <w:t xml:space="preserve">MDPI: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“Multi-Target Protective Effects of β-Caryophyllene at the Intersection of Neuroinflammation”</w:t>
        </w:r>
      </w:hyperlink>
      <w:r>
        <w:t xml:space="preserve"> </w:t>
      </w:r>
      <w:r>
        <w:t xml:space="preserve">-</w:t>
      </w:r>
      <w:r>
        <w:t xml:space="preserve"> </w:t>
      </w:r>
      <w:hyperlink r:id="rId40">
        <w:r>
          <w:rPr>
            <w:rStyle w:val="Hyperlink"/>
          </w:rPr>
          <w:t xml:space="preserve">PMC: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“Protective Effects of (E)-β-Caryophyllene in Chronic Inflammation”</w:t>
        </w:r>
      </w:hyperlink>
      <w:r>
        <w:t xml:space="preserve"> </w:t>
      </w:r>
      <w:r>
        <w:t xml:space="preserve">-</w:t>
      </w:r>
      <w:r>
        <w:t xml:space="preserve"> </w:t>
      </w:r>
      <w:hyperlink r:id="rId41">
        <w:r>
          <w:rPr>
            <w:rStyle w:val="Hyperlink"/>
          </w:rPr>
          <w:t xml:space="preserve">American Journal of Pathology: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“β-Caryophyllene Inhibits DSS-Induced Colitis through CB2 and PPARγ”</w:t>
        </w:r>
      </w:hyperlink>
      <w:r>
        <w:t xml:space="preserve"> </w:t>
      </w:r>
      <w:r>
        <w:t xml:space="preserve">-</w:t>
      </w:r>
      <w:r>
        <w:t xml:space="preserve"> </w:t>
      </w:r>
      <w:hyperlink r:id="rId42">
        <w:r>
          <w:rPr>
            <w:rStyle w:val="Hyperlink"/>
          </w:rPr>
          <w:t xml:space="preserve">PMC: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“β-Caryophyllene Mitigates CAIA in Mice Through CB2/PPAR-γ Cross-Talk”</w:t>
        </w:r>
      </w:hyperlink>
    </w:p>
    <w:bookmarkEnd w:id="43"/>
    <w:bookmarkEnd w:id="44"/>
    <w:bookmarkStart w:id="50" w:name="trp-channel-activity-mixed-evidence"/>
    <w:p>
      <w:pPr>
        <w:pStyle w:val="Heading3"/>
      </w:pPr>
      <w:r>
        <w:t xml:space="preserve">TRP Channel Activity (Mixed Evidence)</w:t>
      </w:r>
    </w:p>
    <w:bookmarkStart w:id="45" w:name="trpv1-and-trpa1-interaction-status"/>
    <w:p>
      <w:pPr>
        <w:pStyle w:val="Heading4"/>
      </w:pPr>
      <w:r>
        <w:t xml:space="preserve">TRPV1 and TRPA1 Interaction Status</w:t>
      </w:r>
    </w:p>
    <w:p>
      <w:pPr>
        <w:pStyle w:val="FirstParagraph"/>
      </w:pPr>
      <w:r>
        <w:rPr>
          <w:b/>
          <w:bCs/>
        </w:rPr>
        <w:t xml:space="preserve">Recent contradictory evidence:</w:t>
      </w:r>
    </w:p>
    <w:p>
      <w:pPr>
        <w:pStyle w:val="BodyText"/>
      </w:pPr>
      <w:r>
        <w:t xml:space="preserve">A 2019 study in the journal</w:t>
      </w:r>
      <w:r>
        <w:t xml:space="preserve"> </w:t>
      </w:r>
      <w:r>
        <w:rPr>
          <w:i/>
          <w:iCs/>
        </w:rPr>
        <w:t xml:space="preserve">Cannabis and Cannabinoid Research</w:t>
      </w:r>
      <w:r>
        <w:t xml:space="preserve"> </w:t>
      </w:r>
      <w:r>
        <w:t xml:space="preserve">found that</w:t>
      </w:r>
      <w:r>
        <w:t xml:space="preserve"> </w:t>
      </w:r>
      <w:r>
        <w:rPr>
          <w:b/>
          <w:bCs/>
        </w:rPr>
        <w:t xml:space="preserve">β-caryophyllene did NOT activate TRPA1 and TRPV1 channels</w:t>
      </w:r>
      <w:r>
        <w:t xml:space="preserve"> </w:t>
      </w:r>
      <w:r>
        <w:t xml:space="preserve">in cells overexpressing these receptors. Researchers observed:</w:t>
      </w:r>
      <w:r>
        <w:t xml:space="preserve"> </w:t>
      </w:r>
      <w:r>
        <w:t xml:space="preserve">- No calcium influx in TRPA1-expressing human cells at physiological concentrations</w:t>
      </w:r>
      <w:r>
        <w:t xml:space="preserve"> </w:t>
      </w:r>
      <w:r>
        <w:t xml:space="preserve">- No calcium influx in TRPV1-expressing human cells</w:t>
      </w:r>
      <w:r>
        <w:t xml:space="preserve"> </w:t>
      </w:r>
      <w:r>
        <w:t xml:space="preserve">- Conclusion:</w:t>
      </w:r>
      <w:r>
        <w:t xml:space="preserve"> </w:t>
      </w:r>
      <w:r>
        <w:t xml:space="preserve">“Terpenoids commonly found in cannabis sativa do not modulate the actions of phytocannabinoids or endocannabinoids on TRPA1 and TRPV1 channels”</w:t>
      </w:r>
    </w:p>
    <w:p>
      <w:pPr>
        <w:pStyle w:val="BodyText"/>
      </w:pPr>
      <w:r>
        <w:rPr>
          <w:b/>
          <w:bCs/>
        </w:rPr>
        <w:t xml:space="preserve">However, in vivo evidence suggests indirect modulation:</w:t>
      </w:r>
    </w:p>
    <w:p>
      <w:pPr>
        <w:pStyle w:val="BodyText"/>
      </w:pPr>
      <w:r>
        <w:t xml:space="preserve">BCP modulates early events of cerebral inflammation triggered by hypoperfusion/reperfusion via: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BDNF-trkB system upregulation</w:t>
      </w:r>
      <w:r>
        <w:t xml:space="preserve"> </w:t>
      </w:r>
      <w:r>
        <w:t xml:space="preserve">(downstream of TRPV1 signaling)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TRPV1 expression regulation</w:t>
      </w:r>
      <w:r>
        <w:t xml:space="preserve"> </w:t>
      </w:r>
      <w:r>
        <w:t xml:space="preserve">— Not direct activation, but altered expression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Neuroprotection</w:t>
      </w:r>
      <w:r>
        <w:t xml:space="preserve"> </w:t>
      </w:r>
      <w:r>
        <w:t xml:space="preserve">— Independent of direct channel opening</w:t>
      </w:r>
    </w:p>
    <w:bookmarkEnd w:id="45"/>
    <w:bookmarkStart w:id="49" w:name="trpa1-and-anxiety-relevant-effects"/>
    <w:p>
      <w:pPr>
        <w:pStyle w:val="Heading4"/>
      </w:pPr>
      <w:r>
        <w:t xml:space="preserve">TRPA1 and Anxiety-Relevant Effects</w:t>
      </w:r>
    </w:p>
    <w:p>
      <w:pPr>
        <w:pStyle w:val="FirstParagraph"/>
      </w:pPr>
      <w:r>
        <w:t xml:space="preserve">Relevant to pre-loading applications:</w:t>
      </w:r>
      <w:r>
        <w:t xml:space="preserve"> </w:t>
      </w:r>
      <w:r>
        <w:rPr>
          <w:b/>
          <w:bCs/>
        </w:rPr>
        <w:t xml:space="preserve">TRPA1 antagonism</w:t>
      </w:r>
      <w:r>
        <w:t xml:space="preserve"> </w:t>
      </w:r>
      <w:r>
        <w:t xml:space="preserve">is associated with anxiolytic effects:</w:t>
      </w:r>
      <w:r>
        <w:t xml:space="preserve"> </w:t>
      </w:r>
      <w:r>
        <w:t xml:space="preserve">- TRPA1 exerts</w:t>
      </w:r>
      <w:r>
        <w:t xml:space="preserve"> </w:t>
      </w:r>
      <w:r>
        <w:t xml:space="preserve">“tonic control promoting anxiety and depression”</w:t>
      </w:r>
      <w:r>
        <w:t xml:space="preserve"> </w:t>
      </w:r>
      <w:r>
        <w:t xml:space="preserve">- TRPA1 antagonists show potential for anxiety and mood disorder treatment</w:t>
      </w:r>
      <w:r>
        <w:t xml:space="preserve"> </w:t>
      </w:r>
      <w:r>
        <w:t xml:space="preserve">- BCP’s anxiolytic effects may operate through indirect TRPA1 modulation rather than direct activation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46">
        <w:r>
          <w:rPr>
            <w:rStyle w:val="Hyperlink"/>
          </w:rPr>
          <w:t xml:space="preserve">Cannabis and Cannabinoid Research: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“Terpenoids do not modulate TRPA1 and TRPV1”</w:t>
        </w:r>
      </w:hyperlink>
      <w:r>
        <w:t xml:space="preserve"> </w:t>
      </w:r>
      <w:r>
        <w:t xml:space="preserve">-</w:t>
      </w:r>
      <w:r>
        <w:t xml:space="preserve"> </w:t>
      </w:r>
      <w:hyperlink r:id="rId47">
        <w:r>
          <w:rPr>
            <w:rStyle w:val="Hyperlink"/>
          </w:rPr>
          <w:t xml:space="preserve">PMC: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“Anti-Inflammatory Effect via TRPV1 and BDNF”</w:t>
        </w:r>
      </w:hyperlink>
      <w:r>
        <w:t xml:space="preserve"> </w:t>
      </w:r>
      <w:r>
        <w:t xml:space="preserve">-</w:t>
      </w:r>
      <w:r>
        <w:t xml:space="preserve"> </w:t>
      </w:r>
      <w:hyperlink r:id="rId48">
        <w:r>
          <w:rPr>
            <w:rStyle w:val="Hyperlink"/>
          </w:rPr>
          <w:t xml:space="preserve">PMC: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“TRPA1 blockade mediates antidepressant/anxiolytic actions”</w:t>
        </w:r>
      </w:hyperlink>
    </w:p>
    <w:bookmarkEnd w:id="49"/>
    <w:bookmarkEnd w:id="50"/>
    <w:bookmarkStart w:id="58" w:name="opioid-sparing-effects"/>
    <w:p>
      <w:pPr>
        <w:pStyle w:val="Heading3"/>
      </w:pPr>
      <w:r>
        <w:t xml:space="preserve">Opioid-Sparing Effects</w:t>
      </w:r>
    </w:p>
    <w:bookmarkStart w:id="51" w:name="mechanism-of-opioid-interaction"/>
    <w:p>
      <w:pPr>
        <w:pStyle w:val="Heading4"/>
      </w:pPr>
      <w:r>
        <w:t xml:space="preserve">Mechanism of Opioid Interaction</w:t>
      </w:r>
    </w:p>
    <w:p>
      <w:pPr>
        <w:pStyle w:val="FirstParagraph"/>
      </w:pPr>
      <w:r>
        <w:t xml:space="preserve">BCP mediates antinociception (pain suppression) through a unique mechanism involving</w:t>
      </w:r>
      <w:r>
        <w:t xml:space="preserve"> </w:t>
      </w:r>
      <w:r>
        <w:rPr>
          <w:b/>
          <w:bCs/>
        </w:rPr>
        <w:t xml:space="preserve">peripheral opioid receptor activation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CB2 → β-endorphin release pathway:</w:t>
      </w:r>
    </w:p>
    <w:p>
      <w:pPr>
        <w:pStyle w:val="Compact"/>
        <w:numPr>
          <w:ilvl w:val="0"/>
          <w:numId w:val="1001"/>
        </w:numPr>
      </w:pPr>
      <w:r>
        <w:t xml:space="preserve">BCP binds CB2 receptors on peripheral immune cells (keratinocytes, macrophages)</w:t>
      </w:r>
    </w:p>
    <w:p>
      <w:pPr>
        <w:pStyle w:val="Compact"/>
        <w:numPr>
          <w:ilvl w:val="0"/>
          <w:numId w:val="1001"/>
        </w:numPr>
      </w:pPr>
      <w:r>
        <w:t xml:space="preserve">CB2 activation triggers endogenous</w:t>
      </w:r>
      <w:r>
        <w:t xml:space="preserve"> </w:t>
      </w:r>
      <w:r>
        <w:rPr>
          <w:b/>
          <w:bCs/>
        </w:rPr>
        <w:t xml:space="preserve">β-endorphin release</w:t>
      </w:r>
      <w:r>
        <w:t xml:space="preserve"> </w:t>
      </w:r>
      <w:r>
        <w:t xml:space="preserve">from keratinocytes</w:t>
      </w:r>
    </w:p>
    <w:p>
      <w:pPr>
        <w:pStyle w:val="Compact"/>
        <w:numPr>
          <w:ilvl w:val="0"/>
          <w:numId w:val="1001"/>
        </w:numPr>
      </w:pPr>
      <w:r>
        <w:t xml:space="preserve">Released β-endorphin acts on μ-opioid receptors (mu-opioid receptor agonism)</w:t>
      </w:r>
    </w:p>
    <w:p>
      <w:pPr>
        <w:pStyle w:val="Compact"/>
        <w:numPr>
          <w:ilvl w:val="0"/>
          <w:numId w:val="1001"/>
        </w:numPr>
      </w:pPr>
      <w:r>
        <w:t xml:space="preserve">Result: Pain suppression WITHOUT central psychoactive effects</w:t>
      </w:r>
    </w:p>
    <w:bookmarkEnd w:id="51"/>
    <w:bookmarkStart w:id="52" w:name="experimental-evidence"/>
    <w:p>
      <w:pPr>
        <w:pStyle w:val="Heading4"/>
      </w:pPr>
      <w:r>
        <w:t xml:space="preserve">Experimental Evidence</w:t>
      </w:r>
    </w:p>
    <w:p>
      <w:pPr>
        <w:pStyle w:val="FirstParagraph"/>
      </w:pPr>
      <w:r>
        <w:rPr>
          <w:b/>
          <w:bCs/>
        </w:rPr>
        <w:t xml:space="preserve">Antagonist blocking studies (Quintana et al., unpublished; cited in FASEB Journal 2022):</w:t>
      </w:r>
      <w:r>
        <w:t xml:space="preserve"> </w:t>
      </w:r>
      <w:r>
        <w:t xml:space="preserve">- BCP antinociceptive effects</w:t>
      </w:r>
      <w:r>
        <w:t xml:space="preserve"> </w:t>
      </w:r>
      <w:r>
        <w:rPr>
          <w:b/>
          <w:bCs/>
        </w:rPr>
        <w:t xml:space="preserve">blocked by AM630</w:t>
      </w:r>
      <w:r>
        <w:t xml:space="preserve"> </w:t>
      </w:r>
      <w:r>
        <w:t xml:space="preserve">(CB2 antagonist) ✓</w:t>
      </w:r>
      <w:r>
        <w:t xml:space="preserve"> </w:t>
      </w:r>
      <w:r>
        <w:t xml:space="preserve">- BCP antinociceptive effects</w:t>
      </w:r>
      <w:r>
        <w:t xml:space="preserve"> </w:t>
      </w:r>
      <w:r>
        <w:rPr>
          <w:b/>
          <w:bCs/>
        </w:rPr>
        <w:t xml:space="preserve">blocked by AM251</w:t>
      </w:r>
      <w:r>
        <w:t xml:space="preserve"> </w:t>
      </w:r>
      <w:r>
        <w:t xml:space="preserve">(CB1 antagonist) ✗ — No effect</w:t>
      </w:r>
      <w:r>
        <w:t xml:space="preserve"> </w:t>
      </w:r>
      <w:r>
        <w:t xml:space="preserve">- BCP antinociceptive effects</w:t>
      </w:r>
      <w:r>
        <w:t xml:space="preserve"> </w:t>
      </w:r>
      <w:r>
        <w:rPr>
          <w:b/>
          <w:bCs/>
        </w:rPr>
        <w:t xml:space="preserve">blocked by naloxone</w:t>
      </w:r>
      <w:r>
        <w:t xml:space="preserve"> </w:t>
      </w:r>
      <w:r>
        <w:t xml:space="preserve">(pan-opioid antagonist) ✓ — Significant reversal</w:t>
      </w:r>
      <w:r>
        <w:t xml:space="preserve"> </w:t>
      </w:r>
      <w:r>
        <w:t xml:space="preserve">- BCP antinociceptive effects</w:t>
      </w:r>
      <w:r>
        <w:t xml:space="preserve"> </w:t>
      </w:r>
      <w:r>
        <w:rPr>
          <w:b/>
          <w:bCs/>
        </w:rPr>
        <w:t xml:space="preserve">blocked by naloxone methiodide</w:t>
      </w:r>
      <w:r>
        <w:t xml:space="preserve"> </w:t>
      </w:r>
      <w:r>
        <w:t xml:space="preserve">(peripheral opioid antagonist only) ✓ — Significant reversal</w:t>
      </w:r>
      <w:r>
        <w:t xml:space="preserve"> </w:t>
      </w:r>
      <w:r>
        <w:t xml:space="preserve">- BCP antinociceptive effects</w:t>
      </w:r>
      <w:r>
        <w:t xml:space="preserve"> </w:t>
      </w:r>
      <w:r>
        <w:rPr>
          <w:b/>
          <w:bCs/>
        </w:rPr>
        <w:t xml:space="preserve">blocked by β-endorphin antisera</w:t>
      </w:r>
      <w:r>
        <w:t xml:space="preserve"> </w:t>
      </w:r>
      <w:r>
        <w:t xml:space="preserve">✓ — Complete antagonism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pain relief mechanism is</w:t>
      </w:r>
      <w:r>
        <w:t xml:space="preserve"> </w:t>
      </w:r>
      <w:r>
        <w:rPr>
          <w:b/>
          <w:bCs/>
        </w:rPr>
        <w:t xml:space="preserve">CB2-dependent endogenous opioid release</w:t>
      </w:r>
      <w:r>
        <w:t xml:space="preserve">, NOT central opioid receptor activation.</w:t>
      </w:r>
    </w:p>
    <w:bookmarkEnd w:id="52"/>
    <w:bookmarkStart w:id="57" w:name="synergy-with-morphine"/>
    <w:p>
      <w:pPr>
        <w:pStyle w:val="Heading4"/>
      </w:pPr>
      <w:r>
        <w:t xml:space="preserve">Synergy with Morphine</w:t>
      </w:r>
    </w:p>
    <w:p>
      <w:pPr>
        <w:pStyle w:val="FirstParagraph"/>
      </w:pPr>
      <w:r>
        <w:t xml:space="preserve">Low-dose BCP co-administered with morphine</w:t>
      </w:r>
      <w:r>
        <w:t xml:space="preserve"> </w:t>
      </w:r>
      <w:r>
        <w:rPr>
          <w:b/>
          <w:bCs/>
        </w:rPr>
        <w:t xml:space="preserve">increases morphine-induced antinociception</w:t>
      </w:r>
      <w:r>
        <w:t xml:space="preserve">, demonstrating</w:t>
      </w:r>
      <w:r>
        <w:t xml:space="preserve"> </w:t>
      </w:r>
      <w:r>
        <w:rPr>
          <w:b/>
          <w:bCs/>
        </w:rPr>
        <w:t xml:space="preserve">opioid-sparing potential</w:t>
      </w:r>
      <w:r>
        <w:t xml:space="preserve"> </w:t>
      </w:r>
      <w:r>
        <w:t xml:space="preserve">(reduced opioid dosing requirements while maintaining analgesic efficacy).</w:t>
      </w:r>
    </w:p>
    <w:p>
      <w:pPr>
        <w:pStyle w:val="BodyText"/>
      </w:pPr>
      <w:r>
        <w:rPr>
          <w:b/>
          <w:bCs/>
        </w:rPr>
        <w:t xml:space="preserve">Caveat:</w:t>
      </w:r>
      <w:r>
        <w:t xml:space="preserve"> </w:t>
      </w:r>
      <w:r>
        <w:t xml:space="preserve">A 2022 meta-analysis of CB2-selective agonists found</w:t>
      </w:r>
      <w:r>
        <w:t xml:space="preserve"> </w:t>
      </w:r>
      <w:r>
        <w:rPr>
          <w:b/>
          <w:bCs/>
        </w:rPr>
        <w:t xml:space="preserve">mixed results</w:t>
      </w:r>
      <w:r>
        <w:t xml:space="preserve"> </w:t>
      </w:r>
      <w:r>
        <w:t xml:space="preserve">— some CB2 agonists (GP1a, JWH-015, LY2828360) showed opioid-sparing effects, but</w:t>
      </w:r>
      <w:r>
        <w:t xml:space="preserve"> </w:t>
      </w:r>
      <w:r>
        <w:rPr>
          <w:b/>
          <w:bCs/>
        </w:rPr>
        <w:t xml:space="preserve">β-caryophyllene and JWH-133</w:t>
      </w:r>
      <w:r>
        <w:t xml:space="preserve"> </w:t>
      </w:r>
      <w:r>
        <w:t xml:space="preserve">did not consistently demonstrate opioid-sparing effects across all studies reviewed.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53">
        <w:r>
          <w:rPr>
            <w:rStyle w:val="Hyperlink"/>
          </w:rPr>
          <w:t xml:space="preserve">PubMed: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“Involvement of peripheral cannabinoid and opioid receptors in BCP-induced antinociception”</w:t>
        </w:r>
      </w:hyperlink>
      <w:r>
        <w:t xml:space="preserve"> </w:t>
      </w:r>
      <w:r>
        <w:t xml:space="preserve">-</w:t>
      </w:r>
      <w:r>
        <w:t xml:space="preserve"> </w:t>
      </w:r>
      <w:hyperlink r:id="rId54">
        <w:r>
          <w:rPr>
            <w:rStyle w:val="Hyperlink"/>
          </w:rPr>
          <w:t xml:space="preserve">Nature: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“Opioid-Sparing Effect of Cannabinoids: Meta-Analysis”</w:t>
        </w:r>
      </w:hyperlink>
      <w:r>
        <w:t xml:space="preserve"> </w:t>
      </w:r>
      <w:r>
        <w:t xml:space="preserve">-</w:t>
      </w:r>
      <w:r>
        <w:t xml:space="preserve"> </w:t>
      </w:r>
      <w:hyperlink r:id="rId55">
        <w:r>
          <w:rPr>
            <w:rStyle w:val="Hyperlink"/>
          </w:rPr>
          <w:t xml:space="preserve">Nature: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“Opioid-sparing effect of cannabinoids - 2022 update”</w:t>
        </w:r>
      </w:hyperlink>
      <w:r>
        <w:t xml:space="preserve"> </w:t>
      </w:r>
      <w:r>
        <w:t xml:space="preserve">-</w:t>
      </w:r>
      <w:r>
        <w:t xml:space="preserve"> </w:t>
      </w:r>
      <w:hyperlink r:id="rId56">
        <w:r>
          <w:rPr>
            <w:rStyle w:val="Hyperlink"/>
          </w:rPr>
          <w:t xml:space="preserve">ScienceDirect: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“BCP exerts analgesic effects in inflammatory and neuropathic pain models”</w:t>
        </w:r>
      </w:hyperlink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4" w:name="section-5-clinical-evidence"/>
    <w:p>
      <w:pPr>
        <w:pStyle w:val="Heading2"/>
      </w:pPr>
      <w:r>
        <w:t xml:space="preserve">SECTION 5: CLINICAL EVIDENCE</w:t>
      </w:r>
    </w:p>
    <w:bookmarkStart w:id="60" w:name="fda-gras-status"/>
    <w:p>
      <w:pPr>
        <w:pStyle w:val="Heading3"/>
      </w:pPr>
      <w:r>
        <w:t xml:space="preserve">FDA GRAS Status</w:t>
      </w:r>
    </w:p>
    <w:p>
      <w:pPr>
        <w:pStyle w:val="FirstParagraph"/>
      </w:pPr>
      <w:r>
        <w:rPr>
          <w:b/>
          <w:bCs/>
        </w:rPr>
        <w:t xml:space="preserve">Official regulatory designation:</w:t>
      </w:r>
      <w:r>
        <w:t xml:space="preserve"> </w:t>
      </w:r>
      <w:r>
        <w:t xml:space="preserve">β-Caryophyllene is included in the</w:t>
      </w:r>
      <w:r>
        <w:t xml:space="preserve"> </w:t>
      </w:r>
      <w:r>
        <w:rPr>
          <w:b/>
          <w:bCs/>
        </w:rPr>
        <w:t xml:space="preserve">FDA</w:t>
      </w:r>
      <w:r>
        <w:rPr>
          <w:b/>
          <w:bCs/>
        </w:rPr>
        <w:t xml:space="preserve"> </w:t>
      </w:r>
      <w:r>
        <w:rPr>
          <w:b/>
          <w:bCs/>
        </w:rPr>
        <w:t xml:space="preserve">“Generally Recognized as Safe”</w:t>
      </w:r>
      <w:r>
        <w:rPr>
          <w:b/>
          <w:bCs/>
        </w:rPr>
        <w:t xml:space="preserve"> </w:t>
      </w:r>
      <w:r>
        <w:rPr>
          <w:b/>
          <w:bCs/>
        </w:rPr>
        <w:t xml:space="preserve">(GRAS) list</w:t>
      </w:r>
      <w:r>
        <w:t xml:space="preserve"> </w:t>
      </w:r>
      <w:r>
        <w:t xml:space="preserve">for use as:</w:t>
      </w:r>
      <w:r>
        <w:t xml:space="preserve"> </w:t>
      </w:r>
      <w:r>
        <w:t xml:space="preserve">- Food additive and flavoring agent</w:t>
      </w:r>
      <w:r>
        <w:t xml:space="preserve"> </w:t>
      </w:r>
      <w:r>
        <w:t xml:space="preserve">- Cosmetic additive</w:t>
      </w:r>
      <w:r>
        <w:t xml:space="preserve"> </w:t>
      </w:r>
      <w:r>
        <w:t xml:space="preserve">- Preservative in beverages and processed foods</w:t>
      </w:r>
      <w:r>
        <w:t xml:space="preserve"> </w:t>
      </w:r>
      <w:r>
        <w:t xml:space="preserve">- Annual consumption:</w:t>
      </w:r>
      <w:r>
        <w:t xml:space="preserve"> </w:t>
      </w:r>
      <w:r>
        <w:rPr>
          <w:b/>
          <w:bCs/>
        </w:rPr>
        <w:t xml:space="preserve">100-1000 metric tons worldwide</w:t>
      </w:r>
      <w:r>
        <w:t xml:space="preserve"> </w:t>
      </w:r>
      <w:r>
        <w:t xml:space="preserve">(food, cosmetic, and fragrance industries combined)</w:t>
      </w:r>
    </w:p>
    <w:p>
      <w:pPr>
        <w:pStyle w:val="BodyText"/>
      </w:pPr>
      <w:r>
        <w:rPr>
          <w:b/>
          <w:bCs/>
        </w:rPr>
        <w:t xml:space="preserve">FEMA GRAS classification:</w:t>
      </w:r>
      <w:r>
        <w:t xml:space="preserve"> </w:t>
      </w:r>
      <w:r>
        <w:t xml:space="preserve">Confirmed by the Flavor and Extract Manufacturers Association</w:t>
      </w:r>
    </w:p>
    <w:p>
      <w:pPr>
        <w:pStyle w:val="BodyText"/>
      </w:pPr>
      <w:r>
        <w:rPr>
          <w:b/>
          <w:bCs/>
        </w:rPr>
        <w:t xml:space="preserve">Dietary cannabinoid status:</w:t>
      </w:r>
      <w:r>
        <w:t xml:space="preserve"> </w:t>
      </w:r>
      <w:r>
        <w:t xml:space="preserve">BCP was formally designated a</w:t>
      </w:r>
      <w:r>
        <w:t xml:space="preserve"> </w:t>
      </w:r>
      <w:r>
        <w:t xml:space="preserve">“dietary cannabinoid”</w:t>
      </w:r>
      <w:r>
        <w:t xml:space="preserve"> </w:t>
      </w:r>
      <w:r>
        <w:t xml:space="preserve">in the landmark 2008 Gertsch publication, making it the first non-plant-cannabis phytocannabinoid to receive this classification.</w:t>
      </w:r>
    </w:p>
    <w:bookmarkEnd w:id="60"/>
    <w:bookmarkStart w:id="65" w:name="human-clinical-trial-evidence-limited"/>
    <w:p>
      <w:pPr>
        <w:pStyle w:val="Heading3"/>
      </w:pPr>
      <w:r>
        <w:t xml:space="preserve">Human Clinical Trial Evidence (Limited)</w:t>
      </w:r>
    </w:p>
    <w:bookmarkStart w:id="61" w:name="food-addiction-study-2022"/>
    <w:p>
      <w:pPr>
        <w:pStyle w:val="Heading4"/>
      </w:pPr>
      <w:r>
        <w:t xml:space="preserve">Food Addiction Study (2022)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Effects of β-caryophyllene on food addiction and eating behaviors in women with obesity — randomized, double-blind, placebo-controlled trial</w:t>
      </w:r>
    </w:p>
    <w:p>
      <w:pPr>
        <w:pStyle w:val="BodyText"/>
      </w:pPr>
      <w:r>
        <w:rPr>
          <w:b/>
          <w:bCs/>
        </w:rPr>
        <w:t xml:space="preserve">Design: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 = 100</w:t>
      </w:r>
      <w:r>
        <w:t xml:space="preserve"> </w:t>
      </w:r>
      <w:r>
        <w:t xml:space="preserve">women with obesity (BMI 30-35)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8 weeks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Dose:</w:t>
      </w:r>
      <w:r>
        <w:t xml:space="preserve"> </w:t>
      </w:r>
      <w:r>
        <w:t xml:space="preserve">Not specified in search results (requires full text access)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Intervention:</w:t>
      </w:r>
      <w:r>
        <w:t xml:space="preserve"> </w:t>
      </w:r>
      <w:r>
        <w:t xml:space="preserve">BCP supplementation vs. placebo</w:t>
      </w:r>
    </w:p>
    <w:p>
      <w:pPr>
        <w:pStyle w:val="BodyText"/>
      </w:pPr>
      <w:r>
        <w:rPr>
          <w:b/>
          <w:bCs/>
        </w:rPr>
        <w:t xml:space="preserve">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Favorable impact:</w:t>
      </w:r>
      <w:r>
        <w:t xml:space="preserve"> </w:t>
      </w:r>
      <w:r>
        <w:t xml:space="preserve">Significant reduction in food addiction symptoms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Null findings:</w:t>
      </w:r>
      <w:r>
        <w:t xml:space="preserve"> </w:t>
      </w:r>
      <w:r>
        <w:t xml:space="preserve">No significant effects on:</w:t>
      </w:r>
      <w:r>
        <w:t xml:space="preserve"> </w:t>
      </w:r>
      <w:r>
        <w:t xml:space="preserve">- Body composition</w:t>
      </w:r>
      <w:r>
        <w:t xml:space="preserve"> </w:t>
      </w:r>
      <w:r>
        <w:t xml:space="preserve">- Anthropometric indices (weight, waist circumference)</w:t>
      </w:r>
      <w:r>
        <w:t xml:space="preserve"> </w:t>
      </w:r>
      <w:r>
        <w:t xml:space="preserve">- Appetite ratings</w:t>
      </w:r>
      <w:r>
        <w:t xml:space="preserve"> </w:t>
      </w:r>
      <w:r>
        <w:t xml:space="preserve">- Eating behavior frequency</w:t>
      </w:r>
      <w:r>
        <w:t xml:space="preserve"> </w:t>
      </w:r>
      <w:r>
        <w:t xml:space="preserve">- Dietary intake patterns</w:t>
      </w:r>
      <w:r>
        <w:t xml:space="preserve"> </w:t>
      </w:r>
      <w:r>
        <w:t xml:space="preserve">- Physical activity level</w:t>
      </w:r>
      <w:r>
        <w:t xml:space="preserve"> </w:t>
      </w:r>
      <w:r>
        <w:t xml:space="preserve">- Mental health scores</w:t>
      </w:r>
      <w:r>
        <w:t xml:space="preserve"> </w:t>
      </w:r>
      <w:r>
        <w:t xml:space="preserve">- Oxytocin and neuropeptide Y levels</w:t>
      </w:r>
    </w:p>
    <w:p>
      <w:pPr>
        <w:pStyle w:val="BodyText"/>
      </w:pPr>
      <w:r>
        <w:rPr>
          <w:b/>
          <w:bCs/>
        </w:rPr>
        <w:t xml:space="preserve">Interpretation:</w:t>
      </w:r>
      <w:r>
        <w:t xml:space="preserve"> </w:t>
      </w:r>
      <w:r>
        <w:t xml:space="preserve">BCP may have specific behavioral effects on food-seeking behavior without broad metabolic effects.</w:t>
      </w:r>
    </w:p>
    <w:bookmarkEnd w:id="61"/>
    <w:bookmarkStart w:id="62" w:name="pharmacokinetic-study-2022"/>
    <w:p>
      <w:pPr>
        <w:pStyle w:val="Heading4"/>
      </w:pPr>
      <w:r>
        <w:t xml:space="preserve">Pharmacokinetic Study (2022)</w:t>
      </w:r>
    </w:p>
    <w:p>
      <w:pPr>
        <w:pStyle w:val="FirstParagraph"/>
      </w:pPr>
      <w:r>
        <w:rPr>
          <w:b/>
          <w:bCs/>
        </w:rPr>
        <w:t xml:space="preserve">Design: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 = 12</w:t>
      </w:r>
      <w:r>
        <w:t xml:space="preserve"> </w:t>
      </w:r>
      <w:r>
        <w:t xml:space="preserve">healthy human volunteers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Intervention:</w:t>
      </w:r>
      <w:r>
        <w:t xml:space="preserve"> </w:t>
      </w:r>
      <w:r>
        <w:t xml:space="preserve">Oral β-caryophyllene in standard oil form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finding:</w:t>
      </w:r>
      <w:r>
        <w:t xml:space="preserve"> </w:t>
      </w:r>
      <w:r>
        <w:rPr>
          <w:b/>
          <w:bCs/>
        </w:rPr>
        <w:t xml:space="preserve">Poor oral bioavailability</w:t>
      </w:r>
      <w:r>
        <w:t xml:space="preserve"> </w:t>
      </w:r>
      <w:r>
        <w:t xml:space="preserve">in unformulated state</w:t>
      </w:r>
    </w:p>
    <w:p>
      <w:pPr>
        <w:pStyle w:val="BodyText"/>
      </w:pPr>
      <w:r>
        <w:rPr>
          <w:b/>
          <w:bCs/>
        </w:rPr>
        <w:t xml:space="preserve">Comparison:</w:t>
      </w:r>
      <w:r>
        <w:t xml:space="preserve"> </w:t>
      </w:r>
      <w:r>
        <w:t xml:space="preserve">Specialized delivery systems (SEDDS formulation, β-cyclodextrin complexes) showed</w:t>
      </w:r>
      <w:r>
        <w:t xml:space="preserve"> </w:t>
      </w:r>
      <w:r>
        <w:rPr>
          <w:b/>
          <w:bCs/>
        </w:rPr>
        <w:t xml:space="preserve">2.2-3.6 fold improvements</w:t>
      </w:r>
      <w:r>
        <w:t xml:space="preserve"> </w:t>
      </w:r>
      <w:r>
        <w:t xml:space="preserve">in bioavailability parameters.</w:t>
      </w:r>
    </w:p>
    <w:bookmarkEnd w:id="62"/>
    <w:bookmarkStart w:id="64" w:name="methamphetamine-craving-study-2021"/>
    <w:p>
      <w:pPr>
        <w:pStyle w:val="Heading4"/>
      </w:pPr>
      <w:r>
        <w:t xml:space="preserve">Methamphetamine Craving Study (2021)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hyperlink r:id="rId63">
        <w:r>
          <w:rPr>
            <w:rStyle w:val="Hyperlink"/>
          </w:rPr>
          <w:t xml:space="preserve">Frontiers in Pharmacology: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“β-caryophyllene, an FDA-Approved Food Additive, Inhibits Methamphetamine-Taking and Methamphetamine-Seeking Behaviors”</w:t>
        </w:r>
      </w:hyperlink>
    </w:p>
    <w:p>
      <w:pPr>
        <w:pStyle w:val="BodyText"/>
      </w:pPr>
      <w:r>
        <w:rPr>
          <w:b/>
          <w:bCs/>
        </w:rPr>
        <w:t xml:space="preserve">Study type:</w:t>
      </w:r>
      <w:r>
        <w:t xml:space="preserve"> </w:t>
      </w:r>
      <w:r>
        <w:t xml:space="preserve">Preclinical mouse models (NOT human clinical trial)</w:t>
      </w:r>
      <w:r>
        <w:br/>
      </w:r>
      <w:r>
        <w:rPr>
          <w:b/>
          <w:bCs/>
        </w:rPr>
        <w:t xml:space="preserve">Findings:</w:t>
      </w:r>
      <w:r>
        <w:t xml:space="preserve"> </w:t>
      </w:r>
      <w:r>
        <w:t xml:space="preserve">BCP reduced methamphetamine self-administration and reinstatement of drug-seeking behavior, possibly via CB2 and non-CB2 receptor mechanisms</w:t>
      </w:r>
    </w:p>
    <w:bookmarkEnd w:id="64"/>
    <w:bookmarkEnd w:id="65"/>
    <w:bookmarkStart w:id="69" w:name="X7e95665c0006c54630d1a3db2d517ace227cf2f"/>
    <w:p>
      <w:pPr>
        <w:pStyle w:val="Heading3"/>
      </w:pPr>
      <w:r>
        <w:t xml:space="preserve">Animal Model Studies (Primary Evidence Base)</w:t>
      </w:r>
    </w:p>
    <w:bookmarkStart w:id="66" w:name="anxiety-and-depression-models"/>
    <w:p>
      <w:pPr>
        <w:pStyle w:val="Heading4"/>
      </w:pPr>
      <w:r>
        <w:t xml:space="preserve">Anxiety and Depression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440"/>
        <w:gridCol w:w="21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Dose</w:t>
            </w:r>
          </w:p>
        </w:tc>
        <w:tc>
          <w:tcPr/>
          <w:p>
            <w:pPr>
              <w:pStyle w:val="Compact"/>
            </w:pPr>
            <w:r>
              <w:t xml:space="preserve">Effects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Elevated plus-maze (EPM)</w:t>
            </w:r>
          </w:p>
        </w:tc>
        <w:tc>
          <w:tcPr/>
          <w:p>
            <w:pPr>
              <w:pStyle w:val="Compact"/>
            </w:pPr>
            <w:r>
              <w:t xml:space="preserve">25-50 mg/kg</w:t>
            </w:r>
          </w:p>
        </w:tc>
        <w:tc>
          <w:tcPr/>
          <w:p>
            <w:pPr>
              <w:pStyle w:val="Compact"/>
            </w:pPr>
            <w:r>
              <w:t xml:space="preserve">Anxiolytic, similar to diazepam</w:t>
            </w:r>
          </w:p>
        </w:tc>
        <w:tc>
          <w:tcPr/>
          <w:p>
            <w:pPr>
              <w:pStyle w:val="Compact"/>
            </w:pPr>
            <w:r>
              <w:t xml:space="preserve">Machado et al., 2020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Elevated plus-maze</w:t>
            </w:r>
          </w:p>
        </w:tc>
        <w:tc>
          <w:tcPr/>
          <w:p>
            <w:pPr>
              <w:pStyle w:val="Compact"/>
            </w:pPr>
            <w:r>
              <w:t xml:space="preserve">10-50 mg/kg</w:t>
            </w:r>
          </w:p>
        </w:tc>
        <w:tc>
          <w:tcPr/>
          <w:p>
            <w:pPr>
              <w:pStyle w:val="Compact"/>
            </w:pPr>
            <w:r>
              <w:t xml:space="preserve">Dose-dependent anxiety reduction</w:t>
            </w:r>
          </w:p>
        </w:tc>
        <w:tc>
          <w:tcPr/>
          <w:p>
            <w:pPr>
              <w:pStyle w:val="Compact"/>
            </w:pPr>
            <w:r>
              <w:t xml:space="preserve">Multiple studies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 suspension test</w:t>
            </w:r>
          </w:p>
        </w:tc>
        <w:tc>
          <w:tcPr/>
          <w:p>
            <w:pPr>
              <w:pStyle w:val="Compact"/>
            </w:pPr>
            <w:r>
              <w:t xml:space="preserve">25-100 mg/kg</w:t>
            </w:r>
          </w:p>
        </w:tc>
        <w:tc>
          <w:tcPr/>
          <w:p>
            <w:pPr>
              <w:pStyle w:val="Compact"/>
            </w:pPr>
            <w:r>
              <w:t xml:space="preserve">Reduced behavioral despair (antidepressant)</w:t>
            </w:r>
          </w:p>
        </w:tc>
        <w:tc>
          <w:tcPr/>
          <w:p>
            <w:pPr>
              <w:pStyle w:val="Compact"/>
            </w:pPr>
            <w:r>
              <w:t xml:space="preserve">Preclinical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Forced swim test</w:t>
            </w:r>
          </w:p>
        </w:tc>
        <w:tc>
          <w:tcPr/>
          <w:p>
            <w:pPr>
              <w:pStyle w:val="Compact"/>
            </w:pPr>
            <w:r>
              <w:t xml:space="preserve">25-100 mg/kg</w:t>
            </w:r>
          </w:p>
        </w:tc>
        <w:tc>
          <w:tcPr/>
          <w:p>
            <w:pPr>
              <w:pStyle w:val="Compact"/>
            </w:pPr>
            <w:r>
              <w:t xml:space="preserve">Reduced immobility (antidepressant)</w:t>
            </w:r>
          </w:p>
        </w:tc>
        <w:tc>
          <w:tcPr/>
          <w:p>
            <w:pPr>
              <w:pStyle w:val="Compact"/>
            </w:pPr>
            <w:r>
              <w:t xml:space="preserve">Behavioral pharmacology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Restraint stress model</w:t>
            </w:r>
          </w:p>
        </w:tc>
        <w:tc>
          <w:tcPr/>
          <w:p>
            <w:pPr>
              <w:pStyle w:val="Compact"/>
            </w:pPr>
            <w:r>
              <w:t xml:space="preserve">25-50 mg/kg</w:t>
            </w:r>
          </w:p>
        </w:tc>
        <w:tc>
          <w:tcPr/>
          <w:p>
            <w:pPr>
              <w:pStyle w:val="Compact"/>
            </w:pPr>
            <w:r>
              <w:t xml:space="preserve">Antidepressant-like effects</w:t>
            </w:r>
          </w:p>
        </w:tc>
        <w:tc>
          <w:tcPr/>
          <w:p>
            <w:pPr>
              <w:pStyle w:val="Compact"/>
            </w:pPr>
            <w:r>
              <w:t xml:space="preserve">Stress-induced depression models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rPr>
          <w:b/>
          <w:bCs/>
        </w:rPr>
        <w:t xml:space="preserve">No human clinical trials</w:t>
      </w:r>
      <w:r>
        <w:t xml:space="preserve"> </w:t>
      </w:r>
      <w:r>
        <w:t xml:space="preserve">have yet evaluated BCP’s anxiolytic or antidepressant effects in anxiety or depressive disorders.</w:t>
      </w:r>
    </w:p>
    <w:bookmarkEnd w:id="66"/>
    <w:bookmarkStart w:id="67" w:name="inflammatory-arthritis-model"/>
    <w:p>
      <w:pPr>
        <w:pStyle w:val="Heading4"/>
      </w:pPr>
      <w:r>
        <w:t xml:space="preserve">Inflammatory Arthritis Model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Alves AR, et al. </w:t>
      </w:r>
      <w:r>
        <w:t xml:space="preserve">“β-Caryophyllene Mitigates Collagen Antibody Induced Arthritis (CAIA) in Mice Through a Cross-Talk between CB2 and PPAR-γ Receptors.”</w:t>
      </w:r>
      <w:r>
        <w:t xml:space="preserve"> </w:t>
      </w:r>
      <w:r>
        <w:rPr>
          <w:i/>
          <w:iCs/>
        </w:rPr>
        <w:t xml:space="preserve">Journal of Immunology</w:t>
      </w:r>
      <w:r>
        <w:t xml:space="preserve">. 2019.</w:t>
      </w:r>
      <w:r>
        <w:t xml:space="preserve"> </w:t>
      </w:r>
      <w:hyperlink r:id="rId42">
        <w:r>
          <w:rPr>
            <w:rStyle w:val="Hyperlink"/>
          </w:rPr>
          <w:t xml:space="preserve">PMC full text</w:t>
        </w:r>
      </w:hyperlink>
    </w:p>
    <w:p>
      <w:pPr>
        <w:pStyle w:val="BodyText"/>
      </w:pPr>
      <w:r>
        <w:rPr>
          <w:b/>
          <w:bCs/>
        </w:rPr>
        <w:t xml:space="preserve">Model:</w:t>
      </w:r>
      <w:r>
        <w:t xml:space="preserve"> </w:t>
      </w:r>
      <w:r>
        <w:t xml:space="preserve">Collagen Antibody-Induced Arthritis (CAIA) in mice</w:t>
      </w:r>
    </w:p>
    <w:p>
      <w:pPr>
        <w:pStyle w:val="BodyText"/>
      </w:pPr>
      <w:r>
        <w:rPr>
          <w:b/>
          <w:bCs/>
        </w:rPr>
        <w:t xml:space="preserve">Protocol: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Dose:</w:t>
      </w:r>
      <w:r>
        <w:t xml:space="preserve"> </w:t>
      </w:r>
      <w:r>
        <w:t xml:space="preserve">10 mg/kg/100 μL, oral administration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Timing:</w:t>
      </w:r>
      <w:r>
        <w:t xml:space="preserve"> </w:t>
      </w:r>
      <w:r>
        <w:t xml:space="preserve">Daily dosing throughout disease course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Mechanism:</w:t>
      </w:r>
      <w:r>
        <w:t xml:space="preserve"> </w:t>
      </w:r>
      <w:r>
        <w:t xml:space="preserve">CB2/PPARγ cross-talk with dual receptor antagonism (AM630 for CB2, GW9662 for PPARγ)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↓ Disease severity</w:t>
      </w:r>
      <w:r>
        <w:t xml:space="preserve"> </w:t>
      </w:r>
      <w:r>
        <w:t xml:space="preserve">— Reduced paw swelling and inflammation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↓ Pro-inflammatory cytokines</w:t>
      </w:r>
      <w:r>
        <w:t xml:space="preserve"> </w:t>
      </w:r>
      <w:r>
        <w:t xml:space="preserve">— TNF-α, IL-1β, IL-6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↑ Anti-inflammatory cytokine</w:t>
      </w:r>
      <w:r>
        <w:t xml:space="preserve"> </w:t>
      </w:r>
      <w:r>
        <w:t xml:space="preserve">— IL-13 increased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Antagonist reversal:</w:t>
      </w:r>
      <w:r>
        <w:t xml:space="preserve"> </w:t>
      </w:r>
      <w:r>
        <w:t xml:space="preserve">CB2 and PPARγ antagonists significantly reduced BCP protective effects</w:t>
      </w:r>
    </w:p>
    <w:bookmarkEnd w:id="67"/>
    <w:bookmarkStart w:id="68" w:name="inflammatory-bowel-disease-model"/>
    <w:p>
      <w:pPr>
        <w:pStyle w:val="Heading4"/>
      </w:pPr>
      <w:r>
        <w:t xml:space="preserve">Inflammatory Bowel Disease Model</w:t>
      </w:r>
    </w:p>
    <w:p>
      <w:pPr>
        <w:pStyle w:val="FirstParagraph"/>
      </w:pPr>
      <w:r>
        <w:rPr>
          <w:b/>
          <w:bCs/>
        </w:rPr>
        <w:t xml:space="preserve">Citation:</w:t>
      </w:r>
      <w:r>
        <w:t xml:space="preserve"> </w:t>
      </w:r>
      <w:r>
        <w:t xml:space="preserve">Sándor K, et al. </w:t>
      </w:r>
      <w:r>
        <w:t xml:space="preserve">“β-Caryophyllene Inhibits Dextran Sulfate Sodium-Induced Colitis in Mice through CB2 Receptor Activation and PPARγ Pathway.”</w:t>
      </w:r>
      <w:r>
        <w:t xml:space="preserve"> </w:t>
      </w:r>
      <w:r>
        <w:rPr>
          <w:i/>
          <w:iCs/>
        </w:rPr>
        <w:t xml:space="preserve">American Journal of Pathology</w:t>
      </w:r>
      <w:r>
        <w:t xml:space="preserve">. 2011.</w:t>
      </w:r>
      <w:r>
        <w:t xml:space="preserve"> </w:t>
      </w:r>
      <w:hyperlink r:id="rId41">
        <w:r>
          <w:rPr>
            <w:rStyle w:val="Hyperlink"/>
          </w:rPr>
          <w:t xml:space="preserve">Full text</w:t>
        </w:r>
      </w:hyperlink>
    </w:p>
    <w:p>
      <w:pPr>
        <w:pStyle w:val="BodyText"/>
      </w:pPr>
      <w:r>
        <w:rPr>
          <w:b/>
          <w:bCs/>
        </w:rPr>
        <w:t xml:space="preserve">Model:</w:t>
      </w:r>
      <w:r>
        <w:t xml:space="preserve"> </w:t>
      </w:r>
      <w:r>
        <w:t xml:space="preserve">Dextran sulfate sodium (DSS)-induced colitis (acute model of IBD)</w:t>
      </w:r>
    </w:p>
    <w:p>
      <w:pPr>
        <w:pStyle w:val="BodyText"/>
      </w:pPr>
      <w:r>
        <w:rPr>
          <w:b/>
          <w:bCs/>
        </w:rPr>
        <w:t xml:space="preserve">Protocol: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Preventive dosing:</w:t>
      </w:r>
      <w:r>
        <w:t xml:space="preserve"> </w:t>
      </w:r>
      <w:r>
        <w:t xml:space="preserve">12.5, 25, or 50 mg/kg orally, twice daily, days 0-7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Therapeutic dosing:</w:t>
      </w:r>
      <w:r>
        <w:t xml:space="preserve"> </w:t>
      </w:r>
      <w:r>
        <w:t xml:space="preserve">50 mg/kg daily, days 3-7 (after disease initiation)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Disease induction:</w:t>
      </w:r>
      <w:r>
        <w:t xml:space="preserve"> </w:t>
      </w:r>
      <w:r>
        <w:t xml:space="preserve">3% DSS in drinking water, days 0-5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Dose-dependent protection</w:t>
      </w:r>
      <w:r>
        <w:t xml:space="preserve"> </w:t>
      </w:r>
      <w:r>
        <w:t xml:space="preserve">— 50 mg/kg showed maximal efficacy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↓ Colonic inflammation</w:t>
      </w:r>
      <w:r>
        <w:t xml:space="preserve"> </w:t>
      </w:r>
      <w:r>
        <w:t xml:space="preserve">— Reduced tissue damage, ulceration, and infiltration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↓ Pro-inflammatory markers</w:t>
      </w:r>
      <w:r>
        <w:t xml:space="preserve"> </w:t>
      </w:r>
      <w:r>
        <w:t xml:space="preserve">— Myeloperoxidase (MPO) activity reduced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↓ Cytokines:</w:t>
      </w:r>
      <w:r>
        <w:t xml:space="preserve"> </w:t>
      </w:r>
      <w:r>
        <w:t xml:space="preserve">TNF-α, IL-1β, IL-6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Mechanism confirmation:</w:t>
      </w:r>
      <w:r>
        <w:t xml:space="preserve"> </w:t>
      </w:r>
      <w:r>
        <w:t xml:space="preserve">PPARγ antagonist GW9662 reversed protective effects by 60-70%</w:t>
      </w:r>
    </w:p>
    <w:bookmarkEnd w:id="68"/>
    <w:bookmarkEnd w:id="69"/>
    <w:bookmarkStart w:id="73" w:name="clinical-evidence-summary"/>
    <w:p>
      <w:pPr>
        <w:pStyle w:val="Heading3"/>
      </w:pPr>
      <w:r>
        <w:t xml:space="preserve">Clinical Evidence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3620"/>
        <w:gridCol w:w="1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Food addiction</w:t>
            </w:r>
          </w:p>
        </w:tc>
        <w:tc>
          <w:tcPr/>
          <w:p>
            <w:pPr>
              <w:pStyle w:val="Compact"/>
            </w:pPr>
            <w:r>
              <w:t xml:space="preserve">Human RCT</w:t>
            </w:r>
          </w:p>
        </w:tc>
        <w:tc>
          <w:tcPr/>
          <w:p>
            <w:pPr>
              <w:pStyle w:val="Compact"/>
            </w:pPr>
            <w:r>
              <w:t xml:space="preserve">Limited positive for behavior, negative for metabolism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Preclinical only</w:t>
            </w:r>
          </w:p>
        </w:tc>
        <w:tc>
          <w:tcPr/>
          <w:p>
            <w:pPr>
              <w:pStyle w:val="Compact"/>
            </w:pPr>
            <w:r>
              <w:t xml:space="preserve">Mouse models show dose-dependent effect; no human trials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Depression</w:t>
            </w:r>
          </w:p>
        </w:tc>
        <w:tc>
          <w:tcPr/>
          <w:p>
            <w:pPr>
              <w:pStyle w:val="Compact"/>
            </w:pPr>
            <w:r>
              <w:t xml:space="preserve">Preclinical only</w:t>
            </w:r>
          </w:p>
        </w:tc>
        <w:tc>
          <w:tcPr/>
          <w:p>
            <w:pPr>
              <w:pStyle w:val="Compact"/>
            </w:pPr>
            <w:r>
              <w:t xml:space="preserve">Restraint stress models positive; no human trials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Inflammatory arthritis</w:t>
            </w:r>
          </w:p>
        </w:tc>
        <w:tc>
          <w:tcPr/>
          <w:p>
            <w:pPr>
              <w:pStyle w:val="Compact"/>
            </w:pPr>
            <w:r>
              <w:t xml:space="preserve">Preclinical (CAIA mice)</w:t>
            </w:r>
          </w:p>
        </w:tc>
        <w:tc>
          <w:tcPr/>
          <w:p>
            <w:pPr>
              <w:pStyle w:val="Compact"/>
            </w:pPr>
            <w:r>
              <w:t xml:space="preserve">Positive; CB2/PPARγ mechanism 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IBD/Colitis</w:t>
            </w:r>
          </w:p>
        </w:tc>
        <w:tc>
          <w:tcPr/>
          <w:p>
            <w:pPr>
              <w:pStyle w:val="Compact"/>
            </w:pPr>
            <w:r>
              <w:t xml:space="preserve">Preclinical (DSS mice)</w:t>
            </w:r>
          </w:p>
        </w:tc>
        <w:tc>
          <w:tcPr/>
          <w:p>
            <w:pPr>
              <w:pStyle w:val="Compact"/>
            </w:pPr>
            <w:r>
              <w:t xml:space="preserve">Positive; dose-dependent; mechanism 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</w:t>
            </w:r>
          </w:p>
        </w:tc>
        <w:tc>
          <w:tcPr/>
          <w:p>
            <w:pPr>
              <w:pStyle w:val="Compact"/>
            </w:pPr>
            <w:r>
              <w:t xml:space="preserve">Preclinical</w:t>
            </w:r>
          </w:p>
        </w:tc>
        <w:tc>
          <w:tcPr/>
          <w:p>
            <w:pPr>
              <w:pStyle w:val="Compact"/>
            </w:pPr>
            <w:r>
              <w:t xml:space="preserve">Opioid-sparing mechanism; limited human evidence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gap:</w:t>
      </w:r>
      <w:r>
        <w:t xml:space="preserve"> </w:t>
      </w:r>
      <w:r>
        <w:t xml:space="preserve">Human clinical evidence remains</w:t>
      </w:r>
      <w:r>
        <w:t xml:space="preserve"> </w:t>
      </w:r>
      <w:r>
        <w:rPr>
          <w:b/>
          <w:bCs/>
        </w:rPr>
        <w:t xml:space="preserve">extremely limited</w:t>
      </w:r>
      <w:r>
        <w:t xml:space="preserve">. Most therapeutic claims derive from rodent models with uncertain translational potential.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70">
        <w:r>
          <w:rPr>
            <w:rStyle w:val="Hyperlink"/>
          </w:rPr>
          <w:t xml:space="preserve">FDA CFSA: β-Caryophyllene GRAS notification</w:t>
        </w:r>
      </w:hyperlink>
      <w:r>
        <w:t xml:space="preserve"> </w:t>
      </w:r>
      <w:r>
        <w:t xml:space="preserve">-</w:t>
      </w:r>
      <w:r>
        <w:t xml:space="preserve"> </w:t>
      </w:r>
      <w:hyperlink r:id="rId71">
        <w:r>
          <w:rPr>
            <w:rStyle w:val="Hyperlink"/>
          </w:rPr>
          <w:t xml:space="preserve">PMC: Food addiction RCT in women with obesity</w:t>
        </w:r>
      </w:hyperlink>
      <w:r>
        <w:t xml:space="preserve"> </w:t>
      </w:r>
      <w:r>
        <w:t xml:space="preserve">(limited access)</w:t>
      </w:r>
      <w:r>
        <w:t xml:space="preserve"> </w:t>
      </w:r>
      <w:r>
        <w:t xml:space="preserve">-</w:t>
      </w:r>
      <w:r>
        <w:t xml:space="preserve"> </w:t>
      </w:r>
      <w:hyperlink r:id="rId72">
        <w:r>
          <w:rPr>
            <w:rStyle w:val="Hyperlink"/>
          </w:rPr>
          <w:t xml:space="preserve">FEMA: β-Caryophyllene GRAS flavor library</w:t>
        </w:r>
      </w:hyperlink>
    </w:p>
    <w:p>
      <w:r>
        <w:pict>
          <v:rect style="width:0;height:1.5pt" o:hralign="center" o:hrstd="t" o:hr="t"/>
        </w:pict>
      </w:r>
    </w:p>
    <w:bookmarkEnd w:id="73"/>
    <w:bookmarkEnd w:id="74"/>
    <w:bookmarkStart w:id="85" w:name="section-6-cross-botanical-sources"/>
    <w:p>
      <w:pPr>
        <w:pStyle w:val="Heading2"/>
      </w:pPr>
      <w:r>
        <w:t xml:space="preserve">SECTION 6: CROSS-BOTANICAL SOURCES</w:t>
      </w:r>
    </w:p>
    <w:bookmarkStart w:id="75" w:name="Xf06972790275b2ff688215e57c4e9e932cc45f8"/>
    <w:p>
      <w:pPr>
        <w:pStyle w:val="Heading3"/>
      </w:pPr>
      <w:r>
        <w:t xml:space="preserve">Caryophyllene Concentration in Botanical Essential Oils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1660"/>
        <w:gridCol w:w="1021"/>
        <w:gridCol w:w="1532"/>
        <w:gridCol w:w="8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 Botanical Name</w:t>
            </w:r>
          </w:p>
        </w:tc>
        <w:tc>
          <w:tcPr/>
          <w:p>
            <w:pPr>
              <w:pStyle w:val="Compact"/>
            </w:pPr>
            <w:r>
              <w:t xml:space="preserve">Common Name</w:t>
            </w:r>
          </w:p>
        </w:tc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BCP % (w/w)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Piper nigrum</w:t>
            </w:r>
          </w:p>
        </w:tc>
        <w:tc>
          <w:tcPr/>
          <w:p>
            <w:pPr>
              <w:pStyle w:val="Compact"/>
            </w:pPr>
            <w:r>
              <w:t xml:space="preserve">Black pepper</w:t>
            </w:r>
          </w:p>
        </w:tc>
        <w:tc>
          <w:tcPr/>
          <w:p>
            <w:pPr>
              <w:pStyle w:val="Compact"/>
            </w:pPr>
            <w:r>
              <w:t xml:space="preserve">Piperaceae</w:t>
            </w:r>
          </w:p>
        </w:tc>
        <w:tc>
          <w:tcPr/>
          <w:p>
            <w:pPr>
              <w:pStyle w:val="Compact"/>
            </w:pPr>
            <w:r>
              <w:t xml:space="preserve">7-35%*</w:t>
            </w:r>
          </w:p>
        </w:tc>
        <w:tc>
          <w:tcPr/>
          <w:p>
            <w:pPr>
              <w:pStyle w:val="Compact"/>
            </w:pPr>
            <w:r>
              <w:t xml:space="preserve">Variable; high-piperine cultivars have elevated BCP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Syzygium aromaticum</w:t>
            </w:r>
          </w:p>
        </w:tc>
        <w:tc>
          <w:tcPr/>
          <w:p>
            <w:pPr>
              <w:pStyle w:val="Compact"/>
            </w:pPr>
            <w:r>
              <w:t xml:space="preserve">Clove</w:t>
            </w:r>
          </w:p>
        </w:tc>
        <w:tc>
          <w:tcPr/>
          <w:p>
            <w:pPr>
              <w:pStyle w:val="Compact"/>
            </w:pPr>
            <w:r>
              <w:t xml:space="preserve">Myrtaceae</w:t>
            </w:r>
          </w:p>
        </w:tc>
        <w:tc>
          <w:tcPr/>
          <w:p>
            <w:pPr>
              <w:pStyle w:val="Compact"/>
            </w:pPr>
            <w:r>
              <w:t xml:space="preserve">12-20%</w:t>
            </w:r>
          </w:p>
        </w:tc>
        <w:tc>
          <w:tcPr/>
          <w:p>
            <w:pPr>
              <w:pStyle w:val="Compact"/>
            </w:pPr>
            <w:r>
              <w:t xml:space="preserve">Highest natural BCP source; used as reference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Rosmarinus officinalis</w:t>
            </w:r>
          </w:p>
        </w:tc>
        <w:tc>
          <w:tcPr/>
          <w:p>
            <w:pPr>
              <w:pStyle w:val="Compact"/>
            </w:pPr>
            <w:r>
              <w:t xml:space="preserve">Rosemary</w:t>
            </w:r>
          </w:p>
        </w:tc>
        <w:tc>
          <w:tcPr/>
          <w:p>
            <w:pPr>
              <w:pStyle w:val="Compact"/>
            </w:pPr>
            <w:r>
              <w:t xml:space="preserve">Lamiaceae</w:t>
            </w:r>
          </w:p>
        </w:tc>
        <w:tc>
          <w:tcPr/>
          <w:p>
            <w:pPr>
              <w:pStyle w:val="Compact"/>
            </w:pPr>
            <w:r>
              <w:t xml:space="preserve">8.3%</w:t>
            </w:r>
          </w:p>
        </w:tc>
        <w:tc>
          <w:tcPr/>
          <w:p>
            <w:pPr>
              <w:pStyle w:val="Compact"/>
            </w:pPr>
            <w:r>
              <w:t xml:space="preserve">Consistent across cultivars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Humulus lupulus</w:t>
            </w:r>
          </w:p>
        </w:tc>
        <w:tc>
          <w:tcPr/>
          <w:p>
            <w:pPr>
              <w:pStyle w:val="Compact"/>
            </w:pPr>
            <w:r>
              <w:t xml:space="preserve">Hops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Cannabaceae</w:t>
            </w:r>
          </w:p>
        </w:tc>
        <w:tc>
          <w:tcPr/>
          <w:p>
            <w:pPr>
              <w:pStyle w:val="Compact"/>
            </w:pPr>
            <w:r>
              <w:t xml:space="preserve">6-15%</w:t>
            </w:r>
          </w:p>
        </w:tc>
        <w:tc>
          <w:tcPr/>
          <w:p>
            <w:pPr>
              <w:pStyle w:val="Compact"/>
            </w:pPr>
            <w:r>
              <w:t xml:space="preserve">Family sibling of Cannabis sativa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Origanum vulgare</w:t>
            </w:r>
          </w:p>
        </w:tc>
        <w:tc>
          <w:tcPr/>
          <w:p>
            <w:pPr>
              <w:pStyle w:val="Compact"/>
            </w:pPr>
            <w:r>
              <w:t xml:space="preserve">Oregano</w:t>
            </w:r>
          </w:p>
        </w:tc>
        <w:tc>
          <w:tcPr/>
          <w:p>
            <w:pPr>
              <w:pStyle w:val="Compact"/>
            </w:pPr>
            <w:r>
              <w:t xml:space="preserve">Lamiaceae</w:t>
            </w:r>
          </w:p>
        </w:tc>
        <w:tc>
          <w:tcPr/>
          <w:p>
            <w:pPr>
              <w:pStyle w:val="Compact"/>
            </w:pPr>
            <w:r>
              <w:t xml:space="preserve">4.9-15.7%</w:t>
            </w:r>
          </w:p>
        </w:tc>
        <w:tc>
          <w:tcPr/>
          <w:p>
            <w:pPr>
              <w:pStyle w:val="Compact"/>
            </w:pPr>
            <w:r>
              <w:t xml:space="preserve">Subspecies-dependent variation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Ocimum gratissimum</w:t>
            </w:r>
          </w:p>
        </w:tc>
        <w:tc>
          <w:tcPr/>
          <w:p>
            <w:pPr>
              <w:pStyle w:val="Compact"/>
            </w:pPr>
            <w:r>
              <w:t xml:space="preserve">African basil</w:t>
            </w:r>
          </w:p>
        </w:tc>
        <w:tc>
          <w:tcPr/>
          <w:p>
            <w:pPr>
              <w:pStyle w:val="Compact"/>
            </w:pPr>
            <w:r>
              <w:t xml:space="preserve">Lamiaceae</w:t>
            </w:r>
          </w:p>
        </w:tc>
        <w:tc>
          <w:tcPr/>
          <w:p>
            <w:pPr>
              <w:pStyle w:val="Compact"/>
            </w:pPr>
            <w:r>
              <w:t xml:space="preserve">5.3-10.5%</w:t>
            </w:r>
          </w:p>
        </w:tc>
        <w:tc>
          <w:tcPr/>
          <w:p>
            <w:pPr>
              <w:pStyle w:val="Compact"/>
            </w:pPr>
            <w:r>
              <w:t xml:space="preserve">Higher than European basil varieties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Ocimum micranthum</w:t>
            </w:r>
          </w:p>
        </w:tc>
        <w:tc>
          <w:tcPr/>
          <w:p>
            <w:pPr>
              <w:pStyle w:val="Compact"/>
            </w:pPr>
            <w:r>
              <w:t xml:space="preserve">Brazilian basil</w:t>
            </w:r>
          </w:p>
        </w:tc>
        <w:tc>
          <w:tcPr/>
          <w:p>
            <w:pPr>
              <w:pStyle w:val="Compact"/>
            </w:pPr>
            <w:r>
              <w:t xml:space="preserve">Lamiaceae</w:t>
            </w:r>
          </w:p>
        </w:tc>
        <w:tc>
          <w:tcPr/>
          <w:p>
            <w:pPr>
              <w:pStyle w:val="Compact"/>
            </w:pPr>
            <w:r>
              <w:t xml:space="preserve">4.0-19.8%</w:t>
            </w:r>
          </w:p>
        </w:tc>
        <w:tc>
          <w:tcPr/>
          <w:p>
            <w:pPr>
              <w:pStyle w:val="Compact"/>
            </w:pPr>
            <w:r>
              <w:t xml:space="preserve">Widest range; cultivar-dependent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Cinnamomum verum</w:t>
            </w:r>
          </w:p>
        </w:tc>
        <w:tc>
          <w:tcPr/>
          <w:p>
            <w:pPr>
              <w:pStyle w:val="Compact"/>
            </w:pPr>
            <w:r>
              <w:t xml:space="preserve">True cinnamon</w:t>
            </w:r>
          </w:p>
        </w:tc>
        <w:tc>
          <w:tcPr/>
          <w:p>
            <w:pPr>
              <w:pStyle w:val="Compact"/>
            </w:pPr>
            <w:r>
              <w:t xml:space="preserve">Lauraceae</w:t>
            </w:r>
          </w:p>
        </w:tc>
        <w:tc>
          <w:tcPr/>
          <w:p>
            <w:pPr>
              <w:pStyle w:val="Compact"/>
            </w:pPr>
            <w:r>
              <w:t xml:space="preserve">6.9-11.1%</w:t>
            </w:r>
          </w:p>
        </w:tc>
        <w:tc>
          <w:tcPr/>
          <w:p>
            <w:pPr>
              <w:pStyle w:val="Compact"/>
            </w:pPr>
            <w:r>
              <w:t xml:space="preserve">Sri Lankan cinnamon; C. cassia 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Cananga odorata</w:t>
            </w:r>
          </w:p>
        </w:tc>
        <w:tc>
          <w:tcPr/>
          <w:p>
            <w:pPr>
              <w:pStyle w:val="Compact"/>
            </w:pPr>
            <w:r>
              <w:t xml:space="preserve">Ylang-ylang</w:t>
            </w:r>
          </w:p>
        </w:tc>
        <w:tc>
          <w:tcPr/>
          <w:p>
            <w:pPr>
              <w:pStyle w:val="Compact"/>
            </w:pPr>
            <w:r>
              <w:t xml:space="preserve">Annonaceae</w:t>
            </w:r>
          </w:p>
        </w:tc>
        <w:tc>
          <w:tcPr/>
          <w:p>
            <w:pPr>
              <w:pStyle w:val="Compact"/>
            </w:pPr>
            <w:r>
              <w:t xml:space="preserve">3.1-10.7%</w:t>
            </w:r>
          </w:p>
        </w:tc>
        <w:tc>
          <w:tcPr/>
          <w:p>
            <w:pPr>
              <w:pStyle w:val="Compact"/>
            </w:pPr>
            <w:r>
              <w:t xml:space="preserve">Harvesting time affects concentration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Lavandula angustifolia</w:t>
            </w:r>
          </w:p>
        </w:tc>
        <w:tc>
          <w:tcPr/>
          <w:p>
            <w:pPr>
              <w:pStyle w:val="Compact"/>
            </w:pPr>
            <w:r>
              <w:t xml:space="preserve">Lavender</w:t>
            </w:r>
          </w:p>
        </w:tc>
        <w:tc>
          <w:tcPr/>
          <w:p>
            <w:pPr>
              <w:pStyle w:val="Compact"/>
            </w:pPr>
            <w:r>
              <w:t xml:space="preserve">Lamiaceae</w:t>
            </w:r>
          </w:p>
        </w:tc>
        <w:tc>
          <w:tcPr/>
          <w:p>
            <w:pPr>
              <w:pStyle w:val="Compact"/>
            </w:pPr>
            <w:r>
              <w:t xml:space="preserve">4.62-7.55%</w:t>
            </w:r>
          </w:p>
        </w:tc>
        <w:tc>
          <w:tcPr/>
          <w:p>
            <w:pPr>
              <w:pStyle w:val="Compact"/>
            </w:pPr>
            <w:r>
              <w:t xml:space="preserve">English lavender; French types 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Copaifera officinalis</w:t>
            </w:r>
          </w:p>
        </w:tc>
        <w:tc>
          <w:tcPr/>
          <w:p>
            <w:pPr>
              <w:pStyle w:val="Compact"/>
            </w:pPr>
            <w:r>
              <w:t xml:space="preserve">Copaiba balsam</w:t>
            </w:r>
          </w:p>
        </w:tc>
        <w:tc>
          <w:tcPr/>
          <w:p>
            <w:pPr>
              <w:pStyle w:val="Compact"/>
            </w:pPr>
            <w:r>
              <w:t xml:space="preserve">Fabaceae</w:t>
            </w:r>
          </w:p>
        </w:tc>
        <w:tc>
          <w:tcPr/>
          <w:p>
            <w:pPr>
              <w:pStyle w:val="Compact"/>
            </w:pPr>
            <w:r>
              <w:t xml:space="preserve">40-55%**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HIGHEST natural BCP concentration</w:t>
            </w:r>
          </w:p>
        </w:tc>
      </w:tr>
    </w:tbl>
    <w:p>
      <w:pPr>
        <w:pStyle w:val="BodyText"/>
      </w:pPr>
      <w:r>
        <w:rPr>
          <w:i/>
          <w:iCs/>
        </w:rPr>
        <w:t xml:space="preserve">*Black pepper range varies: ~7% for typical cultivars; select cultivars up to 35%</w:t>
      </w:r>
      <w:r>
        <w:br/>
      </w:r>
      <w:r>
        <w:rPr>
          <w:i/>
          <w:iCs/>
        </w:rPr>
        <w:t xml:space="preserve">**Copaiba represents exceptional accumulation; used as therapeutic BCP source historically</w:t>
      </w:r>
    </w:p>
    <w:bookmarkEnd w:id="75"/>
    <w:bookmarkStart w:id="76" w:name="special-case-copaiba-oil"/>
    <w:p>
      <w:pPr>
        <w:pStyle w:val="Heading3"/>
      </w:pPr>
      <w:r>
        <w:t xml:space="preserve">Special Case: Copaiba Oil</w:t>
      </w:r>
    </w:p>
    <w:p>
      <w:pPr>
        <w:pStyle w:val="FirstParagraph"/>
      </w:pPr>
      <w:r>
        <w:rPr>
          <w:b/>
          <w:bCs/>
        </w:rPr>
        <w:t xml:space="preserve">Botanical source:</w:t>
      </w:r>
      <w:r>
        <w:t xml:space="preserve"> </w:t>
      </w:r>
      <w:r>
        <w:rPr>
          <w:i/>
          <w:iCs/>
        </w:rPr>
        <w:t xml:space="preserve">Copaifera officinalis</w:t>
      </w:r>
      <w:r>
        <w:t xml:space="preserve"> </w:t>
      </w:r>
      <w:r>
        <w:t xml:space="preserve">(Brazilian Amazon)</w:t>
      </w:r>
      <w:r>
        <w:br/>
      </w:r>
      <w:r>
        <w:rPr>
          <w:b/>
          <w:bCs/>
        </w:rPr>
        <w:t xml:space="preserve">Composition:</w:t>
      </w:r>
      <w:r>
        <w:t xml:space="preserve"> </w:t>
      </w:r>
      <w:r>
        <w:t xml:space="preserve">40-55% β-caryophyllene (sometimes cited as 60%+)</w:t>
      </w:r>
      <w:r>
        <w:br/>
      </w:r>
      <w:r>
        <w:rPr>
          <w:b/>
          <w:bCs/>
        </w:rPr>
        <w:t xml:space="preserve">Traditional use:</w:t>
      </w:r>
      <w:r>
        <w:t xml:space="preserve"> </w:t>
      </w:r>
      <w:r>
        <w:t xml:space="preserve">Documented since the 16th century for:</w:t>
      </w:r>
      <w:r>
        <w:t xml:space="preserve"> </w:t>
      </w:r>
      <w:r>
        <w:t xml:space="preserve">- Wound and ulcer healing</w:t>
      </w:r>
      <w:r>
        <w:t xml:space="preserve"> </w:t>
      </w:r>
      <w:r>
        <w:t xml:space="preserve">- Anti-inflammatory properties for skin diseases</w:t>
      </w:r>
      <w:r>
        <w:t xml:space="preserve"> </w:t>
      </w:r>
      <w:r>
        <w:t xml:space="preserve">- Rheumatic disease relief</w:t>
      </w:r>
      <w:r>
        <w:t xml:space="preserve"> </w:t>
      </w:r>
      <w:r>
        <w:t xml:space="preserve">- Respiratory conditions (bronchitis, chronic cystitis)</w:t>
      </w:r>
    </w:p>
    <w:p>
      <w:pPr>
        <w:pStyle w:val="BodyText"/>
      </w:pPr>
      <w:r>
        <w:rPr>
          <w:b/>
          <w:bCs/>
        </w:rPr>
        <w:t xml:space="preserve">Medicinal heritage:</w:t>
      </w:r>
      <w:r>
        <w:t xml:space="preserve"> </w:t>
      </w:r>
      <w:r>
        <w:t xml:space="preserve">Used in Brazilian folk medicine since at least 1625 for chronic conditions. The anti-inflammatory activity has been attributed to sesquiterpenes, particularly</w:t>
      </w:r>
      <w:r>
        <w:t xml:space="preserve"> </w:t>
      </w:r>
      <w:r>
        <w:rPr>
          <w:b/>
          <w:bCs/>
        </w:rPr>
        <w:t xml:space="preserve">β-bisabolene and β-caryophyllene</w:t>
      </w:r>
      <w:r>
        <w:t xml:space="preserve">.</w:t>
      </w:r>
    </w:p>
    <w:bookmarkEnd w:id="76"/>
    <w:bookmarkStart w:id="77" w:name="hops-and-cannabaceae-family-connection"/>
    <w:p>
      <w:pPr>
        <w:pStyle w:val="Heading3"/>
      </w:pPr>
      <w:r>
        <w:t xml:space="preserve">Hops and Cannabaceae Family Connection</w:t>
      </w:r>
    </w:p>
    <w:p>
      <w:pPr>
        <w:pStyle w:val="FirstParagraph"/>
      </w:pPr>
      <w:r>
        <w:rPr>
          <w:b/>
          <w:bCs/>
        </w:rPr>
        <w:t xml:space="preserve">Critical taxonomic note:</w:t>
      </w:r>
      <w:r>
        <w:t xml:space="preserve"> </w:t>
      </w:r>
      <w:r>
        <w:t xml:space="preserve">Hops (</w:t>
      </w:r>
      <w:r>
        <w:rPr>
          <w:i/>
          <w:iCs/>
        </w:rPr>
        <w:t xml:space="preserve">Humulus lupulus</w:t>
      </w:r>
      <w:r>
        <w:t xml:space="preserve">) belongs to the</w:t>
      </w:r>
      <w:r>
        <w:t xml:space="preserve"> </w:t>
      </w:r>
      <w:r>
        <w:rPr>
          <w:b/>
          <w:bCs/>
        </w:rPr>
        <w:t xml:space="preserve">Cannabaceae family</w:t>
      </w:r>
      <w:r>
        <w:t xml:space="preserve">, making it a phylogenetic sibling of</w:t>
      </w:r>
      <w:r>
        <w:t xml:space="preserve"> </w:t>
      </w:r>
      <w:r>
        <w:rPr>
          <w:i/>
          <w:iCs/>
        </w:rPr>
        <w:t xml:space="preserve">Cannabis sativa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Hops terpene profile: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essential oil:</w:t>
      </w:r>
      <w:r>
        <w:t xml:space="preserve"> </w:t>
      </w:r>
      <w:r>
        <w:t xml:space="preserve">Myrcene + humulene + caryophyllene =</w:t>
      </w:r>
      <w:r>
        <w:t xml:space="preserve"> </w:t>
      </w:r>
      <w:r>
        <w:rPr>
          <w:b/>
          <w:bCs/>
        </w:rPr>
        <w:t xml:space="preserve">80-90% of total terpene mass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Caryophyllene contribution:</w:t>
      </w:r>
      <w:r>
        <w:t xml:space="preserve"> </w:t>
      </w:r>
      <w:r>
        <w:t xml:space="preserve">6-15% of hop oil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Biosynthetic similarity:</w:t>
      </w:r>
      <w:r>
        <w:t xml:space="preserve"> </w:t>
      </w:r>
      <w:r>
        <w:t xml:space="preserve">Both hops and cannabis express</w:t>
      </w:r>
      <w:r>
        <w:t xml:space="preserve"> </w:t>
      </w:r>
      <w:r>
        <w:rPr>
          <w:b/>
          <w:bCs/>
        </w:rPr>
        <w:t xml:space="preserve">sesquiterpene synthases</w:t>
      </w:r>
      <w:r>
        <w:t xml:space="preserve"> </w:t>
      </w:r>
      <w:r>
        <w:t xml:space="preserve">(Hop SESQUITERPENE SYNTHASE1, HlSTS1) that form caryophyllene and humulene from FPP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Beer applications:</w:t>
      </w:r>
      <w:r>
        <w:t xml:space="preserve"> </w:t>
      </w:r>
      <w:r>
        <w:t xml:space="preserve">Caryophyllene survives late hopping, dry hopping, and is concentrated in hop extracts — contributing spicy, black pepper, woody character to craft beers</w:t>
      </w:r>
    </w:p>
    <w:bookmarkEnd w:id="77"/>
    <w:bookmarkStart w:id="84" w:name="concentration-variation-factors"/>
    <w:p>
      <w:pPr>
        <w:pStyle w:val="Heading3"/>
      </w:pPr>
      <w:r>
        <w:t xml:space="preserve">Concentration Variation Factors</w:t>
      </w:r>
    </w:p>
    <w:p>
      <w:pPr>
        <w:pStyle w:val="FirstParagraph"/>
      </w:pPr>
      <w:r>
        <w:t xml:space="preserve">BCP concentrations vary significantly based 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Species/cultivar genetics</w:t>
      </w:r>
      <w:r>
        <w:t xml:space="preserve"> </w:t>
      </w:r>
      <w:r>
        <w:t xml:space="preserve">— Up to 10-fold variation possible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Plant part harvested</w:t>
      </w:r>
      <w:r>
        <w:t xml:space="preserve"> </w:t>
      </w:r>
      <w:r>
        <w:t xml:space="preserve">— Flowering/reproductive tissues highest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Harvest timing</w:t>
      </w:r>
      <w:r>
        <w:t xml:space="preserve"> </w:t>
      </w:r>
      <w:r>
        <w:t xml:space="preserve">— Developmental stage influences terpene profiles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Growing climate</w:t>
      </w:r>
      <w:r>
        <w:t xml:space="preserve"> </w:t>
      </w:r>
      <w:r>
        <w:t xml:space="preserve">— Temperature, UV exposure, water stress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Extraction method</w:t>
      </w:r>
      <w:r>
        <w:t xml:space="preserve"> </w:t>
      </w:r>
      <w:r>
        <w:t xml:space="preserve">— Essential oil vs. solvent extraction vs. whole plant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Post-harvest handling</w:t>
      </w:r>
      <w:r>
        <w:t xml:space="preserve"> </w:t>
      </w:r>
      <w:r>
        <w:t xml:space="preserve">— Oxidation converts BCP to caryophyllene oxide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Storage conditions</w:t>
      </w:r>
      <w:r>
        <w:t xml:space="preserve"> </w:t>
      </w:r>
      <w:r>
        <w:t xml:space="preserve">— Light, temperature, oxygen exposure degrade BCP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78">
        <w:r>
          <w:rPr>
            <w:rStyle w:val="Hyperlink"/>
          </w:rPr>
          <w:t xml:space="preserve">Wikipedia: Caryophyllene botanical sources</w:t>
        </w:r>
      </w:hyperlink>
      <w:r>
        <w:t xml:space="preserve"> </w:t>
      </w:r>
      <w:r>
        <w:t xml:space="preserve">-</w:t>
      </w:r>
      <w:r>
        <w:t xml:space="preserve"> </w:t>
      </w:r>
      <w:hyperlink r:id="rId79">
        <w:r>
          <w:rPr>
            <w:rStyle w:val="Hyperlink"/>
          </w:rPr>
          <w:t xml:space="preserve">Leafly: Caryophyllene in plants</w:t>
        </w:r>
      </w:hyperlink>
      <w:r>
        <w:t xml:space="preserve"> </w:t>
      </w:r>
      <w:r>
        <w:t xml:space="preserve">-</w:t>
      </w:r>
      <w:r>
        <w:t xml:space="preserve"> </w:t>
      </w:r>
      <w:hyperlink r:id="rId80">
        <w:r>
          <w:rPr>
            <w:rStyle w:val="Hyperlink"/>
          </w:rPr>
          <w:t xml:space="preserve">Earthy Now: Caryophyllene in essential oils</w:t>
        </w:r>
      </w:hyperlink>
      <w:r>
        <w:t xml:space="preserve"> </w:t>
      </w:r>
      <w:r>
        <w:t xml:space="preserve">-</w:t>
      </w:r>
      <w:r>
        <w:t xml:space="preserve"> </w:t>
      </w:r>
      <w:hyperlink r:id="rId81">
        <w:r>
          <w:rPr>
            <w:rStyle w:val="Hyperlink"/>
          </w:rPr>
          <w:t xml:space="preserve">Oxford Academic: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“Terpene Biosynthesis in Glandular Trichomes of Hop”</w:t>
        </w:r>
      </w:hyperlink>
      <w:r>
        <w:t xml:space="preserve"> </w:t>
      </w:r>
      <w:r>
        <w:t xml:space="preserve">-</w:t>
      </w:r>
      <w:r>
        <w:t xml:space="preserve"> </w:t>
      </w:r>
      <w:hyperlink r:id="rId82">
        <w:r>
          <w:rPr>
            <w:rStyle w:val="Hyperlink"/>
          </w:rPr>
          <w:t xml:space="preserve">PMC: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“The hops genome contains a mid-sized terpene synthase family”</w:t>
        </w:r>
      </w:hyperlink>
      <w:r>
        <w:t xml:space="preserve"> </w:t>
      </w:r>
      <w:r>
        <w:t xml:space="preserve">-</w:t>
      </w:r>
      <w:r>
        <w:t xml:space="preserve"> </w:t>
      </w:r>
      <w:hyperlink r:id="rId83">
        <w:r>
          <w:rPr>
            <w:rStyle w:val="Hyperlink"/>
          </w:rPr>
          <w:t xml:space="preserve">Gaia Garden: Copaiba essential oil</w:t>
        </w:r>
      </w:hyperlink>
    </w:p>
    <w:p>
      <w:r>
        <w:pict>
          <v:rect style="width:0;height:1.5pt" o:hralign="center" o:hrstd="t" o:hr="t"/>
        </w:pict>
      </w:r>
    </w:p>
    <w:bookmarkEnd w:id="84"/>
    <w:bookmarkEnd w:id="85"/>
    <w:bookmarkStart w:id="98" w:name="X1a3c77a7cddb0b049e0037a36909e3a02a73fa1"/>
    <w:p>
      <w:pPr>
        <w:pStyle w:val="Heading2"/>
      </w:pPr>
      <w:r>
        <w:t xml:space="preserve">SECTION 7: MOLECULAR COUSINS &amp; SESQUITERPENE RELATIVES</w:t>
      </w:r>
    </w:p>
    <w:bookmarkStart w:id="89" w:name="X61ad8059bbf8ff91cc5723a5c82a57f3aa709bc"/>
    <w:p>
      <w:pPr>
        <w:pStyle w:val="Heading3"/>
      </w:pPr>
      <w:r>
        <w:t xml:space="preserve">Ring-Opened Isomer: α-Humulene (α-Caryophyllene)</w:t>
      </w:r>
    </w:p>
    <w:p>
      <w:pPr>
        <w:pStyle w:val="FirstParagraph"/>
      </w:pPr>
      <w:r>
        <w:rPr>
          <w:b/>
          <w:bCs/>
        </w:rPr>
        <w:t xml:space="preserve">IUPAC designation:</w:t>
      </w:r>
      <w:r>
        <w:t xml:space="preserve"> </w:t>
      </w:r>
      <w:r>
        <w:t xml:space="preserve">(2E)-3,3-Dimethyl-5-(2,6-dimethyl-7-oct-6-enyl)cyclohex-1-ene</w:t>
      </w:r>
      <w:r>
        <w:br/>
      </w:r>
      <w:r>
        <w:rPr>
          <w:b/>
          <w:bCs/>
        </w:rPr>
        <w:t xml:space="preserve">Molecular formula:</w:t>
      </w:r>
      <w:r>
        <w:t xml:space="preserve"> </w:t>
      </w:r>
      <w:r>
        <w:t xml:space="preserve">C₁₅H₂₄ (identical to β-caryophyllene)</w:t>
      </w:r>
      <w:r>
        <w:br/>
      </w:r>
      <w:r>
        <w:rPr>
          <w:b/>
          <w:bCs/>
        </w:rPr>
        <w:t xml:space="preserve">Ring structure:</w:t>
      </w:r>
      <w:r>
        <w:t xml:space="preserve"> </w:t>
      </w:r>
      <w:r>
        <w:rPr>
          <w:b/>
          <w:bCs/>
        </w:rPr>
        <w:t xml:space="preserve">Monocyclic</w:t>
      </w:r>
      <w:r>
        <w:t xml:space="preserve"> </w:t>
      </w:r>
      <w:r>
        <w:t xml:space="preserve">— Single 11-membered ring (vs. BCP’s bicyclic structure)</w:t>
      </w:r>
    </w:p>
    <w:bookmarkStart w:id="86" w:name="biosynthetic-relationship"/>
    <w:p>
      <w:pPr>
        <w:pStyle w:val="Heading4"/>
      </w:pPr>
      <w:r>
        <w:t xml:space="preserve">Biosynthetic Relationship</w:t>
      </w:r>
    </w:p>
    <w:p>
      <w:pPr>
        <w:pStyle w:val="FirstParagraph"/>
      </w:pPr>
      <w:r>
        <w:t xml:space="preserve">Humulene is the</w:t>
      </w:r>
      <w:r>
        <w:t xml:space="preserve"> </w:t>
      </w:r>
      <w:r>
        <w:rPr>
          <w:b/>
          <w:bCs/>
        </w:rPr>
        <w:t xml:space="preserve">monocyclic precursor pathway</w:t>
      </w:r>
      <w:r>
        <w:t xml:space="preserve"> </w:t>
      </w:r>
      <w:r>
        <w:t xml:space="preserve">of caryophyllene:</w:t>
      </w:r>
      <w:r>
        <w:t xml:space="preserve"> </w:t>
      </w:r>
      <w:r>
        <w:t xml:space="preserve">- Cyclization of FPP → (E,E)-humulyl carbocation (intermediate)</w:t>
      </w:r>
      <w:r>
        <w:t xml:space="preserve"> </w:t>
      </w:r>
      <w:r>
        <w:t xml:space="preserve">- Pathway 1: Humulyl carbocation stabilization →</w:t>
      </w:r>
      <w:r>
        <w:t xml:space="preserve"> </w:t>
      </w:r>
      <w:r>
        <w:rPr>
          <w:b/>
          <w:bCs/>
        </w:rPr>
        <w:t xml:space="preserve">α-Humulene</w:t>
      </w:r>
      <w:r>
        <w:t xml:space="preserve"> </w:t>
      </w:r>
      <w:r>
        <w:t xml:space="preserve">(11-membered ring)</w:t>
      </w:r>
      <w:r>
        <w:t xml:space="preserve"> </w:t>
      </w:r>
      <w:r>
        <w:t xml:space="preserve">- Pathway 2: Further bicyclization →</w:t>
      </w:r>
      <w:r>
        <w:t xml:space="preserve"> </w:t>
      </w:r>
      <w:r>
        <w:rPr>
          <w:b/>
          <w:bCs/>
        </w:rPr>
        <w:t xml:space="preserve">β-Caryophyllene</w:t>
      </w:r>
      <w:r>
        <w:t xml:space="preserve"> </w:t>
      </w:r>
      <w:r>
        <w:t xml:space="preserve">(thermodynamically favored)</w:t>
      </w:r>
    </w:p>
    <w:p>
      <w:pPr>
        <w:pStyle w:val="BodyText"/>
      </w:pPr>
      <w:r>
        <w:t xml:space="preserve">The two compounds are produced in a</w:t>
      </w:r>
      <w:r>
        <w:t xml:space="preserve"> </w:t>
      </w:r>
      <w:r>
        <w:rPr>
          <w:b/>
          <w:bCs/>
        </w:rPr>
        <w:t xml:space="preserve">2.5:1 ratio</w:t>
      </w:r>
      <w:r>
        <w:t xml:space="preserve"> </w:t>
      </w:r>
      <w:r>
        <w:t xml:space="preserve">(BCP:humulene) by the CsTPS9FN synthase in cannabis.</w:t>
      </w:r>
    </w:p>
    <w:bookmarkEnd w:id="86"/>
    <w:bookmarkStart w:id="87" w:name="pharmacological-comparison"/>
    <w:p>
      <w:pPr>
        <w:pStyle w:val="Heading4"/>
      </w:pPr>
      <w:r>
        <w:t xml:space="preserve">Pharmacological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3543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β-Caryophyllene</w:t>
            </w:r>
          </w:p>
        </w:tc>
        <w:tc>
          <w:tcPr/>
          <w:p>
            <w:pPr>
              <w:pStyle w:val="Compact"/>
            </w:pPr>
            <w:r>
              <w:t xml:space="preserve">α-Humulene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CB2 agonism</w:t>
            </w:r>
          </w:p>
        </w:tc>
        <w:tc>
          <w:tcPr/>
          <w:p>
            <w:pPr>
              <w:pStyle w:val="Compact"/>
            </w:pPr>
            <w:r>
              <w:t xml:space="preserve">Full agonist, Ki 155 nM</w:t>
            </w:r>
          </w:p>
        </w:tc>
        <w:tc>
          <w:tcPr/>
          <w:p>
            <w:pPr>
              <w:pStyle w:val="Compact"/>
            </w:pPr>
            <w:r>
              <w:t xml:space="preserve">Weak/partial (not characterized)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CB1 binding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 (assumed)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Anti-inflammatory</w:t>
            </w:r>
          </w:p>
        </w:tc>
        <w:tc>
          <w:tcPr/>
          <w:p>
            <w:pPr>
              <w:pStyle w:val="Compact"/>
            </w:pPr>
            <w:r>
              <w:t xml:space="preserve">Strong (NF-κB, PPARγ)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Aroma</w:t>
            </w:r>
          </w:p>
        </w:tc>
        <w:tc>
          <w:tcPr/>
          <w:p>
            <w:pPr>
              <w:pStyle w:val="Compact"/>
            </w:pPr>
            <w:r>
              <w:t xml:space="preserve">Spicy, peppery, woody</w:t>
            </w:r>
          </w:p>
        </w:tc>
        <w:tc>
          <w:tcPr/>
          <w:p>
            <w:pPr>
              <w:pStyle w:val="Compact"/>
            </w:pPr>
            <w:r>
              <w:t xml:space="preserve">Herbal, earthy, warm</w:t>
            </w:r>
          </w:p>
        </w:tc>
      </w:tr>
    </w:tbl>
    <w:bookmarkEnd w:id="87"/>
    <w:bookmarkStart w:id="88" w:name="potentiating-effects"/>
    <w:p>
      <w:pPr>
        <w:pStyle w:val="Heading4"/>
      </w:pPr>
      <w:r>
        <w:t xml:space="preserve">Potentiating Effects</w:t>
      </w:r>
    </w:p>
    <w:p>
      <w:pPr>
        <w:pStyle w:val="FirstParagraph"/>
      </w:pPr>
      <w:r>
        <w:t xml:space="preserve">Research suggests</w:t>
      </w:r>
      <w:r>
        <w:t xml:space="preserve"> </w:t>
      </w:r>
      <w:r>
        <w:rPr>
          <w:b/>
          <w:bCs/>
        </w:rPr>
        <w:t xml:space="preserve">synergistic anticancer activity</w:t>
      </w:r>
      <w:r>
        <w:t xml:space="preserve"> </w:t>
      </w:r>
      <w:r>
        <w:t xml:space="preserve">when humulene and caryophyllene are combined with paclitaxel (chemotherapy agent), though clinical significance remains unclear.</w:t>
      </w:r>
    </w:p>
    <w:bookmarkEnd w:id="88"/>
    <w:bookmarkEnd w:id="89"/>
    <w:bookmarkStart w:id="92" w:name="oxidized-metabolite-caryophyllene-oxide"/>
    <w:p>
      <w:pPr>
        <w:pStyle w:val="Heading3"/>
      </w:pPr>
      <w:r>
        <w:t xml:space="preserve">Oxidized Metabolite: Caryophyllene Oxide</w:t>
      </w:r>
    </w:p>
    <w:p>
      <w:pPr>
        <w:pStyle w:val="FirstParagraph"/>
      </w:pPr>
      <w:r>
        <w:rPr>
          <w:b/>
          <w:bCs/>
        </w:rPr>
        <w:t xml:space="preserve">Chemical identity:</w:t>
      </w:r>
      <w:r>
        <w:t xml:space="preserve"> </w:t>
      </w:r>
      <w:r>
        <w:t xml:space="preserve">Epoxide form of β-caryophyllene (alkene → epoxide)</w:t>
      </w:r>
      <w:r>
        <w:br/>
      </w:r>
      <w:r>
        <w:rPr>
          <w:b/>
          <w:bCs/>
        </w:rPr>
        <w:t xml:space="preserve">Formation:</w:t>
      </w:r>
      <w:r>
        <w:t xml:space="preserve"> </w:t>
      </w:r>
      <w:r>
        <w:t xml:space="preserve">Post-harvest oxidation; enzymatic oxidation (cytochrome P450); storage degradation</w:t>
      </w:r>
      <w:r>
        <w:br/>
      </w:r>
      <w:r>
        <w:rPr>
          <w:b/>
          <w:bCs/>
        </w:rPr>
        <w:t xml:space="preserve">Regulatory status:</w:t>
      </w:r>
      <w:r>
        <w:t xml:space="preserve"> </w:t>
      </w:r>
      <w:r>
        <w:t xml:space="preserve">FDA-approved food additive; used as flavoring agent</w:t>
      </w:r>
    </w:p>
    <w:bookmarkStart w:id="90" w:name="drug-detection-significance"/>
    <w:p>
      <w:pPr>
        <w:pStyle w:val="Heading4"/>
      </w:pPr>
      <w:r>
        <w:t xml:space="preserve">Drug Detection Significance</w:t>
      </w:r>
    </w:p>
    <w:p>
      <w:pPr>
        <w:pStyle w:val="FirstParagraph"/>
      </w:pPr>
      <w:r>
        <w:t xml:space="preserve">Caryophyllene oxide is</w:t>
      </w:r>
      <w:r>
        <w:t xml:space="preserve"> </w:t>
      </w:r>
      <w:r>
        <w:rPr>
          <w:b/>
          <w:bCs/>
        </w:rPr>
        <w:t xml:space="preserve">the compound trained to detection</w:t>
      </w:r>
      <w:r>
        <w:t xml:space="preserve"> </w:t>
      </w:r>
      <w:r>
        <w:t xml:space="preserve">by law enforcement drug-sniffing dogs:</w:t>
      </w:r>
      <w:r>
        <w:t xml:space="preserve"> </w:t>
      </w:r>
      <w:r>
        <w:t xml:space="preserve">- Dogs are trained to react to caryophyllene oxide and β-caryophyllene</w:t>
      </w:r>
      <w:r>
        <w:t xml:space="preserve"> </w:t>
      </w:r>
      <w:r>
        <w:t xml:space="preserve">- Both compounds occur naturally in cannabis AND in non-cannabis plants (clove, hops, rosemary)</w:t>
      </w:r>
      <w:r>
        <w:t xml:space="preserve"> </w:t>
      </w:r>
      <w:r>
        <w:t xml:space="preserve">- This explains why drug-sniffing dogs alert on cannabis-free essential oils</w:t>
      </w:r>
    </w:p>
    <w:bookmarkEnd w:id="90"/>
    <w:bookmarkStart w:id="91" w:name="pharmacological-properties"/>
    <w:p>
      <w:pPr>
        <w:pStyle w:val="Heading4"/>
      </w:pPr>
      <w:r>
        <w:t xml:space="preserve">Pharmacological Properties</w:t>
      </w:r>
    </w:p>
    <w:p>
      <w:pPr>
        <w:pStyle w:val="FirstParagraph"/>
      </w:pPr>
      <w:r>
        <w:t xml:space="preserve">Caryophyllene oxide exhibits:</w:t>
      </w:r>
      <w:r>
        <w:t xml:space="preserve"> </w:t>
      </w:r>
      <w:r>
        <w:t xml:space="preserve">- Similar CB2 affinity to parent β-caryophyllene (literature data limited)</w:t>
      </w:r>
      <w:r>
        <w:t xml:space="preserve"> </w:t>
      </w:r>
      <w:r>
        <w:t xml:space="preserve">- Additional use in cosmetics and pharmaceutical formulations</w:t>
      </w:r>
      <w:r>
        <w:t xml:space="preserve"> </w:t>
      </w:r>
      <w:r>
        <w:t xml:space="preserve">- Distinct sensory profile from BCP (less peppery, more floral-woody)</w:t>
      </w:r>
    </w:p>
    <w:bookmarkEnd w:id="91"/>
    <w:bookmarkEnd w:id="92"/>
    <w:bookmarkStart w:id="93" w:name="X4242df12105b52f954ee506c315764de496505d"/>
    <w:p>
      <w:pPr>
        <w:pStyle w:val="Heading3"/>
      </w:pPr>
      <w:r>
        <w:t xml:space="preserve">Isomeric Forms: Cis-Caryophyllene and Isocaryophyllene</w:t>
      </w:r>
    </w:p>
    <w:p>
      <w:pPr>
        <w:pStyle w:val="FirstParagraph"/>
      </w:pPr>
      <w:r>
        <w:rPr>
          <w:b/>
          <w:bCs/>
        </w:rPr>
        <w:t xml:space="preserve">Structural relationship:</w:t>
      </w:r>
      <w:r>
        <w:t xml:space="preserve"> </w:t>
      </w:r>
      <w:r>
        <w:t xml:space="preserve">180° rotation of the bicyclic core (simple ring rotation, not ring rearrangement)</w:t>
      </w:r>
    </w:p>
    <w:p>
      <w:pPr>
        <w:pStyle w:val="BodyText"/>
      </w:pPr>
      <w:r>
        <w:rPr>
          <w:b/>
          <w:bCs/>
        </w:rPr>
        <w:t xml:space="preserve">Natural abundance:</w:t>
      </w:r>
      <w:r>
        <w:t xml:space="preserve"> </w:t>
      </w:r>
      <w:r>
        <w:t xml:space="preserve">Minor components; predominant form is (E)-β-caryophyllene</w:t>
      </w:r>
    </w:p>
    <w:p>
      <w:pPr>
        <w:pStyle w:val="BodyText"/>
      </w:pPr>
      <w:r>
        <w:rPr>
          <w:b/>
          <w:bCs/>
        </w:rPr>
        <w:t xml:space="preserve">Pharmacological status:</w:t>
      </w:r>
      <w:r>
        <w:t xml:space="preserve"> </w:t>
      </w:r>
      <w:r>
        <w:t xml:space="preserve">Literature characterization limited; assumed reduced CB2 affinity based on structural geometry</w:t>
      </w:r>
    </w:p>
    <w:bookmarkEnd w:id="93"/>
    <w:bookmarkStart w:id="97" w:name="X6dbf982e093b25cdc60d0f97c8ddb1a2cab4296"/>
    <w:p>
      <w:pPr>
        <w:pStyle w:val="Heading3"/>
      </w:pPr>
      <w:r>
        <w:t xml:space="preserve">Sesquiterpene Cousins in Caryophyllane Class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caryophyllane sesquiterpene family</w:t>
      </w:r>
      <w:r>
        <w:t xml:space="preserve"> </w:t>
      </w:r>
      <w:r>
        <w:t xml:space="preserve">includes:</w:t>
      </w:r>
      <w:r>
        <w:t xml:space="preserve"> </w:t>
      </w:r>
      <w:r>
        <w:t xml:space="preserve">- β-Caryophyllene (bicyclic, primary)</w:t>
      </w:r>
      <w:r>
        <w:t xml:space="preserve"> </w:t>
      </w:r>
      <w:r>
        <w:t xml:space="preserve">- α-Humulene (monocyclic, co-synthesized)</w:t>
      </w:r>
      <w:r>
        <w:t xml:space="preserve"> </w:t>
      </w:r>
      <w:r>
        <w:t xml:space="preserve">- Caryophyllene oxide (oxidized form)</w:t>
      </w:r>
      <w:r>
        <w:t xml:space="preserve"> </w:t>
      </w:r>
      <w:r>
        <w:t xml:space="preserve">- Isocaryophyllene (isomeric form)</w:t>
      </w:r>
      <w:r>
        <w:t xml:space="preserve"> </w:t>
      </w:r>
      <w:r>
        <w:t xml:space="preserve">- β-Caryophyllene alcohol (reduced form; limited literature)</w:t>
      </w:r>
    </w:p>
    <w:p>
      <w:pPr>
        <w:pStyle w:val="BodyText"/>
      </w:pPr>
      <w:r>
        <w:rPr>
          <w:b/>
          <w:bCs/>
        </w:rPr>
        <w:t xml:space="preserve">Cancer research note:</w:t>
      </w:r>
      <w:r>
        <w:t xml:space="preserve"> </w:t>
      </w:r>
      <w:r>
        <w:t xml:space="preserve">The caryophyllane family shows</w:t>
      </w:r>
      <w:r>
        <w:t xml:space="preserve"> </w:t>
      </w:r>
      <w:r>
        <w:rPr>
          <w:b/>
          <w:bCs/>
        </w:rPr>
        <w:t xml:space="preserve">chemopreventive potential</w:t>
      </w:r>
      <w:r>
        <w:t xml:space="preserve"> </w:t>
      </w:r>
      <w:r>
        <w:t xml:space="preserve">with preliminary evidence in both in vitro and in vivo cancer models, though clinical translation remains speculative.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94">
        <w:r>
          <w:rPr>
            <w:rStyle w:val="Hyperlink"/>
          </w:rPr>
          <w:t xml:space="preserve">Wikipedia: Humulene</w:t>
        </w:r>
      </w:hyperlink>
      <w:r>
        <w:t xml:space="preserve"> </w:t>
      </w:r>
      <w:r>
        <w:t xml:space="preserve">-</w:t>
      </w:r>
      <w:r>
        <w:t xml:space="preserve"> </w:t>
      </w:r>
      <w:hyperlink r:id="rId95">
        <w:r>
          <w:rPr>
            <w:rStyle w:val="Hyperlink"/>
          </w:rPr>
          <w:t xml:space="preserve">ScienceDirect: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“Chemopreventive Potential of Caryophyllane Sesquiterpenes”</w:t>
        </w:r>
      </w:hyperlink>
      <w:r>
        <w:t xml:space="preserve"> </w:t>
      </w:r>
      <w:r>
        <w:t xml:space="preserve">-</w:t>
      </w:r>
      <w:r>
        <w:t xml:space="preserve"> </w:t>
      </w:r>
      <w:hyperlink r:id="rId96">
        <w:r>
          <w:rPr>
            <w:rStyle w:val="Hyperlink"/>
          </w:rPr>
          <w:t xml:space="preserve">ResearchGate: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“Potentiating effect of beta-caryophyllene on alpha-humulene, isocaryophyllene anticancer activity”</w:t>
        </w:r>
      </w:hyperlink>
    </w:p>
    <w:p>
      <w:r>
        <w:pict>
          <v:rect style="width:0;height:1.5pt" o:hralign="center" o:hrstd="t" o:hr="t"/>
        </w:pict>
      </w:r>
    </w:p>
    <w:bookmarkEnd w:id="97"/>
    <w:bookmarkEnd w:id="98"/>
    <w:bookmarkStart w:id="110" w:name="section-8-wine-beverage-bridges"/>
    <w:p>
      <w:pPr>
        <w:pStyle w:val="Heading2"/>
      </w:pPr>
      <w:r>
        <w:t xml:space="preserve">SECTION 8: WINE &amp; BEVERAGE BRIDGES</w:t>
      </w:r>
    </w:p>
    <w:bookmarkStart w:id="101" w:name="rotundone-the-pepper-molecule-in-wine"/>
    <w:p>
      <w:pPr>
        <w:pStyle w:val="Heading3"/>
      </w:pPr>
      <w:r>
        <w:t xml:space="preserve">Rotundone: The</w:t>
      </w:r>
      <w:r>
        <w:t xml:space="preserve"> </w:t>
      </w:r>
      <w:r>
        <w:t xml:space="preserve">“Pepper”</w:t>
      </w:r>
      <w:r>
        <w:t xml:space="preserve"> </w:t>
      </w:r>
      <w:r>
        <w:t xml:space="preserve">Molecule in Wine</w:t>
      </w:r>
    </w:p>
    <w:p>
      <w:pPr>
        <w:pStyle w:val="FirstParagraph"/>
      </w:pPr>
      <w:r>
        <w:rPr>
          <w:b/>
          <w:bCs/>
        </w:rPr>
        <w:t xml:space="preserve">Chemical identity:</w:t>
      </w:r>
      <w:r>
        <w:t xml:space="preserve"> </w:t>
      </w:r>
      <w:r>
        <w:t xml:space="preserve">Oxygenated sesquiterpene; molecular formula C₁₅H₂₂O</w:t>
      </w:r>
      <w:r>
        <w:br/>
      </w:r>
      <w:r>
        <w:rPr>
          <w:b/>
          <w:bCs/>
        </w:rPr>
        <w:t xml:space="preserve">Discovery:</w:t>
      </w:r>
      <w:r>
        <w:t xml:space="preserve"> </w:t>
      </w:r>
      <w:r>
        <w:t xml:space="preserve">Formally identified in 2008 in Australian Syrah wines (Gable et al.)</w:t>
      </w:r>
    </w:p>
    <w:p>
      <w:pPr>
        <w:pStyle w:val="BodyText"/>
      </w:pPr>
      <w:r>
        <w:rPr>
          <w:b/>
          <w:bCs/>
        </w:rPr>
        <w:t xml:space="preserve">Critical distinction:</w:t>
      </w:r>
      <w:r>
        <w:t xml:space="preserve"> </w:t>
      </w:r>
      <w:r>
        <w:t xml:space="preserve">Rotundone is</w:t>
      </w:r>
      <w:r>
        <w:t xml:space="preserve"> </w:t>
      </w:r>
      <w:r>
        <w:rPr>
          <w:b/>
          <w:bCs/>
        </w:rPr>
        <w:t xml:space="preserve">NOT β-caryophyllene</w:t>
      </w:r>
      <w:r>
        <w:t xml:space="preserve"> </w:t>
      </w:r>
      <w:r>
        <w:t xml:space="preserve">but rather a distinct sesquiterpene with the same</w:t>
      </w:r>
      <w:r>
        <w:t xml:space="preserve"> </w:t>
      </w:r>
      <w:r>
        <w:rPr>
          <w:b/>
          <w:bCs/>
        </w:rPr>
        <w:t xml:space="preserve">peppery aroma profile</w:t>
      </w:r>
      <w:r>
        <w:t xml:space="preserve"> </w:t>
      </w:r>
      <w:r>
        <w:t xml:space="preserve">and similar</w:t>
      </w:r>
      <w:r>
        <w:t xml:space="preserve"> </w:t>
      </w:r>
      <w:r>
        <w:rPr>
          <w:b/>
          <w:bCs/>
        </w:rPr>
        <w:t xml:space="preserve">sesquiterpene scaffold</w:t>
      </w:r>
      <w:r>
        <w:t xml:space="preserve">.</w:t>
      </w:r>
    </w:p>
    <w:bookmarkStart w:id="99" w:name="wine-varieties-with-high-rotundone"/>
    <w:p>
      <w:pPr>
        <w:pStyle w:val="Heading4"/>
      </w:pPr>
      <w:r>
        <w:t xml:space="preserve">Wine Varieties with High Rotundone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3"/>
        <w:gridCol w:w="1896"/>
        <w:gridCol w:w="1896"/>
        <w:gridCol w:w="2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Grape Variety</w:t>
            </w:r>
          </w:p>
        </w:tc>
        <w:tc>
          <w:tcPr/>
          <w:p>
            <w:pPr>
              <w:pStyle w:val="Compact"/>
            </w:pPr>
            <w:r>
              <w:t xml:space="preserve">Rotundone Level</w:t>
            </w:r>
          </w:p>
        </w:tc>
        <w:tc>
          <w:tcPr/>
          <w:p>
            <w:pPr>
              <w:pStyle w:val="Compact"/>
            </w:pPr>
            <w:r>
              <w:t xml:space="preserve">Aroma Character</w:t>
            </w:r>
          </w:p>
        </w:tc>
        <w:tc>
          <w:tcPr/>
          <w:p>
            <w:pPr>
              <w:pStyle w:val="Compact"/>
            </w:pPr>
            <w:r>
              <w:t xml:space="preserve">Geographic Association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Syrah/Shiraz</w:t>
            </w:r>
          </w:p>
        </w:tc>
        <w:tc>
          <w:tcPr/>
          <w:p>
            <w:pPr>
              <w:pStyle w:val="Compact"/>
            </w:pPr>
            <w:r>
              <w:t xml:space="preserve">Varies by clone</w:t>
            </w:r>
          </w:p>
        </w:tc>
        <w:tc>
          <w:tcPr/>
          <w:p>
            <w:pPr>
              <w:pStyle w:val="Compact"/>
            </w:pPr>
            <w:r>
              <w:t xml:space="preserve">Black pepper, spice</w:t>
            </w:r>
          </w:p>
        </w:tc>
        <w:tc>
          <w:tcPr/>
          <w:p>
            <w:pPr>
              <w:pStyle w:val="Compact"/>
            </w:pPr>
            <w:r>
              <w:t xml:space="preserve">Australia (especially clone 2626)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Grüner Veltliner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Highest reported: 1.91 μg/kg</w:t>
            </w:r>
          </w:p>
        </w:tc>
        <w:tc>
          <w:tcPr/>
          <w:p>
            <w:pPr>
              <w:pStyle w:val="Compact"/>
            </w:pPr>
            <w:r>
              <w:t xml:space="preserve">White pepper, herbal spice</w:t>
            </w:r>
          </w:p>
        </w:tc>
        <w:tc>
          <w:tcPr/>
          <w:p>
            <w:pPr>
              <w:pStyle w:val="Compact"/>
            </w:pPr>
            <w:r>
              <w:t xml:space="preserve">Austria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Mourvèdre</w:t>
            </w:r>
          </w:p>
        </w:tc>
        <w:tc>
          <w:tcPr/>
          <w:p>
            <w:pPr>
              <w:pStyle w:val="Compact"/>
            </w:pPr>
            <w:r>
              <w:t xml:space="preserve">Moderate-high</w:t>
            </w:r>
          </w:p>
        </w:tc>
        <w:tc>
          <w:tcPr/>
          <w:p>
            <w:pPr>
              <w:pStyle w:val="Compact"/>
            </w:pPr>
            <w:r>
              <w:t xml:space="preserve">Peppery, earthy</w:t>
            </w:r>
          </w:p>
        </w:tc>
        <w:tc>
          <w:tcPr/>
          <w:p>
            <w:pPr>
              <w:pStyle w:val="Compact"/>
            </w:pPr>
            <w:r>
              <w:t xml:space="preserve">France (Rhône Valley)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Duras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Subtle spice</w:t>
            </w:r>
          </w:p>
        </w:tc>
        <w:tc>
          <w:tcPr/>
          <w:p>
            <w:pPr>
              <w:pStyle w:val="Compact"/>
            </w:pPr>
            <w:r>
              <w:t xml:space="preserve">Southwest France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Durif (Petite Sirah)</w:t>
            </w:r>
          </w:p>
        </w:tc>
        <w:tc>
          <w:tcPr/>
          <w:p>
            <w:pPr>
              <w:pStyle w:val="Compact"/>
            </w:pPr>
            <w:r>
              <w:t xml:space="preserve">Moderate-high</w:t>
            </w:r>
          </w:p>
        </w:tc>
        <w:tc>
          <w:tcPr/>
          <w:p>
            <w:pPr>
              <w:pStyle w:val="Compact"/>
            </w:pPr>
            <w:r>
              <w:t xml:space="preserve">Dense pepper</w:t>
            </w:r>
          </w:p>
        </w:tc>
        <w:tc>
          <w:tcPr/>
          <w:p>
            <w:pPr>
              <w:pStyle w:val="Compact"/>
            </w:pPr>
            <w:r>
              <w:t xml:space="preserve">California</w:t>
            </w:r>
          </w:p>
        </w:tc>
      </w:tr>
    </w:tbl>
    <w:bookmarkEnd w:id="99"/>
    <w:bookmarkStart w:id="100" w:name="viticultural-factors"/>
    <w:p>
      <w:pPr>
        <w:pStyle w:val="Heading4"/>
      </w:pPr>
      <w:r>
        <w:t xml:space="preserve">Viticultural Factors</w:t>
      </w:r>
    </w:p>
    <w:p>
      <w:pPr>
        <w:pStyle w:val="FirstParagraph"/>
      </w:pPr>
      <w:r>
        <w:t xml:space="preserve">Rotundone accumulation is controlled by: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Temperature:</w:t>
      </w:r>
      <w:r>
        <w:t xml:space="preserve"> </w:t>
      </w:r>
      <w:r>
        <w:t xml:space="preserve">Negative correlation with daily solar exposure; cooler vintages produce higher rotundone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Water stress:</w:t>
      </w:r>
      <w:r>
        <w:t xml:space="preserve"> </w:t>
      </w:r>
      <w:r>
        <w:t xml:space="preserve">Moderate water stress increases concentration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Vintage effects:</w:t>
      </w:r>
      <w:r>
        <w:t xml:space="preserve"> </w:t>
      </w:r>
      <w:r>
        <w:t xml:space="preserve">Cool growing seasons favor higher levels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Clone genetics:</w:t>
      </w:r>
      <w:r>
        <w:t xml:space="preserve"> </w:t>
      </w:r>
      <w:r>
        <w:t xml:space="preserve">Clone 2626 (Syrah) shows significantly higher rotundone than Clone 1127</w:t>
      </w:r>
    </w:p>
    <w:p>
      <w:pPr>
        <w:pStyle w:val="BodyText"/>
      </w:pPr>
      <w:r>
        <w:t xml:space="preserve">This creates a</w:t>
      </w:r>
      <w:r>
        <w:t xml:space="preserve"> </w:t>
      </w:r>
      <w:r>
        <w:rPr>
          <w:b/>
          <w:bCs/>
        </w:rPr>
        <w:t xml:space="preserve">vintage effect</w:t>
      </w:r>
      <w:r>
        <w:t xml:space="preserve"> </w:t>
      </w:r>
      <w:r>
        <w:t xml:space="preserve">analogous to cannabinoid/terpene profiles in cannabis — cooler growing conditions favor secondary metabolite accumulation.</w:t>
      </w:r>
    </w:p>
    <w:bookmarkEnd w:id="100"/>
    <w:bookmarkEnd w:id="101"/>
    <w:bookmarkStart w:id="102" w:name="hops-and-cannabis-shared-terpene-biology"/>
    <w:p>
      <w:pPr>
        <w:pStyle w:val="Heading3"/>
      </w:pPr>
      <w:r>
        <w:t xml:space="preserve">Hops and Cannabis: Shared Terpene Biology</w:t>
      </w:r>
    </w:p>
    <w:p>
      <w:pPr>
        <w:pStyle w:val="FirstParagraph"/>
      </w:pPr>
      <w:r>
        <w:rPr>
          <w:b/>
          <w:bCs/>
        </w:rPr>
        <w:t xml:space="preserve">Family connection:</w:t>
      </w:r>
      <w:r>
        <w:t xml:space="preserve"> </w:t>
      </w:r>
      <w:r>
        <w:t xml:space="preserve">Both</w:t>
      </w:r>
      <w:r>
        <w:t xml:space="preserve"> </w:t>
      </w:r>
      <w:r>
        <w:rPr>
          <w:i/>
          <w:iCs/>
        </w:rPr>
        <w:t xml:space="preserve">Humulus lupulus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Cannabis sativa</w:t>
      </w:r>
      <w:r>
        <w:t xml:space="preserve"> </w:t>
      </w:r>
      <w:r>
        <w:t xml:space="preserve">belong to</w:t>
      </w:r>
      <w:r>
        <w:t xml:space="preserve"> </w:t>
      </w:r>
      <w:r>
        <w:rPr>
          <w:b/>
          <w:bCs/>
        </w:rPr>
        <w:t xml:space="preserve">Cannabaceae family</w:t>
      </w:r>
    </w:p>
    <w:p>
      <w:pPr>
        <w:pStyle w:val="BodyText"/>
      </w:pPr>
      <w:r>
        <w:rPr>
          <w:b/>
          <w:bCs/>
        </w:rPr>
        <w:t xml:space="preserve">Terpene similarity:</w:t>
      </w:r>
      <w:r>
        <w:t xml:space="preserve"> </w:t>
      </w:r>
      <w:r>
        <w:t xml:space="preserve">Both generate: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Caryophyllene</w:t>
      </w:r>
      <w:r>
        <w:t xml:space="preserve"> </w:t>
      </w:r>
      <w:r>
        <w:t xml:space="preserve">— 6-15% of hop oil; major sesquiterpene in cannabis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Humulene</w:t>
      </w:r>
      <w:r>
        <w:t xml:space="preserve"> </w:t>
      </w:r>
      <w:r>
        <w:t xml:space="preserve">— Co-product of sesquiterpene synthesis in both plants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Myrcene</w:t>
      </w:r>
      <w:r>
        <w:t xml:space="preserve"> </w:t>
      </w:r>
      <w:r>
        <w:t xml:space="preserve">— Major monoterpene in both plants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Myrcene + humulene + caryophyllene = 80-90% of total hop essential oil</w:t>
      </w:r>
    </w:p>
    <w:p>
      <w:pPr>
        <w:pStyle w:val="BodyText"/>
      </w:pPr>
      <w:r>
        <w:rPr>
          <w:b/>
          <w:bCs/>
        </w:rPr>
        <w:t xml:space="preserve">Beer-cannabis bridge:</w:t>
      </w:r>
      <w:r>
        <w:t xml:space="preserve"> </w:t>
      </w:r>
      <w:r>
        <w:t xml:space="preserve">Craft brewers using certain hop varieties (high in caryophyllene and humulene) create beers with spicy, peppery character similar to cannabis strains high in these terpenes.</w:t>
      </w:r>
    </w:p>
    <w:p>
      <w:pPr>
        <w:pStyle w:val="BodyText"/>
      </w:pPr>
      <w:r>
        <w:rPr>
          <w:b/>
          <w:bCs/>
        </w:rPr>
        <w:t xml:space="preserve">Late hopping significance:</w:t>
      </w:r>
      <w:r>
        <w:t xml:space="preserve"> </w:t>
      </w:r>
      <w:r>
        <w:t xml:space="preserve">Unlike volatile monoterpenes, sesquiterpenes like caryophyllene survive the brewing process through:</w:t>
      </w:r>
      <w:r>
        <w:t xml:space="preserve"> </w:t>
      </w:r>
      <w:r>
        <w:t xml:space="preserve">- Late hopping (final 5-15 minutes of boil)</w:t>
      </w:r>
      <w:r>
        <w:t xml:space="preserve"> </w:t>
      </w:r>
      <w:r>
        <w:t xml:space="preserve">- Dry hopping (post-fermentation addition)</w:t>
      </w:r>
      <w:r>
        <w:t xml:space="preserve"> </w:t>
      </w:r>
      <w:r>
        <w:t xml:space="preserve">- Hop extract products</w:t>
      </w:r>
    </w:p>
    <w:p>
      <w:pPr>
        <w:pStyle w:val="BodyText"/>
      </w:pPr>
      <w:r>
        <w:t xml:space="preserve">This allows sesquiterpene character to persist in finished beer — impossible with monoterpenes like myrcene (bp ~167°C).</w:t>
      </w:r>
    </w:p>
    <w:bookmarkEnd w:id="102"/>
    <w:bookmarkStart w:id="103" w:name="black-pepper-in-beverages"/>
    <w:p>
      <w:pPr>
        <w:pStyle w:val="Heading3"/>
      </w:pPr>
      <w:r>
        <w:t xml:space="preserve">Black Pepper in Beverages</w:t>
      </w:r>
    </w:p>
    <w:p>
      <w:pPr>
        <w:pStyle w:val="FirstParagraph"/>
      </w:pPr>
      <w:r>
        <w:rPr>
          <w:b/>
          <w:bCs/>
        </w:rPr>
        <w:t xml:space="preserve">Culinary integration:</w:t>
      </w:r>
      <w:r>
        <w:t xml:space="preserve"> </w:t>
      </w:r>
      <w:r>
        <w:t xml:space="preserve">Black pepper is used in:</w:t>
      </w:r>
      <w:r>
        <w:t xml:space="preserve"> </w:t>
      </w:r>
      <w:r>
        <w:t xml:space="preserve">- Craft spirits infusions</w:t>
      </w:r>
      <w:r>
        <w:t xml:space="preserve"> </w:t>
      </w:r>
      <w:r>
        <w:t xml:space="preserve">- Flavored wines and aperitifs</w:t>
      </w:r>
      <w:r>
        <w:t xml:space="preserve"> </w:t>
      </w:r>
      <w:r>
        <w:t xml:space="preserve">- Spiced beers and brewing</w:t>
      </w:r>
      <w:r>
        <w:t xml:space="preserve"> </w:t>
      </w:r>
      <w:r>
        <w:t xml:space="preserve">- Historical medicinal beverages (now revived in craft/artisanal applications)</w:t>
      </w:r>
    </w:p>
    <w:p>
      <w:pPr>
        <w:pStyle w:val="BodyText"/>
      </w:pPr>
      <w:r>
        <w:rPr>
          <w:b/>
          <w:bCs/>
        </w:rPr>
        <w:t xml:space="preserve">Caryophyllene stability:</w:t>
      </w:r>
      <w:r>
        <w:t xml:space="preserve"> </w:t>
      </w:r>
      <w:r>
        <w:t xml:space="preserve">Black pepper’s BCP content survives water extraction and brief heating, allowing pepper-derived BCP to contribute flavor to infused beverages.</w:t>
      </w:r>
    </w:p>
    <w:bookmarkEnd w:id="103"/>
    <w:bookmarkStart w:id="109" w:name="X63caea878919eb5eadfa08b8fee698aa5b905ad"/>
    <w:p>
      <w:pPr>
        <w:pStyle w:val="Heading3"/>
      </w:pPr>
      <w:r>
        <w:t xml:space="preserve">The Sesquiterpene Bridge Between Cannabis and Wine</w:t>
      </w:r>
    </w:p>
    <w:p>
      <w:pPr>
        <w:pStyle w:val="FirstParagraph"/>
      </w:pPr>
      <w:r>
        <w:rPr>
          <w:b/>
          <w:bCs/>
        </w:rPr>
        <w:t xml:space="preserve">Conceptual bridge: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Peppery character</w:t>
      </w:r>
      <w:r>
        <w:t xml:space="preserve"> </w:t>
      </w:r>
      <w:r>
        <w:t xml:space="preserve">in wine comes from rotundone (distinct sesquiterpene)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Peppery character</w:t>
      </w:r>
      <w:r>
        <w:t xml:space="preserve"> </w:t>
      </w:r>
      <w:r>
        <w:t xml:space="preserve">in cannabis comes from β-caryophyllene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are sesquiterpenes with similar aroma profiles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respond to cooler growing conditions and water stress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reflect terroir/environmental effects on secondary metabolism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Shared botanical ancestry</w:t>
      </w:r>
      <w:r>
        <w:t xml:space="preserve"> </w:t>
      </w:r>
      <w:r>
        <w:t xml:space="preserve">— Hops (Cannabaceae) bridges cannabis and beer</w:t>
      </w:r>
    </w:p>
    <w:p>
      <w:pPr>
        <w:pStyle w:val="BodyText"/>
      </w:pPr>
      <w:r>
        <w:rPr>
          <w:b/>
          <w:bCs/>
        </w:rPr>
        <w:t xml:space="preserve">Therapeutic implication for pre-loading:</w:t>
      </w:r>
      <w:r>
        <w:t xml:space="preserve"> </w:t>
      </w:r>
      <w:r>
        <w:t xml:space="preserve">A person familiar with peppery wine aromatics (rotundone) or peppery beer aromatics (caryophyllene from hops) will recognize similar sensory profiles in BCP-rich cannabis strains, potentially enhancing perceptual and psychological priming effects.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104">
        <w:r>
          <w:rPr>
            <w:rStyle w:val="Hyperlink"/>
          </w:rPr>
          <w:t xml:space="preserve">OENO One: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“May peppery wines be the spice of life? A review of rotundone”</w:t>
        </w:r>
      </w:hyperlink>
      <w:r>
        <w:t xml:space="preserve"> </w:t>
      </w:r>
      <w:r>
        <w:t xml:space="preserve">-</w:t>
      </w:r>
      <w:r>
        <w:t xml:space="preserve"> </w:t>
      </w:r>
      <w:hyperlink r:id="rId105">
        <w:r>
          <w:rPr>
            <w:rStyle w:val="Hyperlink"/>
          </w:rPr>
          <w:t xml:space="preserve">SevenFifty Daily: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“The Science of Rotundone in Wine”</w:t>
        </w:r>
      </w:hyperlink>
      <w:r>
        <w:t xml:space="preserve"> </w:t>
      </w:r>
      <w:r>
        <w:t xml:space="preserve">-</w:t>
      </w:r>
      <w:r>
        <w:t xml:space="preserve"> </w:t>
      </w:r>
      <w:hyperlink r:id="rId106">
        <w:r>
          <w:rPr>
            <w:rStyle w:val="Hyperlink"/>
          </w:rPr>
          <w:t xml:space="preserve">ResearchGate: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“The sesquiterpene rotundone is an impact aroma in Gruener Veltliner”</w:t>
        </w:r>
      </w:hyperlink>
      <w:r>
        <w:t xml:space="preserve"> </w:t>
      </w:r>
      <w:r>
        <w:t xml:space="preserve">-</w:t>
      </w:r>
      <w:r>
        <w:t xml:space="preserve"> </w:t>
      </w:r>
      <w:hyperlink r:id="rId107">
        <w:r>
          <w:rPr>
            <w:rStyle w:val="Hyperlink"/>
          </w:rPr>
          <w:t xml:space="preserve">PubMed: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“Determination of rotundone in grapes and wine”</w:t>
        </w:r>
      </w:hyperlink>
      <w:r>
        <w:t xml:space="preserve"> </w:t>
      </w:r>
      <w:r>
        <w:t xml:space="preserve">-</w:t>
      </w:r>
      <w:r>
        <w:t xml:space="preserve"> </w:t>
      </w:r>
      <w:hyperlink r:id="rId108">
        <w:r>
          <w:rPr>
            <w:rStyle w:val="Hyperlink"/>
          </w:rPr>
          <w:t xml:space="preserve">AWRI: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“Rotundone in iconic peppery Australian cool climate Shiraz”</w:t>
        </w:r>
      </w:hyperlink>
    </w:p>
    <w:p>
      <w:r>
        <w:pict>
          <v:rect style="width:0;height:1.5pt" o:hralign="center" o:hrstd="t" o:hr="t"/>
        </w:pict>
      </w:r>
    </w:p>
    <w:bookmarkEnd w:id="109"/>
    <w:bookmarkEnd w:id="110"/>
    <w:bookmarkStart w:id="118" w:name="section-9-perfumery-applications"/>
    <w:p>
      <w:pPr>
        <w:pStyle w:val="Heading2"/>
      </w:pPr>
      <w:r>
        <w:t xml:space="preserve">SECTION 9: PERFUMERY APPLICATIONS</w:t>
      </w:r>
    </w:p>
    <w:bookmarkStart w:id="111" w:name="fragrance-classification-and-use"/>
    <w:p>
      <w:pPr>
        <w:pStyle w:val="Heading3"/>
      </w:pPr>
      <w:r>
        <w:t xml:space="preserve">Fragrance Classification and Use</w:t>
      </w:r>
    </w:p>
    <w:p>
      <w:pPr>
        <w:pStyle w:val="FirstParagraph"/>
      </w:pPr>
      <w:r>
        <w:rPr>
          <w:b/>
          <w:bCs/>
        </w:rPr>
        <w:t xml:space="preserve">Base note classification:</w:t>
      </w:r>
      <w:r>
        <w:t xml:space="preserve"> </w:t>
      </w:r>
      <w:r>
        <w:t xml:space="preserve">β-Caryophyllene functions as a</w:t>
      </w:r>
      <w:r>
        <w:t xml:space="preserve"> </w:t>
      </w:r>
      <w:r>
        <w:rPr>
          <w:b/>
          <w:bCs/>
        </w:rPr>
        <w:t xml:space="preserve">middle to base note</w:t>
      </w:r>
      <w:r>
        <w:t xml:space="preserve">, contributing: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Fixative properties</w:t>
      </w:r>
      <w:r>
        <w:t xml:space="preserve"> </w:t>
      </w:r>
      <w:r>
        <w:t xml:space="preserve">— Low volatility increases fragrance longevity (boiling point 250°C)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Tenacity</w:t>
      </w:r>
      <w:r>
        <w:t xml:space="preserve"> </w:t>
      </w:r>
      <w:r>
        <w:t xml:space="preserve">— Persistent aroma projection over 4-6+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Depth and complexity</w:t>
      </w:r>
      <w:r>
        <w:t xml:space="preserve"> </w:t>
      </w:r>
      <w:r>
        <w:t xml:space="preserve">— Adds woody-spicy dimension to fragrance structure</w:t>
      </w:r>
    </w:p>
    <w:bookmarkEnd w:id="111"/>
    <w:bookmarkStart w:id="112" w:name="fragrance-accord-applications"/>
    <w:p>
      <w:pPr>
        <w:pStyle w:val="Heading3"/>
      </w:pPr>
      <w:r>
        <w:t xml:space="preserve">Fragrance Accord Applications</w:t>
      </w:r>
    </w:p>
    <w:p>
      <w:pPr>
        <w:pStyle w:val="FirstParagraph"/>
      </w:pPr>
      <w:r>
        <w:t xml:space="preserve">BCP is used 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62"/>
        <w:gridCol w:w="2772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Fragrance Category</w:t>
            </w:r>
          </w:p>
        </w:tc>
        <w:tc>
          <w:tcPr/>
          <w:p>
            <w:pPr>
              <w:pStyle w:val="Compact"/>
            </w:pPr>
            <w:r>
              <w:t xml:space="preserve">Applications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Oriental/Amber accords</w:t>
            </w:r>
          </w:p>
        </w:tc>
        <w:tc>
          <w:tcPr/>
          <w:p>
            <w:pPr>
              <w:pStyle w:val="Compact"/>
            </w:pPr>
            <w:r>
              <w:t xml:space="preserve">Base note modifier</w:t>
            </w:r>
          </w:p>
        </w:tc>
        <w:tc>
          <w:tcPr/>
          <w:p>
            <w:pPr>
              <w:pStyle w:val="Compact"/>
            </w:pPr>
            <w:r>
              <w:t xml:space="preserve">Adds warmth and spice to classic oriental bases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Woody-spicy compositions</w:t>
            </w:r>
          </w:p>
        </w:tc>
        <w:tc>
          <w:tcPr/>
          <w:p>
            <w:pPr>
              <w:pStyle w:val="Compact"/>
            </w:pPr>
            <w:r>
              <w:t xml:space="preserve">Middle-to-base bridging</w:t>
            </w:r>
          </w:p>
        </w:tc>
        <w:tc>
          <w:tcPr/>
          <w:p>
            <w:pPr>
              <w:pStyle w:val="Compact"/>
            </w:pPr>
            <w:r>
              <w:t xml:space="preserve">Connects spicy top notes to woody bases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Fougère fragrances</w:t>
            </w:r>
          </w:p>
        </w:tc>
        <w:tc>
          <w:tcPr/>
          <w:p>
            <w:pPr>
              <w:pStyle w:val="Compact"/>
            </w:pPr>
            <w:r>
              <w:t xml:space="preserve">Spicy modifier</w:t>
            </w:r>
          </w:p>
        </w:tc>
        <w:tc>
          <w:tcPr/>
          <w:p>
            <w:pPr>
              <w:pStyle w:val="Compact"/>
            </w:pPr>
            <w:r>
              <w:t xml:space="preserve">Adds herbal-spicy character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Spice accords</w:t>
            </w:r>
          </w:p>
        </w:tc>
        <w:tc>
          <w:tcPr/>
          <w:p>
            <w:pPr>
              <w:pStyle w:val="Compact"/>
            </w:pPr>
            <w:r>
              <w:t xml:space="preserve">Primary component</w:t>
            </w:r>
          </w:p>
        </w:tc>
        <w:tc>
          <w:tcPr/>
          <w:p>
            <w:pPr>
              <w:pStyle w:val="Compact"/>
            </w:pPr>
            <w:r>
              <w:t xml:space="preserve">Clove, pepper, cinnamon blends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Luxury niche perfumes</w:t>
            </w:r>
          </w:p>
        </w:tc>
        <w:tc>
          <w:tcPr/>
          <w:p>
            <w:pPr>
              <w:pStyle w:val="Compact"/>
            </w:pPr>
            <w:r>
              <w:t xml:space="preserve">High-end fine fragrance</w:t>
            </w:r>
          </w:p>
        </w:tc>
        <w:tc>
          <w:tcPr/>
          <w:p>
            <w:pPr>
              <w:pStyle w:val="Compact"/>
            </w:pPr>
            <w:r>
              <w:t xml:space="preserve">Provides naturalistic spicy depth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 fragrances</w:t>
            </w:r>
          </w:p>
        </w:tc>
        <w:tc>
          <w:tcPr/>
          <w:p>
            <w:pPr>
              <w:pStyle w:val="Compact"/>
            </w:pPr>
            <w:r>
              <w:t xml:space="preserve">Cosmetics, skincare</w:t>
            </w:r>
          </w:p>
        </w:tc>
        <w:tc>
          <w:tcPr/>
          <w:p>
            <w:pPr>
              <w:pStyle w:val="Compact"/>
            </w:pPr>
            <w:r>
              <w:t xml:space="preserve">Subtle flavor and aroma enhancement</w:t>
            </w:r>
          </w:p>
        </w:tc>
      </w:tr>
    </w:tbl>
    <w:bookmarkEnd w:id="112"/>
    <w:bookmarkStart w:id="113" w:name="synthetic-alternatives-and-market"/>
    <w:p>
      <w:pPr>
        <w:pStyle w:val="Heading3"/>
      </w:pPr>
      <w:r>
        <w:t xml:space="preserve">Synthetic Alternatives and Market</w:t>
      </w:r>
    </w:p>
    <w:p>
      <w:pPr>
        <w:pStyle w:val="FirstParagraph"/>
      </w:pPr>
      <w:r>
        <w:rPr>
          <w:b/>
          <w:bCs/>
        </w:rPr>
        <w:t xml:space="preserve">Synthetic β-caryophyllene:</w:t>
      </w:r>
      <w:r>
        <w:t xml:space="preserve"> </w:t>
      </w:r>
      <w:r>
        <w:t xml:space="preserve">- CAS 13877-93-5 (synthetic form)</w:t>
      </w:r>
      <w:r>
        <w:t xml:space="preserve"> </w:t>
      </w:r>
      <w:r>
        <w:t xml:space="preserve">- Chemically identical to natural form</w:t>
      </w:r>
      <w:r>
        <w:t xml:space="preserve"> </w:t>
      </w:r>
      <w:r>
        <w:t xml:space="preserve">- Cost-effective for large-scale fragrance manufacture</w:t>
      </w:r>
      <w:r>
        <w:t xml:space="preserve"> </w:t>
      </w:r>
      <w:r>
        <w:t xml:space="preserve">- Regulatory advantage: GRAS status applies to both natural and synthetic forms</w:t>
      </w:r>
    </w:p>
    <w:p>
      <w:pPr>
        <w:pStyle w:val="BodyText"/>
      </w:pPr>
      <w:r>
        <w:rPr>
          <w:b/>
          <w:bCs/>
        </w:rPr>
        <w:t xml:space="preserve">Market scale:</w:t>
      </w:r>
      <w:r>
        <w:t xml:space="preserve"> </w:t>
      </w:r>
      <w:r>
        <w:t xml:space="preserve">β-Caryophyllene is used at</w:t>
      </w:r>
      <w:r>
        <w:t xml:space="preserve"> </w:t>
      </w:r>
      <w:r>
        <w:rPr>
          <w:b/>
          <w:bCs/>
        </w:rPr>
        <w:t xml:space="preserve">100-1000 metric tons annually</w:t>
      </w:r>
      <w:r>
        <w:t xml:space="preserve"> </w:t>
      </w:r>
      <w:r>
        <w:t xml:space="preserve">across all industries (food, fragrance, cosmetic), making it a bulk industrial chemical despite its sophisticated aromatic properties.</w:t>
      </w:r>
    </w:p>
    <w:bookmarkEnd w:id="113"/>
    <w:bookmarkStart w:id="117" w:name="caryophyllene-oxide-in-perfumery"/>
    <w:p>
      <w:pPr>
        <w:pStyle w:val="Heading3"/>
      </w:pPr>
      <w:r>
        <w:t xml:space="preserve">Caryophyllene Oxide in Perfumery</w:t>
      </w:r>
    </w:p>
    <w:p>
      <w:pPr>
        <w:pStyle w:val="FirstParagraph"/>
      </w:pPr>
      <w:r>
        <w:rPr>
          <w:b/>
          <w:bCs/>
        </w:rPr>
        <w:t xml:space="preserve">Distinct properties:</w:t>
      </w:r>
      <w:r>
        <w:t xml:space="preserve"> </w:t>
      </w:r>
      <w:r>
        <w:t xml:space="preserve">- Adds</w:t>
      </w:r>
      <w:r>
        <w:t xml:space="preserve"> </w:t>
      </w:r>
      <w:r>
        <w:t xml:space="preserve">“dry elegance”</w:t>
      </w:r>
      <w:r>
        <w:t xml:space="preserve"> </w:t>
      </w:r>
      <w:r>
        <w:t xml:space="preserve">to floral and oriental bases</w:t>
      </w:r>
      <w:r>
        <w:t xml:space="preserve"> </w:t>
      </w:r>
      <w:r>
        <w:t xml:space="preserve">- Acts as</w:t>
      </w:r>
      <w:r>
        <w:t xml:space="preserve"> </w:t>
      </w:r>
      <w:r>
        <w:t xml:space="preserve">“spicy-woody bridge”</w:t>
      </w:r>
      <w:r>
        <w:t xml:space="preserve"> </w:t>
      </w:r>
      <w:r>
        <w:t xml:space="preserve">for luxury accords</w:t>
      </w:r>
      <w:r>
        <w:t xml:space="preserve"> </w:t>
      </w:r>
      <w:r>
        <w:t xml:space="preserve">- Provides depth to oriental structures without the peppery sharpness of BCP</w:t>
      </w:r>
      <w:r>
        <w:t xml:space="preserve"> </w:t>
      </w:r>
      <w:r>
        <w:t xml:space="preserve">- Sensory threshold slightly different from parent compound</w:t>
      </w:r>
    </w:p>
    <w:p>
      <w:pPr>
        <w:pStyle w:val="BodyText"/>
      </w:pPr>
      <w:r>
        <w:rPr>
          <w:b/>
          <w:bCs/>
        </w:rPr>
        <w:t xml:space="preserve">Application:</w:t>
      </w:r>
      <w:r>
        <w:t xml:space="preserve"> </w:t>
      </w:r>
      <w:r>
        <w:t xml:space="preserve">Often used in combination with parent β-caryophyllene for layered spicy effects.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27">
        <w:r>
          <w:rPr>
            <w:rStyle w:val="Hyperlink"/>
          </w:rPr>
          <w:t xml:space="preserve">Scentspiracy: Caryophyllene in perfumery</w:t>
        </w:r>
      </w:hyperlink>
      <w:r>
        <w:t xml:space="preserve"> </w:t>
      </w:r>
      <w:r>
        <w:t xml:space="preserve">-</w:t>
      </w:r>
      <w:r>
        <w:t xml:space="preserve"> </w:t>
      </w:r>
      <w:hyperlink r:id="rId114">
        <w:r>
          <w:rPr>
            <w:rStyle w:val="Hyperlink"/>
          </w:rPr>
          <w:t xml:space="preserve">PerfumersWorld: Beta-Caryophyllene specifications</w:t>
        </w:r>
      </w:hyperlink>
      <w:r>
        <w:t xml:space="preserve"> </w:t>
      </w:r>
      <w:r>
        <w:t xml:space="preserve">-</w:t>
      </w:r>
      <w:r>
        <w:t xml:space="preserve"> </w:t>
      </w:r>
      <w:hyperlink r:id="rId115">
        <w:r>
          <w:rPr>
            <w:rStyle w:val="Hyperlink"/>
          </w:rPr>
          <w:t xml:space="preserve">Consolidated Chemical: Caryophyllene products</w:t>
        </w:r>
      </w:hyperlink>
      <w:r>
        <w:t xml:space="preserve"> </w:t>
      </w:r>
      <w:r>
        <w:t xml:space="preserve">-</w:t>
      </w:r>
      <w:r>
        <w:t xml:space="preserve"> </w:t>
      </w:r>
      <w:hyperlink r:id="rId116">
        <w:r>
          <w:rPr>
            <w:rStyle w:val="Hyperlink"/>
          </w:rPr>
          <w:t xml:space="preserve">Good Scents Company: Caryophyllene sensory profile</w:t>
        </w:r>
      </w:hyperlink>
    </w:p>
    <w:p>
      <w:r>
        <w:pict>
          <v:rect style="width:0;height:1.5pt" o:hralign="center" o:hrstd="t" o:hr="t"/>
        </w:pict>
      </w:r>
    </w:p>
    <w:bookmarkEnd w:id="117"/>
    <w:bookmarkEnd w:id="118"/>
    <w:bookmarkStart w:id="129" w:name="section-10-culinary-applications"/>
    <w:p>
      <w:pPr>
        <w:pStyle w:val="Heading2"/>
      </w:pPr>
      <w:r>
        <w:t xml:space="preserve">SECTION 10: CULINARY APPLICATIONS</w:t>
      </w:r>
    </w:p>
    <w:bookmarkStart w:id="119" w:name="black-pepper-as-primary-dietary-source"/>
    <w:p>
      <w:pPr>
        <w:pStyle w:val="Heading3"/>
      </w:pPr>
      <w:r>
        <w:t xml:space="preserve">Black Pepper as Primary Dietary Source</w:t>
      </w:r>
    </w:p>
    <w:p>
      <w:pPr>
        <w:pStyle w:val="FirstParagraph"/>
      </w:pPr>
      <w:r>
        <w:rPr>
          <w:b/>
          <w:bCs/>
        </w:rPr>
        <w:t xml:space="preserve">Global usage:</w:t>
      </w:r>
      <w:r>
        <w:t xml:space="preserve"> </w:t>
      </w:r>
      <w:r>
        <w:t xml:space="preserve">Black pepper (</w:t>
      </w:r>
      <w:r>
        <w:rPr>
          <w:i/>
          <w:iCs/>
        </w:rPr>
        <w:t xml:space="preserve">Piper nigrum</w:t>
      </w:r>
      <w:r>
        <w:t xml:space="preserve">) is the most consumed spice globally, making it the principal dietary source of β-caryophyllene for most populations.</w:t>
      </w:r>
    </w:p>
    <w:p>
      <w:pPr>
        <w:pStyle w:val="BodyText"/>
      </w:pPr>
      <w:r>
        <w:rPr>
          <w:b/>
          <w:bCs/>
        </w:rPr>
        <w:t xml:space="preserve">BCP concentration:</w:t>
      </w:r>
      <w:r>
        <w:t xml:space="preserve"> </w:t>
      </w:r>
      <w:r>
        <w:t xml:space="preserve">7-35% depending on cultivar (common varieties ~7%, specialized peppercorns up to 35%)</w:t>
      </w:r>
    </w:p>
    <w:p>
      <w:pPr>
        <w:pStyle w:val="BodyText"/>
      </w:pPr>
      <w:r>
        <w:rPr>
          <w:b/>
          <w:bCs/>
        </w:rPr>
        <w:t xml:space="preserve">Culinary functions:</w:t>
      </w:r>
      <w:r>
        <w:t xml:space="preserve"> </w:t>
      </w:r>
      <w:r>
        <w:t xml:space="preserve">- Flavor modulation in virtually all savory cuisines</w:t>
      </w:r>
      <w:r>
        <w:t xml:space="preserve"> </w:t>
      </w:r>
      <w:r>
        <w:t xml:space="preserve">- Piperine (alkaloid) provides heat; caryophyllene provides spice aroma</w:t>
      </w:r>
      <w:r>
        <w:t xml:space="preserve"> </w:t>
      </w:r>
      <w:r>
        <w:t xml:space="preserve">- Used in whole-grain, cracked, or ground forms</w:t>
      </w:r>
    </w:p>
    <w:bookmarkEnd w:id="119"/>
    <w:bookmarkStart w:id="120" w:name="thermal-stability-during-cooking"/>
    <w:p>
      <w:pPr>
        <w:pStyle w:val="Heading3"/>
      </w:pPr>
      <w:r>
        <w:t xml:space="preserve">Thermal Stability During Cooking</w:t>
      </w:r>
    </w:p>
    <w:p>
      <w:pPr>
        <w:pStyle w:val="FirstParagraph"/>
      </w:pPr>
      <w:r>
        <w:rPr>
          <w:b/>
          <w:bCs/>
        </w:rPr>
        <w:t xml:space="preserve">Critical finding:</w:t>
      </w:r>
      <w:r>
        <w:t xml:space="preserve"> </w:t>
      </w:r>
      <w:r>
        <w:t xml:space="preserve">Proper thermal management</w:t>
      </w:r>
      <w:r>
        <w:t xml:space="preserve"> </w:t>
      </w:r>
      <w:r>
        <w:rPr>
          <w:b/>
          <w:bCs/>
        </w:rPr>
        <w:t xml:space="preserve">preserves BCP</w:t>
      </w:r>
      <w:r>
        <w:t xml:space="preserve"> </w:t>
      </w:r>
      <w:r>
        <w:t xml:space="preserve">during spice preparation:</w:t>
      </w:r>
    </w:p>
    <w:p>
      <w:pPr>
        <w:pStyle w:val="BodyText"/>
      </w:pPr>
      <w:r>
        <w:rPr>
          <w:b/>
          <w:bCs/>
        </w:rPr>
        <w:t xml:space="preserve">Dry-roasting protocols for terpene preservation: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Low-and-slow roasting:</w:t>
      </w:r>
      <w:r>
        <w:t xml:space="preserve"> </w:t>
      </w:r>
      <w:r>
        <w:t xml:space="preserve">120-140°C for 4-6 minutes → Preserves delicate mono- and sesquiterpenes (limonene, β-caryophyllene)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Flash-roasting</w:t>
      </w:r>
      <w:r>
        <w:t xml:space="preserve"> </w:t>
      </w:r>
      <w:r>
        <w:t xml:space="preserve">(peppercorns only): 175-185°C for 60-90 seconds → Volatilizes harsh alkaloids while concentrating piperine; some BCP loss expected but acceptable for flavor development</w:t>
      </w:r>
    </w:p>
    <w:p>
      <w:pPr>
        <w:pStyle w:val="BodyText"/>
      </w:pPr>
      <w:r>
        <w:rPr>
          <w:b/>
          <w:bCs/>
        </w:rPr>
        <w:t xml:space="preserve">Evaporation threshold:</w:t>
      </w:r>
      <w:r>
        <w:t xml:space="preserve"> </w:t>
      </w:r>
      <w:r>
        <w:t xml:space="preserve">Sesquiterpenes like BCP begin significant volatilization above 145°C; complete preservation requires gentle heating below this threshold.</w:t>
      </w:r>
    </w:p>
    <w:p>
      <w:pPr>
        <w:pStyle w:val="BodyText"/>
      </w:pPr>
      <w:r>
        <w:rPr>
          <w:b/>
          <w:bCs/>
        </w:rPr>
        <w:t xml:space="preserve">Practical implication:</w:t>
      </w:r>
      <w:r>
        <w:t xml:space="preserve"> </w:t>
      </w:r>
      <w:r>
        <w:t xml:space="preserve">BCP survives standard cooking temperatures (boiling ~100°C, sautéing ~150-160°C) but is partially lost in high-heat roasting. Maximum preservation requires:</w:t>
      </w:r>
      <w:r>
        <w:t xml:space="preserve"> </w:t>
      </w:r>
      <w:r>
        <w:t xml:space="preserve">1. Fresh whole peppercorns (minimize pre-oxidation)</w:t>
      </w:r>
      <w:r>
        <w:t xml:space="preserve"> </w:t>
      </w:r>
      <w:r>
        <w:t xml:space="preserve">2. Coarse grinding just before use</w:t>
      </w:r>
      <w:r>
        <w:t xml:space="preserve"> </w:t>
      </w:r>
      <w:r>
        <w:t xml:space="preserve">3. Addition to dishes in final stages of cooking</w:t>
      </w:r>
      <w:r>
        <w:t xml:space="preserve"> </w:t>
      </w:r>
      <w:r>
        <w:t xml:space="preserve">4. Minimal high-heat exposure</w:t>
      </w:r>
    </w:p>
    <w:bookmarkEnd w:id="120"/>
    <w:bookmarkStart w:id="124" w:name="X1701763262acbab7df5bc929bc293fb332e30a8"/>
    <w:p>
      <w:pPr>
        <w:pStyle w:val="Heading3"/>
      </w:pPr>
      <w:r>
        <w:t xml:space="preserve">Spice Blends Containing Black Pepper and/or Clove</w:t>
      </w:r>
    </w:p>
    <w:bookmarkStart w:id="121" w:name="garam-masala-indian-cuisine"/>
    <w:p>
      <w:pPr>
        <w:pStyle w:val="Heading4"/>
      </w:pPr>
      <w:r>
        <w:t xml:space="preserve">Garam Masala (Indian cuisine)</w:t>
      </w:r>
    </w:p>
    <w:p>
      <w:pPr>
        <w:pStyle w:val="FirstParagraph"/>
      </w:pPr>
      <w:r>
        <w:rPr>
          <w:b/>
          <w:bCs/>
        </w:rPr>
        <w:t xml:space="preserve">Typical composition:</w:t>
      </w:r>
      <w:r>
        <w:t xml:space="preserve"> </w:t>
      </w:r>
      <w:r>
        <w:t xml:space="preserve">- Coriander seeds</w:t>
      </w:r>
      <w:r>
        <w:t xml:space="preserve"> </w:t>
      </w:r>
      <w:r>
        <w:t xml:space="preserve">- Cumin seeds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Black peppercorns</w:t>
      </w:r>
      <w:r>
        <w:t xml:space="preserve"> </w:t>
      </w:r>
      <w:r>
        <w:t xml:space="preserve">(BCP source)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Cloves</w:t>
      </w:r>
      <w:r>
        <w:t xml:space="preserve"> </w:t>
      </w:r>
      <w:r>
        <w:t xml:space="preserve">(BCP source — 12-20% BCP)</w:t>
      </w:r>
      <w:r>
        <w:t xml:space="preserve"> </w:t>
      </w:r>
      <w:r>
        <w:t xml:space="preserve">- Cinnamon sticks</w:t>
      </w:r>
      <w:r>
        <w:t xml:space="preserve"> </w:t>
      </w:r>
      <w:r>
        <w:t xml:space="preserve">- Cardamom pods</w:t>
      </w:r>
      <w:r>
        <w:t xml:space="preserve"> </w:t>
      </w:r>
      <w:r>
        <w:t xml:space="preserve">- Bay leaves</w:t>
      </w:r>
      <w:r>
        <w:t xml:space="preserve"> </w:t>
      </w:r>
      <w:r>
        <w:t xml:space="preserve">- Star anise</w:t>
      </w:r>
    </w:p>
    <w:p>
      <w:pPr>
        <w:pStyle w:val="BodyText"/>
      </w:pPr>
      <w:r>
        <w:rPr>
          <w:b/>
          <w:bCs/>
        </w:rPr>
        <w:t xml:space="preserve">Preparation method:</w:t>
      </w:r>
      <w:r>
        <w:t xml:space="preserve"> </w:t>
      </w:r>
      <w:r>
        <w:t xml:space="preserve">Individual spices roasted separately (important for flavor development) at low-to-moderate temperatures, then ground together. Caryophyllene content preserved if roasting temperature kept below 145°C.</w:t>
      </w:r>
    </w:p>
    <w:bookmarkEnd w:id="121"/>
    <w:bookmarkStart w:id="122" w:name="chinese-five-spice-blend"/>
    <w:p>
      <w:pPr>
        <w:pStyle w:val="Heading4"/>
      </w:pPr>
      <w:r>
        <w:t xml:space="preserve">Chinese Five-Spice Blend</w:t>
      </w:r>
    </w:p>
    <w:p>
      <w:pPr>
        <w:pStyle w:val="FirstParagraph"/>
      </w:pPr>
      <w:r>
        <w:rPr>
          <w:b/>
          <w:bCs/>
        </w:rPr>
        <w:t xml:space="preserve">Composition:</w:t>
      </w:r>
      <w:r>
        <w:t xml:space="preserve"> </w:t>
      </w:r>
      <w:r>
        <w:t xml:space="preserve">- Cinnamon (6.9-11.1% BCP)</w:t>
      </w:r>
      <w:r>
        <w:t xml:space="preserve"> </w:t>
      </w:r>
      <w:r>
        <w:t xml:space="preserve">- Star anise</w:t>
      </w:r>
      <w:r>
        <w:t xml:space="preserve"> </w:t>
      </w:r>
      <w:r>
        <w:t xml:space="preserve">- Fennel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Clove</w:t>
      </w:r>
      <w:r>
        <w:t xml:space="preserve"> </w:t>
      </w:r>
      <w:r>
        <w:t xml:space="preserve">(high BCP source)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Sichuan peppercorns</w:t>
      </w:r>
      <w:r>
        <w:t xml:space="preserve"> </w:t>
      </w:r>
      <w:r>
        <w:t xml:space="preserve">(Zanthoxylum — contains unrelated pungent compounds)</w:t>
      </w:r>
    </w:p>
    <w:bookmarkEnd w:id="122"/>
    <w:bookmarkStart w:id="123" w:name="ras-el-hanout-north-african-cuisine"/>
    <w:p>
      <w:pPr>
        <w:pStyle w:val="Heading4"/>
      </w:pPr>
      <w:r>
        <w:t xml:space="preserve">Ras el Hanout (North African cuisine)</w:t>
      </w:r>
    </w:p>
    <w:p>
      <w:pPr>
        <w:pStyle w:val="FirstParagraph"/>
      </w:pPr>
      <w:r>
        <w:rPr>
          <w:b/>
          <w:bCs/>
        </w:rPr>
        <w:t xml:space="preserve">Profile:</w:t>
      </w:r>
      <w:r>
        <w:t xml:space="preserve"> </w:t>
      </w:r>
      <w:r>
        <w:t xml:space="preserve">Complex spice blend typically containing: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Clove</w:t>
      </w:r>
      <w:r>
        <w:t xml:space="preserve"> </w:t>
      </w:r>
      <w:r>
        <w:t xml:space="preserve">(high BCP)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Black pepper</w:t>
      </w:r>
      <w:r>
        <w:t xml:space="preserve"> </w:t>
      </w:r>
      <w:r>
        <w:t xml:space="preserve">(BCP source)</w:t>
      </w:r>
      <w:r>
        <w:t xml:space="preserve"> </w:t>
      </w:r>
      <w:r>
        <w:t xml:space="preserve">- Cinnamon</w:t>
      </w:r>
      <w:r>
        <w:t xml:space="preserve"> </w:t>
      </w:r>
      <w:r>
        <w:t xml:space="preserve">- Coriander</w:t>
      </w:r>
      <w:r>
        <w:t xml:space="preserve"> </w:t>
      </w:r>
      <w:r>
        <w:t xml:space="preserve">- Cumin</w:t>
      </w:r>
      <w:r>
        <w:t xml:space="preserve"> </w:t>
      </w:r>
      <w:r>
        <w:t xml:space="preserve">- Paprika</w:t>
      </w:r>
      <w:r>
        <w:t xml:space="preserve"> </w:t>
      </w:r>
      <w:r>
        <w:t xml:space="preserve">- Turmeric</w:t>
      </w:r>
      <w:r>
        <w:t xml:space="preserve"> </w:t>
      </w:r>
      <w:r>
        <w:t xml:space="preserve">- And 8-12 additional spices</w:t>
      </w:r>
    </w:p>
    <w:p>
      <w:pPr>
        <w:pStyle w:val="BodyText"/>
      </w:pPr>
      <w:r>
        <w:rPr>
          <w:b/>
          <w:bCs/>
        </w:rPr>
        <w:t xml:space="preserve">Caryophyllene contribution:</w:t>
      </w:r>
      <w:r>
        <w:t xml:space="preserve"> </w:t>
      </w:r>
      <w:r>
        <w:t xml:space="preserve">Significant due to clove and pepper content; total BCP concentration varies with specific formulation.</w:t>
      </w:r>
    </w:p>
    <w:bookmarkEnd w:id="123"/>
    <w:bookmarkEnd w:id="124"/>
    <w:bookmarkStart w:id="128" w:name="culinary-implications-for-pre-loading"/>
    <w:p>
      <w:pPr>
        <w:pStyle w:val="Heading3"/>
      </w:pPr>
      <w:r>
        <w:t xml:space="preserve">Culinary Implications for Pre-Loading</w:t>
      </w:r>
    </w:p>
    <w:p>
      <w:pPr>
        <w:pStyle w:val="FirstParagraph"/>
      </w:pPr>
      <w:r>
        <w:t xml:space="preserve">From a pre-loading perspective: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Dietary priming</w:t>
      </w:r>
      <w:r>
        <w:t xml:space="preserve"> </w:t>
      </w:r>
      <w:r>
        <w:t xml:space="preserve">— Regular consumption of black pepper, clove, and cinnamon could provide baseline CB2 receptor and PPARγ agonism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Sensory familiarity</w:t>
      </w:r>
      <w:r>
        <w:t xml:space="preserve"> </w:t>
      </w:r>
      <w:r>
        <w:t xml:space="preserve">— Familiarization with peppery/spicy flavor profiles enhances sensory recognition of BCP-rich cannabis strains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Timing optimization</w:t>
      </w:r>
      <w:r>
        <w:t xml:space="preserve"> </w:t>
      </w:r>
      <w:r>
        <w:t xml:space="preserve">— Adding BCP-rich spices to meals 15-30 minutes before cannabis consumption could establish optimal receptor priming window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Thermal protection</w:t>
      </w:r>
      <w:r>
        <w:t xml:space="preserve"> </w:t>
      </w:r>
      <w:r>
        <w:t xml:space="preserve">— Cooking methods that preserve BCP (low-temperature roasting, late-stage addition) maintain maximum phytochemical potency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125">
        <w:r>
          <w:rPr>
            <w:rStyle w:val="Hyperlink"/>
          </w:rPr>
          <w:t xml:space="preserve">Wikipedia: Garam Masala</w:t>
        </w:r>
      </w:hyperlink>
      <w:r>
        <w:t xml:space="preserve"> </w:t>
      </w:r>
      <w:r>
        <w:t xml:space="preserve">-</w:t>
      </w:r>
      <w:r>
        <w:t xml:space="preserve"> </w:t>
      </w:r>
      <w:hyperlink r:id="rId126">
        <w:r>
          <w:rPr>
            <w:rStyle w:val="Hyperlink"/>
          </w:rPr>
          <w:t xml:space="preserve">The Spice House: Garam Masala preparation</w:t>
        </w:r>
      </w:hyperlink>
      <w:r>
        <w:t xml:space="preserve"> </w:t>
      </w:r>
      <w:r>
        <w:t xml:space="preserve">-</w:t>
      </w:r>
      <w:r>
        <w:t xml:space="preserve"> </w:t>
      </w:r>
      <w:hyperlink r:id="rId127">
        <w:r>
          <w:rPr>
            <w:rStyle w:val="Hyperlink"/>
          </w:rPr>
          <w:t xml:space="preserve">Swasthi’s Recipes: Garam Masala recipe with thermal guidance</w:t>
        </w:r>
      </w:hyperlink>
    </w:p>
    <w:p>
      <w:r>
        <w:pict>
          <v:rect style="width:0;height:1.5pt" o:hralign="center" o:hrstd="t" o:hr="t"/>
        </w:pict>
      </w:r>
    </w:p>
    <w:bookmarkEnd w:id="128"/>
    <w:bookmarkEnd w:id="129"/>
    <w:bookmarkStart w:id="140" w:name="section-11-traditional-medicine"/>
    <w:p>
      <w:pPr>
        <w:pStyle w:val="Heading2"/>
      </w:pPr>
      <w:r>
        <w:t xml:space="preserve">SECTION 11: TRADITIONAL MEDICINE</w:t>
      </w:r>
    </w:p>
    <w:bookmarkStart w:id="130" w:name="Xf094c69ae1b79d08cc32661efd4f2e3e13c1e8d"/>
    <w:p>
      <w:pPr>
        <w:pStyle w:val="Heading3"/>
      </w:pPr>
      <w:r>
        <w:t xml:space="preserve">Brazilian Amazon Traditional Medicine (Copaiba)</w:t>
      </w:r>
    </w:p>
    <w:p>
      <w:pPr>
        <w:pStyle w:val="FirstParagraph"/>
      </w:pPr>
      <w:r>
        <w:rPr>
          <w:b/>
          <w:bCs/>
        </w:rPr>
        <w:t xml:space="preserve">Historical documentation:</w:t>
      </w:r>
      <w:r>
        <w:t xml:space="preserve"> </w:t>
      </w:r>
      <w:r>
        <w:t xml:space="preserve">Copaiba (</w:t>
      </w:r>
      <w:r>
        <w:rPr>
          <w:i/>
          <w:iCs/>
        </w:rPr>
        <w:t xml:space="preserve">Copaifera officinalis</w:t>
      </w:r>
      <w:r>
        <w:t xml:space="preserve">) resin-oil has been documented in use since the</w:t>
      </w:r>
      <w:r>
        <w:t xml:space="preserve"> </w:t>
      </w:r>
      <w:r>
        <w:rPr>
          <w:b/>
          <w:bCs/>
        </w:rPr>
        <w:t xml:space="preserve">16th century</w:t>
      </w:r>
      <w:r>
        <w:t xml:space="preserve"> </w:t>
      </w:r>
      <w:r>
        <w:t xml:space="preserve">by Brazilian indigenous peoples and Portuguese colonial healers.</w:t>
      </w:r>
    </w:p>
    <w:p>
      <w:pPr>
        <w:pStyle w:val="BodyText"/>
      </w:pPr>
      <w:r>
        <w:rPr>
          <w:b/>
          <w:bCs/>
        </w:rPr>
        <w:t xml:space="preserve">Documented traditional uses (1625-present):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Wound and ulcer healing</w:t>
      </w:r>
      <w:r>
        <w:t xml:space="preserve"> </w:t>
      </w:r>
      <w:r>
        <w:t xml:space="preserve">— Antimicrobial and tissue regeneration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Skin diseases</w:t>
      </w:r>
      <w:r>
        <w:t xml:space="preserve"> </w:t>
      </w:r>
      <w:r>
        <w:t xml:space="preserve">— Inflammatory and infectious conditions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Rheumatic diseases</w:t>
      </w:r>
      <w:r>
        <w:t xml:space="preserve"> </w:t>
      </w:r>
      <w:r>
        <w:t xml:space="preserve">— Pain and inflammation relief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Respiratory conditions:</w:t>
      </w:r>
      <w:r>
        <w:t xml:space="preserve"> </w:t>
      </w:r>
      <w:r>
        <w:t xml:space="preserve">- Chronic bronchitis</w:t>
      </w:r>
      <w:r>
        <w:t xml:space="preserve"> </w:t>
      </w:r>
      <w:r>
        <w:t xml:space="preserve">- Chronic cystitis</w:t>
      </w:r>
      <w:r>
        <w:t xml:space="preserve"> </w:t>
      </w:r>
      <w:r>
        <w:t xml:space="preserve">- Chronic diarrhea</w:t>
      </w:r>
      <w:r>
        <w:t xml:space="preserve"> </w:t>
      </w:r>
      <w:r>
        <w:t xml:space="preserve">- Hemorrhoids</w:t>
      </w:r>
    </w:p>
    <w:p>
      <w:pPr>
        <w:pStyle w:val="BodyText"/>
      </w:pPr>
      <w:r>
        <w:rPr>
          <w:b/>
          <w:bCs/>
        </w:rPr>
        <w:t xml:space="preserve">Active principle attribution:</w:t>
      </w:r>
      <w:r>
        <w:t xml:space="preserve"> </w:t>
      </w:r>
      <w:r>
        <w:t xml:space="preserve">Anti-inflammatory activity attributed to sesquiterpene fraction, particularly</w:t>
      </w:r>
      <w:r>
        <w:t xml:space="preserve"> </w:t>
      </w:r>
      <w:r>
        <w:rPr>
          <w:b/>
          <w:bCs/>
        </w:rPr>
        <w:t xml:space="preserve">β-bisabolene and β-caryophyllene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Modern pharmacological validation:</w:t>
      </w:r>
      <w:r>
        <w:t xml:space="preserve"> </w:t>
      </w:r>
      <w:r>
        <w:t xml:space="preserve">Animal model studies confirm:</w:t>
      </w:r>
      <w:r>
        <w:t xml:space="preserve"> </w:t>
      </w:r>
      <w:r>
        <w:t xml:space="preserve">- Anti-inflammatory efficacy (TNF-α, IL-6 reduction)</w:t>
      </w:r>
      <w:r>
        <w:t xml:space="preserve"> </w:t>
      </w:r>
      <w:r>
        <w:t xml:space="preserve">- Antiviral properties</w:t>
      </w:r>
      <w:r>
        <w:t xml:space="preserve"> </w:t>
      </w:r>
      <w:r>
        <w:t xml:space="preserve">- Immunostimulant activity (β-endorphin pathway)</w:t>
      </w:r>
    </w:p>
    <w:bookmarkEnd w:id="130"/>
    <w:bookmarkStart w:id="131" w:name="Xef5865f5c1b476a9ea2c7323865fb9fc41522f7"/>
    <w:p>
      <w:pPr>
        <w:pStyle w:val="Heading3"/>
      </w:pPr>
      <w:r>
        <w:t xml:space="preserve">Ayurvedic Medicine (Black Pepper Integration)</w:t>
      </w:r>
    </w:p>
    <w:p>
      <w:pPr>
        <w:pStyle w:val="FirstParagraph"/>
      </w:pPr>
      <w:r>
        <w:rPr>
          <w:b/>
          <w:bCs/>
        </w:rPr>
        <w:t xml:space="preserve">Traditional classification:</w:t>
      </w:r>
      <w:r>
        <w:t xml:space="preserve"> </w:t>
      </w:r>
      <w:r>
        <w:t xml:space="preserve">Black pepper (</w:t>
      </w:r>
      <w:r>
        <w:rPr>
          <w:i/>
          <w:iCs/>
        </w:rPr>
        <w:t xml:space="preserve">Piper nigrum</w:t>
      </w:r>
      <w:r>
        <w:t xml:space="preserve">) is a key component of</w:t>
      </w:r>
      <w:r>
        <w:t xml:space="preserve"> </w:t>
      </w:r>
      <w:r>
        <w:rPr>
          <w:b/>
          <w:bCs/>
        </w:rPr>
        <w:t xml:space="preserve">Trikatu</w:t>
      </w:r>
      <w:r>
        <w:t xml:space="preserve"> </w:t>
      </w:r>
      <w:r>
        <w:t xml:space="preserve">(literally</w:t>
      </w:r>
      <w:r>
        <w:t xml:space="preserve"> </w:t>
      </w:r>
      <w:r>
        <w:t xml:space="preserve">“three pungent spices”</w:t>
      </w:r>
      <w:r>
        <w:t xml:space="preserve">), one of the most important formulas in Ayurvedic medicine.</w:t>
      </w:r>
    </w:p>
    <w:p>
      <w:pPr>
        <w:pStyle w:val="BodyText"/>
      </w:pPr>
      <w:r>
        <w:rPr>
          <w:b/>
          <w:bCs/>
        </w:rPr>
        <w:t xml:space="preserve">Trikatu composition:</w:t>
      </w:r>
      <w:r>
        <w:t xml:space="preserve"> </w:t>
      </w:r>
      <w:r>
        <w:t xml:space="preserve">- Black pepper (</w:t>
      </w:r>
      <w:r>
        <w:rPr>
          <w:i/>
          <w:iCs/>
        </w:rPr>
        <w:t xml:space="preserve">Piper nigrum</w:t>
      </w:r>
      <w:r>
        <w:t xml:space="preserve">)</w:t>
      </w:r>
      <w:r>
        <w:t xml:space="preserve"> </w:t>
      </w:r>
      <w:r>
        <w:t xml:space="preserve">- Long pepper (</w:t>
      </w:r>
      <w:r>
        <w:rPr>
          <w:i/>
          <w:iCs/>
        </w:rPr>
        <w:t xml:space="preserve">Pippali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Piper longum</w:t>
      </w:r>
      <w:r>
        <w:t xml:space="preserve">)</w:t>
      </w:r>
      <w:r>
        <w:t xml:space="preserve"> </w:t>
      </w:r>
      <w:r>
        <w:t xml:space="preserve">- Ginger (</w:t>
      </w:r>
      <w:r>
        <w:rPr>
          <w:i/>
          <w:iCs/>
        </w:rPr>
        <w:t xml:space="preserve">Shunthi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Zingiber officinale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Traditional therapeutic properties:</w:t>
      </w:r>
      <w:r>
        <w:t xml:space="preserve"> </w:t>
      </w:r>
      <w:r>
        <w:t xml:space="preserve">- Digestive stimulation and enhancement</w:t>
      </w:r>
      <w:r>
        <w:t xml:space="preserve"> </w:t>
      </w:r>
      <w:r>
        <w:t xml:space="preserve">- Metabolic activation (</w:t>
      </w:r>
      <w:r>
        <w:t xml:space="preserve">“digestive fire”</w:t>
      </w:r>
      <w:r>
        <w:t xml:space="preserve"> </w:t>
      </w:r>
      <w:r>
        <w:t xml:space="preserve">enhancement)</w:t>
      </w:r>
      <w:r>
        <w:t xml:space="preserve"> </w:t>
      </w:r>
      <w:r>
        <w:t xml:space="preserve">- Circulation improvement</w:t>
      </w:r>
      <w:r>
        <w:t xml:space="preserve"> </w:t>
      </w:r>
      <w:r>
        <w:t xml:space="preserve">- Anti-inflammatory properties</w:t>
      </w:r>
    </w:p>
    <w:p>
      <w:pPr>
        <w:pStyle w:val="BodyText"/>
      </w:pPr>
      <w:r>
        <w:rPr>
          <w:b/>
          <w:bCs/>
        </w:rPr>
        <w:t xml:space="preserve">Chemical basis:</w:t>
      </w:r>
      <w:r>
        <w:t xml:space="preserve"> </w:t>
      </w:r>
      <w:r>
        <w:t xml:space="preserve">While Ayurvedic texts predate modern pharmacology, the presence of caryophyllene and other sesquiterpenes in black pepper validates traditional use through CB2 and PPARγ agonism.</w:t>
      </w:r>
    </w:p>
    <w:p>
      <w:pPr>
        <w:pStyle w:val="BodyText"/>
      </w:pPr>
      <w:r>
        <w:rPr>
          <w:b/>
          <w:bCs/>
        </w:rPr>
        <w:t xml:space="preserve">Piperine synergy:</w:t>
      </w:r>
      <w:r>
        <w:t xml:space="preserve"> </w:t>
      </w:r>
      <w:r>
        <w:t xml:space="preserve">The primary alkaloid piperine (not a terpene) works synergistically with BCP in black pepper — piperine enhances nutrient bioavailability and has independent anti-inflammatory effects.</w:t>
      </w:r>
    </w:p>
    <w:bookmarkEnd w:id="131"/>
    <w:bookmarkStart w:id="132" w:name="Xf2a09e71614aedb1b8aff8b2b61fa950e90a351"/>
    <w:p>
      <w:pPr>
        <w:pStyle w:val="Heading3"/>
      </w:pPr>
      <w:r>
        <w:t xml:space="preserve">Traditional Chinese Medicine (Clove Applications)</w:t>
      </w:r>
    </w:p>
    <w:p>
      <w:pPr>
        <w:pStyle w:val="FirstParagraph"/>
      </w:pPr>
      <w:r>
        <w:rPr>
          <w:b/>
          <w:bCs/>
        </w:rPr>
        <w:t xml:space="preserve">TCM nomenclature:</w:t>
      </w:r>
      <w:r>
        <w:t xml:space="preserve"> </w:t>
      </w:r>
      <w:r>
        <w:t xml:space="preserve">Clove is known as</w:t>
      </w:r>
      <w:r>
        <w:t xml:space="preserve"> </w:t>
      </w:r>
      <w:r>
        <w:rPr>
          <w:rFonts w:hint="eastAsia"/>
        </w:rPr>
        <w:t xml:space="preserve">“丁香”</w:t>
      </w:r>
      <w:r>
        <w:t xml:space="preserve"> </w:t>
      </w:r>
      <w:r>
        <w:t xml:space="preserve">(</w:t>
      </w:r>
      <w:r>
        <w:rPr>
          <w:i/>
          <w:iCs/>
        </w:rPr>
        <w:t xml:space="preserve">Ding Xiang</w:t>
      </w:r>
      <w:r>
        <w:t xml:space="preserve"> </w:t>
      </w:r>
      <w:r>
        <w:t xml:space="preserve">— literally</w:t>
      </w:r>
      <w:r>
        <w:t xml:space="preserve"> </w:t>
      </w:r>
      <w:r>
        <w:t xml:space="preserve">“nail fragrance”</w:t>
      </w:r>
      <w:r>
        <w:t xml:space="preserve">) in Chinese medicine</w:t>
      </w:r>
    </w:p>
    <w:p>
      <w:pPr>
        <w:pStyle w:val="BodyText"/>
      </w:pPr>
      <w:r>
        <w:rPr>
          <w:b/>
          <w:bCs/>
        </w:rPr>
        <w:t xml:space="preserve">Traditional applications:</w:t>
      </w:r>
      <w:r>
        <w:t xml:space="preserve"> </w:t>
      </w:r>
      <w:r>
        <w:t xml:space="preserve">- Warming function (TCM classification:</w:t>
      </w:r>
      <w:r>
        <w:t xml:space="preserve"> </w:t>
      </w:r>
      <w:r>
        <w:t xml:space="preserve">“warm”</w:t>
      </w:r>
      <w:r>
        <w:t xml:space="preserve"> </w:t>
      </w:r>
      <w:r>
        <w:t xml:space="preserve">herb)</w:t>
      </w:r>
      <w:r>
        <w:t xml:space="preserve"> </w:t>
      </w:r>
      <w:r>
        <w:t xml:space="preserve">- Stomach and digestive support</w:t>
      </w:r>
      <w:r>
        <w:t xml:space="preserve"> </w:t>
      </w:r>
      <w:r>
        <w:t xml:space="preserve">- Nausea and vomiting relief</w:t>
      </w:r>
      <w:r>
        <w:t xml:space="preserve"> </w:t>
      </w:r>
      <w:r>
        <w:t xml:space="preserve">- Antimicrobial properties (particularly oral microbes)</w:t>
      </w:r>
      <w:r>
        <w:t xml:space="preserve"> </w:t>
      </w:r>
      <w:r>
        <w:t xml:space="preserve">- Pain relief (particularly dental pain and inflammation)</w:t>
      </w:r>
    </w:p>
    <w:p>
      <w:pPr>
        <w:pStyle w:val="BodyText"/>
      </w:pPr>
      <w:r>
        <w:rPr>
          <w:b/>
          <w:bCs/>
        </w:rPr>
        <w:t xml:space="preserve">TCM energetic profile:</w:t>
      </w:r>
      <w:r>
        <w:t xml:space="preserve"> </w:t>
      </w:r>
      <w:r>
        <w:t xml:space="preserve">Classified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Temperature:</w:t>
      </w:r>
      <w:r>
        <w:t xml:space="preserve"> </w:t>
      </w:r>
      <w:r>
        <w:t xml:space="preserve">Warm/Hot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Taste:</w:t>
      </w:r>
      <w:r>
        <w:t xml:space="preserve"> </w:t>
      </w:r>
      <w:r>
        <w:t xml:space="preserve">Pungent, slightly bitter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Meridians:</w:t>
      </w:r>
      <w:r>
        <w:t xml:space="preserve"> </w:t>
      </w:r>
      <w:r>
        <w:t xml:space="preserve">Affects Stomach, Spleen, Kidney meridians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Functions:</w:t>
      </w:r>
      <w:r>
        <w:t xml:space="preserve"> </w:t>
      </w:r>
      <w:r>
        <w:t xml:space="preserve">Warms Middle Burner, moves Qi, stops pain</w:t>
      </w:r>
    </w:p>
    <w:p>
      <w:pPr>
        <w:pStyle w:val="BodyText"/>
      </w:pPr>
      <w:r>
        <w:rPr>
          <w:b/>
          <w:bCs/>
        </w:rPr>
        <w:t xml:space="preserve">Pharmacological validation:</w:t>
      </w:r>
      <w:r>
        <w:t xml:space="preserve"> </w:t>
      </w:r>
      <w:r>
        <w:t xml:space="preserve">Clove’s BCP content (12-20%) provides CB2 agonism and PPARγ activation, supporting traditional anti-inflammatory and warming functions.</w:t>
      </w:r>
    </w:p>
    <w:bookmarkEnd w:id="132"/>
    <w:bookmarkStart w:id="133" w:name="X86f5242edc1be9749c6c21d29c7b026a9267a51"/>
    <w:p>
      <w:pPr>
        <w:pStyle w:val="Heading3"/>
      </w:pPr>
      <w:r>
        <w:t xml:space="preserve">African Traditional Medicine (Limited Documentation)</w:t>
      </w:r>
    </w:p>
    <w:p>
      <w:pPr>
        <w:pStyle w:val="FirstParagraph"/>
      </w:pPr>
      <w:r>
        <w:rPr>
          <w:b/>
          <w:bCs/>
        </w:rPr>
        <w:t xml:space="preserve">General pattern:</w:t>
      </w:r>
      <w:r>
        <w:t xml:space="preserve"> </w:t>
      </w:r>
      <w:r>
        <w:t xml:space="preserve">Caryophyllene-containing plants (black pepper, clove) are used across African traditional medicine contexts for:</w:t>
      </w:r>
      <w:r>
        <w:t xml:space="preserve"> </w:t>
      </w:r>
      <w:r>
        <w:t xml:space="preserve">- Anti-inflammatory conditions</w:t>
      </w:r>
      <w:r>
        <w:t xml:space="preserve"> </w:t>
      </w:r>
      <w:r>
        <w:t xml:space="preserve">- Digestive support</w:t>
      </w:r>
      <w:r>
        <w:t xml:space="preserve"> </w:t>
      </w:r>
      <w:r>
        <w:t xml:space="preserve">- Antimicrobial applications</w:t>
      </w:r>
      <w:r>
        <w:t xml:space="preserve"> </w:t>
      </w:r>
      <w:r>
        <w:t xml:space="preserve">- Pain relief</w:t>
      </w:r>
    </w:p>
    <w:p>
      <w:pPr>
        <w:pStyle w:val="BodyText"/>
      </w:pPr>
      <w:r>
        <w:rPr>
          <w:b/>
          <w:bCs/>
        </w:rPr>
        <w:t xml:space="preserve">Specific documentation:</w:t>
      </w:r>
      <w:r>
        <w:t xml:space="preserve"> </w:t>
      </w:r>
      <w:r>
        <w:t xml:space="preserve">Limited English-language literature on African-specific traditional formulations; most documentation relates to broader spice trade use across continents.</w:t>
      </w:r>
    </w:p>
    <w:bookmarkEnd w:id="133"/>
    <w:bookmarkStart w:id="139" w:name="modern-ethnobotanical-integration"/>
    <w:p>
      <w:pPr>
        <w:pStyle w:val="Heading3"/>
      </w:pPr>
      <w:r>
        <w:t xml:space="preserve">Modern Ethnobotanical Integration</w:t>
      </w:r>
    </w:p>
    <w:p>
      <w:pPr>
        <w:pStyle w:val="FirstParagraph"/>
      </w:pPr>
      <w:r>
        <w:rPr>
          <w:b/>
          <w:bCs/>
        </w:rPr>
        <w:t xml:space="preserve">Pattern across cultures:</w:t>
      </w:r>
      <w:r>
        <w:t xml:space="preserve"> </w:t>
      </w:r>
      <w:r>
        <w:t xml:space="preserve">Cultures with access to black pepper, clove, and related BCP-rich plants (cinnamon, copaiba where available) independently developed similar uses:</w:t>
      </w:r>
      <w:r>
        <w:t xml:space="preserve"> </w:t>
      </w:r>
      <w:r>
        <w:t xml:space="preserve">- Anti-inflammatory applications</w:t>
      </w:r>
      <w:r>
        <w:t xml:space="preserve"> </w:t>
      </w:r>
      <w:r>
        <w:t xml:space="preserve">- Pain relief</w:t>
      </w:r>
      <w:r>
        <w:t xml:space="preserve"> </w:t>
      </w:r>
      <w:r>
        <w:t xml:space="preserve">- Digestive enhancement</w:t>
      </w:r>
      <w:r>
        <w:t xml:space="preserve"> </w:t>
      </w:r>
      <w:r>
        <w:t xml:space="preserve">- Antimicrobial properties</w:t>
      </w:r>
    </w:p>
    <w:p>
      <w:pPr>
        <w:pStyle w:val="BodyText"/>
      </w:pPr>
      <w:r>
        <w:t xml:space="preserve">This</w:t>
      </w:r>
      <w:r>
        <w:t xml:space="preserve"> </w:t>
      </w:r>
      <w:r>
        <w:rPr>
          <w:b/>
          <w:bCs/>
        </w:rPr>
        <w:t xml:space="preserve">convergent ethnobotanical pattern</w:t>
      </w:r>
      <w:r>
        <w:t xml:space="preserve"> </w:t>
      </w:r>
      <w:r>
        <w:t xml:space="preserve">suggests:</w:t>
      </w:r>
      <w:r>
        <w:t xml:space="preserve"> </w:t>
      </w:r>
      <w:r>
        <w:t xml:space="preserve">1. Empirical discovery of BCP-mediated effects across cultures</w:t>
      </w:r>
      <w:r>
        <w:t xml:space="preserve"> </w:t>
      </w:r>
      <w:r>
        <w:t xml:space="preserve">2. Consistent physiological responses despite different theoretical frameworks (Ayurvedic, TCM, Western herbalism)</w:t>
      </w:r>
      <w:r>
        <w:t xml:space="preserve"> </w:t>
      </w:r>
      <w:r>
        <w:t xml:space="preserve">3. Therapeutic validity despite pre-modern mechanistic understanding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134">
        <w:r>
          <w:rPr>
            <w:rStyle w:val="Hyperlink"/>
          </w:rPr>
          <w:t xml:space="preserve">PMC: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“Brazilian Amazon Traditional Medicine and Leishmaniasis Wound Treatment”</w:t>
        </w:r>
      </w:hyperlink>
      <w:r>
        <w:t xml:space="preserve"> </w:t>
      </w:r>
      <w:r>
        <w:t xml:space="preserve">-</w:t>
      </w:r>
      <w:r>
        <w:t xml:space="preserve"> </w:t>
      </w:r>
      <w:hyperlink r:id="rId135">
        <w:r>
          <w:rPr>
            <w:rStyle w:val="Hyperlink"/>
          </w:rPr>
          <w:t xml:space="preserve">Wikipedia: Copaiba</w:t>
        </w:r>
      </w:hyperlink>
      <w:r>
        <w:t xml:space="preserve"> </w:t>
      </w:r>
      <w:r>
        <w:t xml:space="preserve">-</w:t>
      </w:r>
      <w:r>
        <w:t xml:space="preserve"> </w:t>
      </w:r>
      <w:hyperlink r:id="rId136">
        <w:r>
          <w:rPr>
            <w:rStyle w:val="Hyperlink"/>
          </w:rPr>
          <w:t xml:space="preserve">Florihana: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“Copaiba, an Aromatic Treasure From Brazil”</w:t>
        </w:r>
      </w:hyperlink>
      <w:r>
        <w:t xml:space="preserve"> </w:t>
      </w:r>
      <w:r>
        <w:t xml:space="preserve">-</w:t>
      </w:r>
      <w:r>
        <w:t xml:space="preserve"> </w:t>
      </w:r>
      <w:hyperlink r:id="rId137">
        <w:r>
          <w:rPr>
            <w:rStyle w:val="Hyperlink"/>
          </w:rPr>
          <w:t xml:space="preserve">OrganicFacts: Copaiba Essential Oil</w:t>
        </w:r>
      </w:hyperlink>
      <w:r>
        <w:t xml:space="preserve"> </w:t>
      </w:r>
      <w:r>
        <w:t xml:space="preserve">-</w:t>
      </w:r>
      <w:r>
        <w:t xml:space="preserve"> </w:t>
      </w:r>
      <w:hyperlink r:id="rId138">
        <w:r>
          <w:rPr>
            <w:rStyle w:val="Hyperlink"/>
          </w:rPr>
          <w:t xml:space="preserve">FAO: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“Copaiba: 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‘miracle’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medicinal tree in Bolivia”</w:t>
        </w:r>
      </w:hyperlink>
    </w:p>
    <w:p>
      <w:r>
        <w:pict>
          <v:rect style="width:0;height:1.5pt" o:hralign="center" o:hrstd="t" o:hr="t"/>
        </w:pict>
      </w:r>
    </w:p>
    <w:bookmarkEnd w:id="139"/>
    <w:bookmarkEnd w:id="140"/>
    <w:bookmarkStart w:id="151" w:name="section-12-forest-ecology-plant-defense"/>
    <w:p>
      <w:pPr>
        <w:pStyle w:val="Heading2"/>
      </w:pPr>
      <w:r>
        <w:t xml:space="preserve">SECTION 12: FOREST ECOLOGY &amp; PLANT DEFENSE</w:t>
      </w:r>
    </w:p>
    <w:bookmarkStart w:id="141" w:name="caryophyllene-as-plant-defense-voc"/>
    <w:p>
      <w:pPr>
        <w:pStyle w:val="Heading3"/>
      </w:pPr>
      <w:r>
        <w:t xml:space="preserve">Caryophyllene as Plant Defense VOC</w:t>
      </w:r>
    </w:p>
    <w:p>
      <w:pPr>
        <w:pStyle w:val="FirstParagraph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β-Caryophyllene is an example of a</w:t>
      </w:r>
      <w:r>
        <w:t xml:space="preserve"> </w:t>
      </w:r>
      <w:r>
        <w:rPr>
          <w:b/>
          <w:bCs/>
        </w:rPr>
        <w:t xml:space="preserve">volatile organic compound (VOC)</w:t>
      </w:r>
      <w:r>
        <w:t xml:space="preserve"> </w:t>
      </w:r>
      <w:r>
        <w:t xml:space="preserve">produced as a plant defense mechanism against herbivores and environmental stress.</w:t>
      </w:r>
    </w:p>
    <w:p>
      <w:pPr>
        <w:pStyle w:val="BodyText"/>
      </w:pPr>
      <w:r>
        <w:rPr>
          <w:b/>
          <w:bCs/>
        </w:rPr>
        <w:t xml:space="preserve">Defense function:</w:t>
      </w:r>
      <w:r>
        <w:t xml:space="preserve"> </w:t>
      </w:r>
      <w:r>
        <w:t xml:space="preserve">Acts as a</w:t>
      </w:r>
      <w:r>
        <w:t xml:space="preserve"> </w:t>
      </w:r>
      <w:r>
        <w:rPr>
          <w:b/>
          <w:bCs/>
        </w:rPr>
        <w:t xml:space="preserve">chemical signal compound</w:t>
      </w:r>
      <w:r>
        <w:t xml:space="preserve"> </w:t>
      </w:r>
      <w:r>
        <w:t xml:space="preserve">in plant-arthropod interactions and plant-plant signaling.</w:t>
      </w:r>
    </w:p>
    <w:bookmarkEnd w:id="141"/>
    <w:bookmarkStart w:id="142" w:name="coniferous-forest-emissions"/>
    <w:p>
      <w:pPr>
        <w:pStyle w:val="Heading3"/>
      </w:pPr>
      <w:r>
        <w:t xml:space="preserve">Coniferous Forest Emissions</w:t>
      </w:r>
    </w:p>
    <w:p>
      <w:pPr>
        <w:pStyle w:val="FirstParagraph"/>
      </w:pPr>
      <w:r>
        <w:rPr>
          <w:b/>
          <w:bCs/>
        </w:rPr>
        <w:t xml:space="preserve">Abundance in conifers: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Pinus</w:t>
      </w:r>
      <w:r>
        <w:t xml:space="preserve"> </w:t>
      </w:r>
      <w:r>
        <w:t xml:space="preserve">species, β-caryophyllene is identified as one of the</w:t>
      </w:r>
      <w:r>
        <w:t xml:space="preserve"> </w:t>
      </w:r>
      <w:r>
        <w:rPr>
          <w:b/>
          <w:bCs/>
        </w:rPr>
        <w:t xml:space="preserve">most abundant sesquiterpenes</w:t>
      </w:r>
      <w:r>
        <w:t xml:space="preserve">, reaching concentrations of</w:t>
      </w:r>
      <w:r>
        <w:t xml:space="preserve"> </w:t>
      </w:r>
      <w:r>
        <w:rPr>
          <w:b/>
          <w:bCs/>
        </w:rPr>
        <w:t xml:space="preserve">up to 448 μg·g⁻¹ DW</w:t>
      </w:r>
      <w:r>
        <w:t xml:space="preserve"> </w:t>
      </w:r>
      <w:r>
        <w:t xml:space="preserve">(dry weight) in needle tissue.</w:t>
      </w:r>
    </w:p>
    <w:p>
      <w:pPr>
        <w:pStyle w:val="BodyText"/>
      </w:pPr>
      <w:r>
        <w:rPr>
          <w:b/>
          <w:bCs/>
        </w:rPr>
        <w:t xml:space="preserve">Metabolic cost:</w:t>
      </w:r>
      <w:r>
        <w:t xml:space="preserve"> </w:t>
      </w:r>
      <w:r>
        <w:t xml:space="preserve">Terpenoids in coniferous trees represent</w:t>
      </w:r>
      <w:r>
        <w:t xml:space="preserve"> </w:t>
      </w:r>
      <w:r>
        <w:rPr>
          <w:b/>
          <w:bCs/>
        </w:rPr>
        <w:t xml:space="preserve">among the most expensive forms of chemical defense</w:t>
      </w:r>
      <w:r>
        <w:t xml:space="preserve"> </w:t>
      </w:r>
      <w:r>
        <w:t xml:space="preserve">from a metabolic standpoint — requiring substantial carbon and energy investment.</w:t>
      </w:r>
    </w:p>
    <w:p>
      <w:pPr>
        <w:pStyle w:val="BodyText"/>
      </w:pPr>
      <w:r>
        <w:rPr>
          <w:b/>
          <w:bCs/>
        </w:rPr>
        <w:t xml:space="preserve">Adaptive hypothesis:</w:t>
      </w:r>
      <w:r>
        <w:t xml:space="preserve"> </w:t>
      </w:r>
      <w:r>
        <w:t xml:space="preserve">Despite high metabolic cost, conifers maintain high terpenoid levels (including BCP) because: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interference response</w:t>
      </w:r>
      <w:r>
        <w:t xml:space="preserve"> </w:t>
      </w:r>
      <w:r>
        <w:t xml:space="preserve">— Upregulation in response to plant competition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Herbivore deterrence</w:t>
      </w:r>
      <w:r>
        <w:t xml:space="preserve"> </w:t>
      </w:r>
      <w:r>
        <w:t xml:space="preserve">— Broad-spectrum defense against insect herbivory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Pathogen inhibition</w:t>
      </w:r>
      <w:r>
        <w:t xml:space="preserve"> </w:t>
      </w:r>
      <w:r>
        <w:t xml:space="preserve">— Antimicrobial and antifungal properties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Allelopathic effects</w:t>
      </w:r>
      <w:r>
        <w:t xml:space="preserve"> </w:t>
      </w:r>
      <w:r>
        <w:t xml:space="preserve">— Inhibition of neighboring plants’ seed germination and growth</w:t>
      </w:r>
    </w:p>
    <w:bookmarkEnd w:id="142"/>
    <w:bookmarkStart w:id="143" w:name="allelopathy-and-plant-plant-signaling"/>
    <w:p>
      <w:pPr>
        <w:pStyle w:val="Heading3"/>
      </w:pPr>
      <w:r>
        <w:t xml:space="preserve">Allelopathy and Plant-Plant Signaling</w:t>
      </w:r>
    </w:p>
    <w:p>
      <w:pPr>
        <w:pStyle w:val="FirstParagraph"/>
      </w:pPr>
      <w:r>
        <w:rPr>
          <w:b/>
          <w:bCs/>
        </w:rPr>
        <w:t xml:space="preserve">Allelopathic mechanism:</w:t>
      </w:r>
      <w:r>
        <w:t xml:space="preserve"> </w:t>
      </w:r>
      <w:r>
        <w:t xml:space="preserve">β-Caryophyllene functions as an</w:t>
      </w:r>
      <w:r>
        <w:t xml:space="preserve"> </w:t>
      </w:r>
      <w:r>
        <w:rPr>
          <w:b/>
          <w:bCs/>
        </w:rPr>
        <w:t xml:space="preserve">allelochemical</w:t>
      </w:r>
      <w:r>
        <w:t xml:space="preserve"> </w:t>
      </w:r>
      <w:r>
        <w:t xml:space="preserve">in plant signaling networks: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Jasmonic acid (JA) pathway:</w:t>
      </w:r>
      <w:r>
        <w:t xml:space="preserve"> </w:t>
      </w:r>
      <w:r>
        <w:t xml:space="preserve">BCP-induced resistance operates via JA-dependent signaling, a classical herbivore defense pathway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Cross-plant signaling:</w:t>
      </w:r>
      <w:r>
        <w:t xml:space="preserve"> </w:t>
      </w:r>
      <w:r>
        <w:t xml:space="preserve">BCP volatilized from one plant can be detected and trigger defensive responses in neighboring plants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Rhizospheric effects:</w:t>
      </w:r>
      <w:r>
        <w:t xml:space="preserve"> </w:t>
      </w:r>
      <w:r>
        <w:t xml:space="preserve">BCP and other terpenoids in root exudates can inhibit seed germination and growth of competing plant species</w:t>
      </w:r>
    </w:p>
    <w:bookmarkEnd w:id="143"/>
    <w:bookmarkStart w:id="144" w:name="arthropod-interactions"/>
    <w:p>
      <w:pPr>
        <w:pStyle w:val="Heading3"/>
      </w:pPr>
      <w:r>
        <w:t xml:space="preserve">Arthropod Interactions</w:t>
      </w:r>
    </w:p>
    <w:p>
      <w:pPr>
        <w:pStyle w:val="FirstParagraph"/>
      </w:pPr>
      <w:r>
        <w:rPr>
          <w:b/>
          <w:bCs/>
        </w:rPr>
        <w:t xml:space="preserve">Direct insect effects:</w:t>
      </w:r>
      <w:r>
        <w:t xml:space="preserve"> </w:t>
      </w:r>
      <w:r>
        <w:t xml:space="preserve">- Repellent to certain herbivorous insects</w:t>
      </w:r>
      <w:r>
        <w:t xml:space="preserve"> </w:t>
      </w:r>
      <w:r>
        <w:t xml:space="preserve">- Attractant to parasitoid wasps (beneficial arthropods that prey on herbivorous insects)</w:t>
      </w:r>
      <w:r>
        <w:t xml:space="preserve"> </w:t>
      </w:r>
      <w:r>
        <w:t xml:space="preserve">- Toxicant at high concentrations</w:t>
      </w:r>
      <w:r>
        <w:t xml:space="preserve"> </w:t>
      </w:r>
      <w:r>
        <w:t xml:space="preserve">- Modulator of insect behavior and reproduction</w:t>
      </w:r>
    </w:p>
    <w:p>
      <w:pPr>
        <w:pStyle w:val="BodyText"/>
      </w:pPr>
      <w:r>
        <w:rPr>
          <w:b/>
          <w:bCs/>
        </w:rPr>
        <w:t xml:space="preserve">Mediated effects:</w:t>
      </w:r>
      <w:r>
        <w:t xml:space="preserve"> </w:t>
      </w:r>
      <w:r>
        <w:t xml:space="preserve">Volatile emission triggers plant-plant signaling networks that activate broader herbivore defenses.</w:t>
      </w:r>
    </w:p>
    <w:bookmarkEnd w:id="144"/>
    <w:bookmarkStart w:id="150" w:name="Xd920fb22dec5eff782316ff9e82cd5e9c567399"/>
    <w:p>
      <w:pPr>
        <w:pStyle w:val="Heading3"/>
      </w:pPr>
      <w:r>
        <w:t xml:space="preserve">Forest Volatile Organic Compounds (VOC) Ecology</w:t>
      </w:r>
    </w:p>
    <w:p>
      <w:pPr>
        <w:pStyle w:val="FirstParagraph"/>
      </w:pPr>
      <w:r>
        <w:rPr>
          <w:b/>
          <w:bCs/>
        </w:rPr>
        <w:t xml:space="preserve">Coniferous forest emission characteristics: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Emission patterns:</w:t>
      </w:r>
      <w:r>
        <w:t xml:space="preserve"> </w:t>
      </w:r>
      <w:r>
        <w:t xml:space="preserve">Variable with temperature (following Arrhenius kinetics)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Structure stability:</w:t>
      </w:r>
      <w:r>
        <w:t xml:space="preserve"> </w:t>
      </w:r>
      <w:r>
        <w:t xml:space="preserve">Resin duct storage in conifers reduces temperature sensitivity compared to non-stored VOCs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Damage-induced emissions:</w:t>
      </w:r>
      <w:r>
        <w:t xml:space="preserve"> </w:t>
      </w:r>
      <w:r>
        <w:t xml:space="preserve">Mechanical damage (insect feeding, wind damage, fire) triggers massive terpenoid release, including BCP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Human olfactory detection:</w:t>
      </w:r>
      <w:r>
        <w:t xml:space="preserve"> </w:t>
      </w:r>
      <w:r>
        <w:t xml:space="preserve">Subtle sesquiterpene odors (earthy, woody tones) contribute to the characteristic forest scent</w:t>
      </w:r>
    </w:p>
    <w:p>
      <w:pPr>
        <w:pStyle w:val="BodyText"/>
      </w:pPr>
      <w:r>
        <w:rPr>
          <w:b/>
          <w:bCs/>
        </w:rPr>
        <w:t xml:space="preserve">Ecosystem-level implications:</w:t>
      </w:r>
      <w:r>
        <w:t xml:space="preserve"> </w:t>
      </w:r>
      <w:r>
        <w:t xml:space="preserve">Forest VOC emissions contribute to:</w:t>
      </w:r>
      <w:r>
        <w:t xml:space="preserve"> </w:t>
      </w:r>
      <w:r>
        <w:t xml:space="preserve">- Secondary organic aerosol (SOA) formation</w:t>
      </w:r>
      <w:r>
        <w:t xml:space="preserve"> </w:t>
      </w:r>
      <w:r>
        <w:t xml:space="preserve">- Atmospheric chemistry</w:t>
      </w:r>
      <w:r>
        <w:t xml:space="preserve"> </w:t>
      </w:r>
      <w:r>
        <w:t xml:space="preserve">- Regional climate regulation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145">
        <w:r>
          <w:rPr>
            <w:rStyle w:val="Hyperlink"/>
          </w:rPr>
          <w:t xml:space="preserve">Frontiers in Plant Science: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“Competition and Allelopathy Trade-Offs”</w:t>
        </w:r>
      </w:hyperlink>
      <w:r>
        <w:t xml:space="preserve"> </w:t>
      </w:r>
      <w:r>
        <w:t xml:space="preserve">-</w:t>
      </w:r>
      <w:r>
        <w:t xml:space="preserve"> </w:t>
      </w:r>
      <w:hyperlink r:id="rId146">
        <w:r>
          <w:rPr>
            <w:rStyle w:val="Hyperlink"/>
          </w:rPr>
          <w:t xml:space="preserve">Wiley: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“Isoprene and β-caryophyllene confer plant resistance via different signaling”</w:t>
        </w:r>
      </w:hyperlink>
      <w:r>
        <w:t xml:space="preserve"> </w:t>
      </w:r>
      <w:r>
        <w:t xml:space="preserve">-</w:t>
      </w:r>
      <w:r>
        <w:t xml:space="preserve"> </w:t>
      </w:r>
      <w:hyperlink r:id="rId147">
        <w:r>
          <w:rPr>
            <w:rStyle w:val="Hyperlink"/>
          </w:rPr>
          <w:t xml:space="preserve">MDPI: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“Multitrophic and Multilevel Interactions Mediated by VOCs”</w:t>
        </w:r>
      </w:hyperlink>
      <w:r>
        <w:t xml:space="preserve"> </w:t>
      </w:r>
      <w:r>
        <w:t xml:space="preserve">-</w:t>
      </w:r>
      <w:r>
        <w:t xml:space="preserve"> </w:t>
      </w:r>
      <w:hyperlink r:id="rId148">
        <w:r>
          <w:rPr>
            <w:rStyle w:val="Hyperlink"/>
          </w:rPr>
          <w:t xml:space="preserve">PMC: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“Forest VOCs and Human Health: State-of-Art Review”</w:t>
        </w:r>
      </w:hyperlink>
      <w:r>
        <w:t xml:space="preserve"> </w:t>
      </w:r>
      <w:r>
        <w:t xml:space="preserve">-</w:t>
      </w:r>
      <w:r>
        <w:t xml:space="preserve"> </w:t>
      </w:r>
      <w:hyperlink r:id="rId149">
        <w:r>
          <w:rPr>
            <w:rStyle w:val="Hyperlink"/>
          </w:rPr>
          <w:t xml:space="preserve">Adirondack Council: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“Breathe Deep: How Forests and Phytoncides Boost Health”</w:t>
        </w:r>
      </w:hyperlink>
    </w:p>
    <w:p>
      <w:r>
        <w:pict>
          <v:rect style="width:0;height:1.5pt" o:hralign="center" o:hrstd="t" o:hr="t"/>
        </w:pict>
      </w:r>
    </w:p>
    <w:bookmarkEnd w:id="150"/>
    <w:bookmarkEnd w:id="151"/>
    <w:bookmarkStart w:id="161" w:name="section-13-industrial-applications"/>
    <w:p>
      <w:pPr>
        <w:pStyle w:val="Heading2"/>
      </w:pPr>
      <w:r>
        <w:t xml:space="preserve">SECTION 13: INDUSTRIAL APPLICATIONS</w:t>
      </w:r>
    </w:p>
    <w:bookmarkStart w:id="152" w:name="green-solvent-applications"/>
    <w:p>
      <w:pPr>
        <w:pStyle w:val="Heading3"/>
      </w:pPr>
      <w:r>
        <w:t xml:space="preserve">Green Solvent Applications</w:t>
      </w:r>
    </w:p>
    <w:p>
      <w:pPr>
        <w:pStyle w:val="FirstParagraph"/>
      </w:pPr>
      <w:r>
        <w:rPr>
          <w:b/>
          <w:bCs/>
        </w:rPr>
        <w:t xml:space="preserve">Process:</w:t>
      </w:r>
      <w:r>
        <w:t xml:space="preserve"> </w:t>
      </w:r>
      <w:r>
        <w:t xml:space="preserve">β-Caryophyllene and its chemical derivatives undergo</w:t>
      </w:r>
      <w:r>
        <w:t xml:space="preserve"> </w:t>
      </w:r>
      <w:r>
        <w:rPr>
          <w:b/>
          <w:bCs/>
        </w:rPr>
        <w:t xml:space="preserve">isomerization and hydration processes</w:t>
      </w:r>
      <w:r>
        <w:t xml:space="preserve"> </w:t>
      </w:r>
      <w:r>
        <w:t xml:space="preserve">under mild reaction conditions to generate value-added products.</w:t>
      </w:r>
    </w:p>
    <w:p>
      <w:pPr>
        <w:pStyle w:val="BodyText"/>
      </w:pPr>
      <w:r>
        <w:rPr>
          <w:b/>
          <w:bCs/>
        </w:rPr>
        <w:t xml:space="preserve">Environmental advantage:</w:t>
      </w:r>
      <w:r>
        <w:t xml:space="preserve"> </w:t>
      </w:r>
      <w:r>
        <w:t xml:space="preserve">Use of</w:t>
      </w:r>
      <w:r>
        <w:t xml:space="preserve"> </w:t>
      </w:r>
      <w:r>
        <w:rPr>
          <w:b/>
          <w:bCs/>
        </w:rPr>
        <w:t xml:space="preserve">green solvents</w:t>
      </w:r>
      <w:r>
        <w:t xml:space="preserve"> </w:t>
      </w:r>
      <w:r>
        <w:t xml:space="preserve">(2-butanone and acetone) instead of traditional petrochemical solvents:</w:t>
      </w:r>
      <w:r>
        <w:t xml:space="preserve"> </w:t>
      </w:r>
      <w:r>
        <w:t xml:space="preserve">- Technologically attractive</w:t>
      </w:r>
      <w:r>
        <w:t xml:space="preserve"> </w:t>
      </w:r>
      <w:r>
        <w:t xml:space="preserve">- Environmentally attractive</w:t>
      </w:r>
      <w:r>
        <w:t xml:space="preserve"> </w:t>
      </w:r>
      <w:r>
        <w:t xml:space="preserve">- Less harmful than halogenated or aromatic solvents</w:t>
      </w:r>
      <w:r>
        <w:t xml:space="preserve"> </w:t>
      </w:r>
      <w:r>
        <w:t xml:space="preserve">- Renewable sourcing possible (acetone/butanone derived from fermentation)</w:t>
      </w:r>
    </w:p>
    <w:p>
      <w:pPr>
        <w:pStyle w:val="BodyText"/>
      </w:pPr>
      <w:r>
        <w:rPr>
          <w:b/>
          <w:bCs/>
        </w:rPr>
        <w:t xml:space="preserve">Product yield:</w:t>
      </w:r>
      <w:r>
        <w:t xml:space="preserve"> </w:t>
      </w:r>
      <w:r>
        <w:t xml:space="preserve">70-80% total yield achieved under optimized conditions, making processes economically viable.</w:t>
      </w:r>
    </w:p>
    <w:bookmarkEnd w:id="152"/>
    <w:bookmarkStart w:id="153" w:name="high-density-biofuel-precursor"/>
    <w:p>
      <w:pPr>
        <w:pStyle w:val="Heading3"/>
      </w:pPr>
      <w:r>
        <w:t xml:space="preserve">High-Density Biofuel Precursor</w:t>
      </w:r>
    </w:p>
    <w:p>
      <w:pPr>
        <w:pStyle w:val="FirstParagraph"/>
      </w:pPr>
      <w:r>
        <w:rPr>
          <w:b/>
          <w:bCs/>
        </w:rPr>
        <w:t xml:space="preserve">Strategic importance:</w:t>
      </w:r>
      <w:r>
        <w:t xml:space="preserve"> </w:t>
      </w:r>
      <w:r>
        <w:t xml:space="preserve">β-Caryophyllene is identified as a</w:t>
      </w:r>
      <w:r>
        <w:t xml:space="preserve"> </w:t>
      </w:r>
      <w:r>
        <w:rPr>
          <w:b/>
          <w:bCs/>
        </w:rPr>
        <w:t xml:space="preserve">novel terpene-based high-density biofuel precursor</w:t>
      </w:r>
      <w:r>
        <w:t xml:space="preserve"> </w:t>
      </w:r>
      <w:r>
        <w:t xml:space="preserve">due to:</w:t>
      </w:r>
    </w:p>
    <w:p>
      <w:pPr>
        <w:pStyle w:val="BodyText"/>
      </w:pPr>
      <w:r>
        <w:rPr>
          <w:b/>
          <w:bCs/>
        </w:rPr>
        <w:t xml:space="preserve">Structural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Compact carbon skeleton</w:t>
      </w:r>
      <w:r>
        <w:t xml:space="preserve"> </w:t>
      </w:r>
      <w:r>
        <w:t xml:space="preserve">— 15 carbons in a small, branched bicyclic 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Reactive olefin functionalities</w:t>
      </w:r>
      <w:r>
        <w:t xml:space="preserve"> </w:t>
      </w:r>
      <w:r>
        <w:t xml:space="preserve">— Multiple sites for chemical modification to jet fuel-like compounds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Energy density</w:t>
      </w:r>
      <w:r>
        <w:t xml:space="preserve"> </w:t>
      </w:r>
      <w:r>
        <w:t xml:space="preserve">— Comparable to or exceeding petroleum-derived jet fuel (specific energy ~46 MJ/kg)</w:t>
      </w:r>
    </w:p>
    <w:p>
      <w:pPr>
        <w:pStyle w:val="BodyText"/>
      </w:pPr>
      <w:r>
        <w:rPr>
          <w:b/>
          <w:bCs/>
        </w:rPr>
        <w:t xml:space="preserve">Bioengineering approaches: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Engineered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Escherichia coli</w:t>
      </w:r>
      <w:r>
        <w:rPr>
          <w:b/>
          <w:bCs/>
        </w:rPr>
        <w:t xml:space="preserve">:</w:t>
      </w:r>
      <w:r>
        <w:t xml:space="preserve"> </w:t>
      </w:r>
      <w:r>
        <w:t xml:space="preserve">Successful biosynthesis of β-caryophyllene in E. coli BL21(DE3) using heterologous sesquiterpene synthase expression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  <w:i/>
          <w:iCs/>
        </w:rPr>
        <w:t xml:space="preserve">Saccharomyces cerevisiae</w:t>
      </w:r>
      <w:r>
        <w:rPr>
          <w:b/>
          <w:bCs/>
        </w:rPr>
        <w:t xml:space="preserve"> </w:t>
      </w:r>
      <w:r>
        <w:rPr>
          <w:b/>
          <w:bCs/>
        </w:rPr>
        <w:t xml:space="preserve">fermentation:</w:t>
      </w:r>
      <w:r>
        <w:t xml:space="preserve"> </w:t>
      </w:r>
      <w:r>
        <w:t xml:space="preserve">Metabolic engineering for enhanced sesquiterpene production by switching carbon flux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  <w:i/>
          <w:iCs/>
        </w:rPr>
        <w:t xml:space="preserve">Cupriavidus necator</w:t>
      </w:r>
      <w:r>
        <w:rPr>
          <w:b/>
          <w:bCs/>
        </w:rPr>
        <w:t xml:space="preserve"> </w:t>
      </w:r>
      <w:r>
        <w:rPr>
          <w:b/>
          <w:bCs/>
        </w:rPr>
        <w:t xml:space="preserve">H16:</w:t>
      </w:r>
      <w:r>
        <w:t xml:space="preserve"> </w:t>
      </w:r>
      <w:r>
        <w:t xml:space="preserve">Production from fructose and CO₂ with sustainability advantages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Cyanobacterial systems:</w:t>
      </w:r>
      <w:r>
        <w:t xml:space="preserve"> </w:t>
      </w:r>
      <w:r>
        <w:t xml:space="preserve">Transgenic</w:t>
      </w:r>
      <w:r>
        <w:t xml:space="preserve"> </w:t>
      </w:r>
      <w:r>
        <w:rPr>
          <w:i/>
          <w:iCs/>
        </w:rPr>
        <w:t xml:space="preserve">Synechocystis</w:t>
      </w:r>
      <w:r>
        <w:t xml:space="preserve"> </w:t>
      </w:r>
      <w:r>
        <w:t xml:space="preserve">production (experimental stage)</w:t>
      </w:r>
    </w:p>
    <w:p>
      <w:pPr>
        <w:pStyle w:val="BodyText"/>
      </w:pPr>
      <w:r>
        <w:rPr>
          <w:b/>
          <w:bCs/>
        </w:rPr>
        <w:t xml:space="preserve">Yield optimization:</w:t>
      </w:r>
      <w:r>
        <w:t xml:space="preserve"> </w:t>
      </w:r>
      <w:r>
        <w:t xml:space="preserve">Green and sustainable production methods achieve gram-per-liter titers under laboratory conditions; scale-up remains in development phase.</w:t>
      </w:r>
    </w:p>
    <w:bookmarkEnd w:id="153"/>
    <w:bookmarkStart w:id="154" w:name="agricultural-pest-management"/>
    <w:p>
      <w:pPr>
        <w:pStyle w:val="Heading3"/>
      </w:pPr>
      <w:r>
        <w:t xml:space="preserve">Agricultural Pest Management</w:t>
      </w:r>
    </w:p>
    <w:p>
      <w:pPr>
        <w:pStyle w:val="FirstParagraph"/>
      </w:pPr>
      <w:r>
        <w:rPr>
          <w:b/>
          <w:bCs/>
        </w:rPr>
        <w:t xml:space="preserve">Mechanism:</w:t>
      </w:r>
      <w:r>
        <w:t xml:space="preserve"> </w:t>
      </w:r>
      <w:r>
        <w:t xml:space="preserve">Sesquiterpenes like BCP can be extracted or synthesized for use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Natural insecticides</w:t>
      </w:r>
      <w:r>
        <w:t xml:space="preserve"> </w:t>
      </w:r>
      <w:r>
        <w:t xml:space="preserve">— Affecting pest insect nervous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Plant growth regulators</w:t>
      </w:r>
      <w:r>
        <w:t xml:space="preserve"> </w:t>
      </w:r>
      <w:r>
        <w:t xml:space="preserve">— Modulating plant development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Biopesticidal agents</w:t>
      </w:r>
      <w:r>
        <w:t xml:space="preserve"> </w:t>
      </w:r>
      <w:r>
        <w:t xml:space="preserve">— Antimicrobial and antifungal activity</w:t>
      </w:r>
    </w:p>
    <w:p>
      <w:pPr>
        <w:pStyle w:val="BodyText"/>
      </w:pPr>
      <w:r>
        <w:rPr>
          <w:b/>
          <w:bCs/>
        </w:rPr>
        <w:t xml:space="preserve">Advantage over synthetic pesticides:</w:t>
      </w:r>
      <w:r>
        <w:t xml:space="preserve"> </w:t>
      </w:r>
      <w:r>
        <w:t xml:space="preserve">- Rapid environmental degradation</w:t>
      </w:r>
      <w:r>
        <w:t xml:space="preserve"> </w:t>
      </w:r>
      <w:r>
        <w:t xml:space="preserve">- Low mammalian toxicity</w:t>
      </w:r>
      <w:r>
        <w:t xml:space="preserve"> </w:t>
      </w:r>
      <w:r>
        <w:t xml:space="preserve">- Multiple mechanisms of action (less resistance development)</w:t>
      </w:r>
    </w:p>
    <w:bookmarkEnd w:id="154"/>
    <w:bookmarkStart w:id="160" w:name="cosmetic-and-pharmaceutical-industry-use"/>
    <w:p>
      <w:pPr>
        <w:pStyle w:val="Heading3"/>
      </w:pPr>
      <w:r>
        <w:t xml:space="preserve">Cosmetic and Pharmaceutical Industry Use</w:t>
      </w:r>
    </w:p>
    <w:p>
      <w:pPr>
        <w:pStyle w:val="FirstParagraph"/>
      </w:pPr>
      <w:r>
        <w:rPr>
          <w:b/>
          <w:bCs/>
        </w:rPr>
        <w:t xml:space="preserve">Market scale:</w:t>
      </w:r>
      <w:r>
        <w:t xml:space="preserve"> </w:t>
      </w:r>
      <w:r>
        <w:t xml:space="preserve">100-1000 metric tons annually (global combined use across all industries)</w:t>
      </w:r>
    </w:p>
    <w:p>
      <w:pPr>
        <w:pStyle w:val="BodyText"/>
      </w:pPr>
      <w:r>
        <w:rPr>
          <w:b/>
          <w:bCs/>
        </w:rPr>
        <w:t xml:space="preserve">Applications: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Fragrance additive</w:t>
      </w:r>
      <w:r>
        <w:t xml:space="preserve"> </w:t>
      </w:r>
      <w:r>
        <w:t xml:space="preserve">— Spicy-woody character in perfumes and colognes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Flavor additive</w:t>
      </w:r>
      <w:r>
        <w:t xml:space="preserve"> </w:t>
      </w:r>
      <w:r>
        <w:t xml:space="preserve">— Spice notes in beverages, candies, and food products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Topical antimicrobial</w:t>
      </w:r>
      <w:r>
        <w:t xml:space="preserve"> </w:t>
      </w:r>
      <w:r>
        <w:t xml:space="preserve">— Skin care formulations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Antioxidant</w:t>
      </w:r>
      <w:r>
        <w:t xml:space="preserve"> </w:t>
      </w:r>
      <w:r>
        <w:t xml:space="preserve">— Protecting other ingredients from oxidation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Natural preservative</w:t>
      </w:r>
      <w:r>
        <w:t xml:space="preserve"> </w:t>
      </w:r>
      <w:r>
        <w:t xml:space="preserve">— Antimicrobial properties extending shelf life</w:t>
      </w:r>
    </w:p>
    <w:p>
      <w:pPr>
        <w:pStyle w:val="BodyText"/>
      </w:pPr>
      <w:r>
        <w:rPr>
          <w:b/>
          <w:bCs/>
        </w:rPr>
        <w:t xml:space="preserve">Regulatory advantage:</w:t>
      </w:r>
      <w:r>
        <w:t xml:space="preserve"> </w:t>
      </w:r>
      <w:r>
        <w:t xml:space="preserve">FDA GRAS status facilitates commercial integration across industries.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155">
        <w:r>
          <w:rPr>
            <w:rStyle w:val="Hyperlink"/>
          </w:rPr>
          <w:t xml:space="preserve">Biotechnology for Biofuels: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“Highly efficient biosynthesis of β-caryophyllene with novel sesquiterpene synthase”</w:t>
        </w:r>
      </w:hyperlink>
      <w:r>
        <w:t xml:space="preserve"> </w:t>
      </w:r>
      <w:r>
        <w:t xml:space="preserve">-</w:t>
      </w:r>
      <w:r>
        <w:t xml:space="preserve"> </w:t>
      </w:r>
      <w:hyperlink r:id="rId156">
        <w:r>
          <w:rPr>
            <w:rStyle w:val="Hyperlink"/>
          </w:rPr>
          <w:t xml:space="preserve">ScienceDirect: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“Biosynthesis of β-caryophyllene as high-density biofuel in engineered E. coli”</w:t>
        </w:r>
      </w:hyperlink>
      <w:r>
        <w:t xml:space="preserve"> </w:t>
      </w:r>
      <w:r>
        <w:t xml:space="preserve">-</w:t>
      </w:r>
      <w:r>
        <w:t xml:space="preserve"> </w:t>
      </w:r>
      <w:hyperlink r:id="rId157">
        <w:r>
          <w:rPr>
            <w:rStyle w:val="Hyperlink"/>
          </w:rPr>
          <w:t xml:space="preserve">PMC: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“Sustainable production of β-caryophyllene in Cupriavidus necator”</w:t>
        </w:r>
      </w:hyperlink>
      <w:r>
        <w:t xml:space="preserve"> </w:t>
      </w:r>
      <w:r>
        <w:t xml:space="preserve">-</w:t>
      </w:r>
      <w:r>
        <w:t xml:space="preserve"> </w:t>
      </w:r>
      <w:hyperlink r:id="rId158">
        <w:r>
          <w:rPr>
            <w:rStyle w:val="Hyperlink"/>
          </w:rPr>
          <w:t xml:space="preserve">ScienceDirect: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“Heteropoly acid-catalyzed β-caryophyllene chemical transformations”</w:t>
        </w:r>
      </w:hyperlink>
      <w:r>
        <w:t xml:space="preserve"> </w:t>
      </w:r>
      <w:r>
        <w:t xml:space="preserve">-</w:t>
      </w:r>
      <w:r>
        <w:t xml:space="preserve"> </w:t>
      </w:r>
      <w:hyperlink r:id="rId159">
        <w:r>
          <w:rPr>
            <w:rStyle w:val="Hyperlink"/>
          </w:rPr>
          <w:t xml:space="preserve">MDPI: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“Microbial biosynthesis of β-caryophyllene review”</w:t>
        </w:r>
      </w:hyperlink>
    </w:p>
    <w:p>
      <w:r>
        <w:pict>
          <v:rect style="width:0;height:1.5pt" o:hralign="center" o:hrstd="t" o:hr="t"/>
        </w:pict>
      </w:r>
    </w:p>
    <w:bookmarkEnd w:id="160"/>
    <w:bookmarkEnd w:id="161"/>
    <w:bookmarkStart w:id="174" w:name="X8ebbeedd772ada745beb52fbbb9361f6552293f"/>
    <w:p>
      <w:pPr>
        <w:pStyle w:val="Heading2"/>
      </w:pPr>
      <w:r>
        <w:t xml:space="preserve">SECTION 14: CONTRARIAN EVIDENCE &amp; BIOAVAILABILITY CONCERNS</w:t>
      </w:r>
    </w:p>
    <w:bookmarkStart w:id="162" w:name="bioavailability-limitations"/>
    <w:p>
      <w:pPr>
        <w:pStyle w:val="Heading3"/>
      </w:pPr>
      <w:r>
        <w:t xml:space="preserve">Bioavailability Limitations</w:t>
      </w:r>
    </w:p>
    <w:p>
      <w:pPr>
        <w:pStyle w:val="FirstParagraph"/>
      </w:pPr>
      <w:r>
        <w:rPr>
          <w:b/>
          <w:bCs/>
        </w:rPr>
        <w:t xml:space="preserve">Critical finding:</w:t>
      </w:r>
      <w:r>
        <w:t xml:space="preserve"> </w:t>
      </w:r>
      <w:r>
        <w:t xml:space="preserve">Unformulated oral β-caryophyllene exhibits</w:t>
      </w:r>
      <w:r>
        <w:t xml:space="preserve"> </w:t>
      </w:r>
      <w:r>
        <w:rPr>
          <w:b/>
          <w:bCs/>
        </w:rPr>
        <w:t xml:space="preserve">less than 10% absolute oral bioavailability</w:t>
      </w:r>
      <w:r>
        <w:t xml:space="preserve"> </w:t>
      </w:r>
      <w:r>
        <w:t xml:space="preserve">in humans due to: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Dissolution-limited absorption</w:t>
      </w:r>
      <w:r>
        <w:t xml:space="preserve"> </w:t>
      </w:r>
      <w:r>
        <w:t xml:space="preserve">— Low aqueous solubility; requires emulsification for efficient GI absorption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Volatility</w:t>
      </w:r>
      <w:r>
        <w:t xml:space="preserve"> </w:t>
      </w:r>
      <w:r>
        <w:t xml:space="preserve">— Evaporates in GI tract at body temperature (37°C); boiling point 250°C but partial pressurization loss at 37°C over time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Acid sensitivity</w:t>
      </w:r>
      <w:r>
        <w:t xml:space="preserve"> </w:t>
      </w:r>
      <w:r>
        <w:t xml:space="preserve">— Partially degraded in acidic stomach environment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Oxidation</w:t>
      </w:r>
      <w:r>
        <w:t xml:space="preserve"> </w:t>
      </w:r>
      <w:r>
        <w:t xml:space="preserve">— Spontaneous air oxidation forms caryophyllene oxide and other inactive metabolites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First-pass metabolism</w:t>
      </w:r>
      <w:r>
        <w:t xml:space="preserve"> </w:t>
      </w:r>
      <w:r>
        <w:t xml:space="preserve">— Extensive hepatic phase I and II metabolism reduces systemic bioavailability</w:t>
      </w:r>
    </w:p>
    <w:bookmarkEnd w:id="162"/>
    <w:bookmarkStart w:id="163" w:name="first-pass-metabolism-effects"/>
    <w:p>
      <w:pPr>
        <w:pStyle w:val="Heading3"/>
      </w:pPr>
      <w:r>
        <w:t xml:space="preserve">First-Pass Metabolism Effects</w:t>
      </w:r>
    </w:p>
    <w:p>
      <w:pPr>
        <w:pStyle w:val="FirstParagraph"/>
      </w:pPr>
      <w:r>
        <w:rPr>
          <w:b/>
          <w:bCs/>
        </w:rPr>
        <w:t xml:space="preserve">Metabolic pathway:</w:t>
      </w:r>
      <w:r>
        <w:t xml:space="preserve"> </w:t>
      </w:r>
      <w:r>
        <w:t xml:space="preserve">BCP is metabolized by hepatic</w:t>
      </w:r>
      <w:r>
        <w:t xml:space="preserve"> </w:t>
      </w:r>
      <w:r>
        <w:rPr>
          <w:b/>
          <w:bCs/>
        </w:rPr>
        <w:t xml:space="preserve">cytochrome P450 enzymes</w:t>
      </w:r>
      <w:r>
        <w:t xml:space="preserve"> </w:t>
      </w:r>
      <w:r>
        <w:t xml:space="preserve">(particularly CYP3A4, CYP2C9, CYP2B6) and</w:t>
      </w:r>
      <w:r>
        <w:t xml:space="preserve"> </w:t>
      </w:r>
      <w:r>
        <w:rPr>
          <w:b/>
          <w:bCs/>
        </w:rPr>
        <w:t xml:space="preserve">phase II conjugation</w:t>
      </w:r>
      <w:r>
        <w:t xml:space="preserve"> </w:t>
      </w:r>
      <w:r>
        <w:t xml:space="preserve">(UDP-glucuronosyltransferases, sulfotransferases).</w:t>
      </w:r>
    </w:p>
    <w:p>
      <w:pPr>
        <w:pStyle w:val="BodyText"/>
      </w:pPr>
      <w:r>
        <w:rPr>
          <w:b/>
          <w:bCs/>
        </w:rPr>
        <w:t xml:space="preserve">Drug interaction potential:</w:t>
      </w:r>
      <w:r>
        <w:t xml:space="preserve"> </w:t>
      </w:r>
      <w:r>
        <w:t xml:space="preserve">BCP</w:t>
      </w:r>
      <w:r>
        <w:t xml:space="preserve"> </w:t>
      </w:r>
      <w:r>
        <w:rPr>
          <w:b/>
          <w:bCs/>
        </w:rPr>
        <w:t xml:space="preserve">modulates expression of drug-metabolizing enzymes</w:t>
      </w:r>
      <w:r>
        <w:t xml:space="preserve">, which could:</w:t>
      </w:r>
      <w:r>
        <w:t xml:space="preserve"> </w:t>
      </w:r>
      <w:r>
        <w:t xml:space="preserve">- Alter bioavailability of concomitantly administered drugs</w:t>
      </w:r>
      <w:r>
        <w:t xml:space="preserve"> </w:t>
      </w:r>
      <w:r>
        <w:t xml:space="preserve">- Create potential for clinically significant interactions</w:t>
      </w:r>
      <w:r>
        <w:t xml:space="preserve"> </w:t>
      </w:r>
      <w:r>
        <w:t xml:space="preserve">- Require dose adjustment of substrates of affected enzymes</w:t>
      </w:r>
    </w:p>
    <w:p>
      <w:pPr>
        <w:pStyle w:val="BodyText"/>
      </w:pPr>
      <w:r>
        <w:rPr>
          <w:b/>
          <w:bCs/>
        </w:rPr>
        <w:t xml:space="preserve">Clinical relevance:</w:t>
      </w:r>
      <w:r>
        <w:t xml:space="preserve"> </w:t>
      </w:r>
      <w:r>
        <w:t xml:space="preserve">Limited human pharmacokinetic data available; most conclusions derived from animal studies (rats, beagle dogs) that may not translate to human metabolism.</w:t>
      </w:r>
    </w:p>
    <w:bookmarkEnd w:id="163"/>
    <w:bookmarkStart w:id="166" w:name="Xad250fa628cd359f2291d327e2aa8d10bb80937"/>
    <w:p>
      <w:pPr>
        <w:pStyle w:val="Heading3"/>
      </w:pPr>
      <w:r>
        <w:t xml:space="preserve">Enhanced Formulation Strategies (Bioavailability Solutions)</w:t>
      </w:r>
    </w:p>
    <w:p>
      <w:pPr>
        <w:pStyle w:val="FirstParagraph"/>
      </w:pPr>
      <w:r>
        <w:t xml:space="preserve">Studies demonstrate that specialized delivery systems</w:t>
      </w:r>
      <w:r>
        <w:t xml:space="preserve"> </w:t>
      </w:r>
      <w:r>
        <w:rPr>
          <w:b/>
          <w:bCs/>
        </w:rPr>
        <w:t xml:space="preserve">dramatically improve bioavailability:</w:t>
      </w:r>
    </w:p>
    <w:bookmarkStart w:id="164" w:name="X84a8ad9e5e20d9f42c6f64ddbda7702a57a8b75"/>
    <w:p>
      <w:pPr>
        <w:pStyle w:val="Heading4"/>
      </w:pPr>
      <w:r>
        <w:t xml:space="preserve">Self-Emulsifying Drug Delivery System (SEDDS)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VESIsorb® formulation technology</w:t>
      </w:r>
    </w:p>
    <w:p>
      <w:pPr>
        <w:pStyle w:val="BodyText"/>
      </w:pPr>
      <w:r>
        <w:rPr>
          <w:b/>
          <w:bCs/>
        </w:rPr>
        <w:t xml:space="preserve">Bioavailability improvement: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AUC₀₋₁₂ₕ:</w:t>
      </w:r>
      <w:r>
        <w:t xml:space="preserve"> </w:t>
      </w:r>
      <w:r>
        <w:t xml:space="preserve">2.2-fold increase vs. neat oil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AUC₀₋₂₄ₕ:</w:t>
      </w:r>
      <w:r>
        <w:t xml:space="preserve"> </w:t>
      </w:r>
      <w:r>
        <w:t xml:space="preserve">2.0-fold increase vs. neat oil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Cmax:</w:t>
      </w:r>
      <w:r>
        <w:t xml:space="preserve"> </w:t>
      </w:r>
      <w:r>
        <w:t xml:space="preserve">3.6-fold increase vs. neat oil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Tmax:</w:t>
      </w:r>
      <w:r>
        <w:t xml:space="preserve"> </w:t>
      </w:r>
      <w:r>
        <w:t xml:space="preserve">1.43 hours (SEDDS) vs. 3.07 hours (neat oil) — Faster absorption</w:t>
      </w:r>
    </w:p>
    <w:p>
      <w:pPr>
        <w:pStyle w:val="BodyText"/>
      </w:pPr>
      <w:r>
        <w:rPr>
          <w:b/>
          <w:bCs/>
        </w:rPr>
        <w:t xml:space="preserve">Mechanism:</w:t>
      </w:r>
      <w:r>
        <w:t xml:space="preserve"> </w:t>
      </w:r>
      <w:r>
        <w:t xml:space="preserve">SEDDS forms self-emulsifying microstructures in GI fluid, dramatically increasing dissolution rate and absorption surface area.</w:t>
      </w:r>
    </w:p>
    <w:bookmarkEnd w:id="164"/>
    <w:bookmarkStart w:id="165" w:name="β-cyclodextrin-inclusion-complex"/>
    <w:p>
      <w:pPr>
        <w:pStyle w:val="Heading4"/>
      </w:pPr>
      <w:r>
        <w:t xml:space="preserve">β-Cyclodextrin Inclusion Complex</w:t>
      </w:r>
    </w:p>
    <w:p>
      <w:pPr>
        <w:pStyle w:val="FirstParagraph"/>
      </w:pPr>
      <w:r>
        <w:rPr>
          <w:b/>
          <w:bCs/>
        </w:rPr>
        <w:t xml:space="preserve">Bioavailability improvement: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AUC₀₋₁₂ₕ:</w:t>
      </w:r>
      <w:r>
        <w:t xml:space="preserve"> </w:t>
      </w:r>
      <w:r>
        <w:t xml:space="preserve">~2.6-fold increase vs. free BCP (rat studies)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Cmax:</w:t>
      </w:r>
      <w:r>
        <w:t xml:space="preserve"> </w:t>
      </w:r>
      <w:r>
        <w:t xml:space="preserve">Higher peak plasma concentration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Tmax:</w:t>
      </w:r>
      <w:r>
        <w:t xml:space="preserve"> </w:t>
      </w:r>
      <w:r>
        <w:t xml:space="preserve">Earlier time to maximum concentration</w:t>
      </w:r>
    </w:p>
    <w:p>
      <w:pPr>
        <w:pStyle w:val="BodyText"/>
      </w:pPr>
      <w:r>
        <w:rPr>
          <w:b/>
          <w:bCs/>
        </w:rPr>
        <w:t xml:space="preserve">Mechanism:</w:t>
      </w:r>
      <w:r>
        <w:t xml:space="preserve"> </w:t>
      </w:r>
      <w:r>
        <w:t xml:space="preserve">Cyclodextrin’s hydrophobic cavity encapsulates BCP, protecting it from oxidation and improving solubility.</w:t>
      </w:r>
    </w:p>
    <w:bookmarkEnd w:id="165"/>
    <w:bookmarkEnd w:id="166"/>
    <w:bookmarkStart w:id="167" w:name="human-pharmacokinetic-data-limited"/>
    <w:p>
      <w:pPr>
        <w:pStyle w:val="Heading3"/>
      </w:pPr>
      <w:r>
        <w:t xml:space="preserve">Human Pharmacokinetic Data (Limited)</w:t>
      </w:r>
    </w:p>
    <w:p>
      <w:pPr>
        <w:pStyle w:val="FirstParagraph"/>
      </w:pPr>
      <w:r>
        <w:rPr>
          <w:b/>
          <w:bCs/>
        </w:rPr>
        <w:t xml:space="preserve">Study:</w:t>
      </w:r>
      <w:r>
        <w:t xml:space="preserve"> </w:t>
      </w:r>
      <w:r>
        <w:t xml:space="preserve">2022 pharmacokinetic trial in 12 healthy volunteers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 Standard oral BCP exhibits poor bioavailability</w:t>
      </w:r>
      <w:r>
        <w:t xml:space="preserve"> </w:t>
      </w:r>
      <w:r>
        <w:t xml:space="preserve">- Specialized formulations significantly improve plasma levels</w:t>
      </w:r>
      <w:r>
        <w:t xml:space="preserve"> </w:t>
      </w:r>
      <w:r>
        <w:t xml:space="preserve">- Tissue distribution: BCP accumulates preferentially in lipophilic tissues (adipose, nervous tissue) rather than remaining in blood</w:t>
      </w:r>
    </w:p>
    <w:p>
      <w:pPr>
        <w:pStyle w:val="BodyText"/>
      </w:pPr>
      <w:r>
        <w:rPr>
          <w:b/>
          <w:bCs/>
        </w:rPr>
        <w:t xml:space="preserve">Clinical implication:</w:t>
      </w:r>
      <w:r>
        <w:t xml:space="preserve"> </w:t>
      </w:r>
      <w:r>
        <w:t xml:space="preserve">Inhalation, transdermal, or other delivery routes may be more effective than oral administration for achieving therapeutic effects, though human data remain extremely limited.</w:t>
      </w:r>
    </w:p>
    <w:bookmarkEnd w:id="167"/>
    <w:bookmarkStart w:id="168" w:name="X0d3ae25ba043083a9ca70207ce060dd45ab2a66"/>
    <w:p>
      <w:pPr>
        <w:pStyle w:val="Heading3"/>
      </w:pPr>
      <w:r>
        <w:t xml:space="preserve">Weak CB2 Binding vs. Gertsch’s Strong Affinity (Finlay 2020 Debate)</w:t>
      </w:r>
    </w:p>
    <w:p>
      <w:pPr>
        <w:pStyle w:val="FirstParagraph"/>
      </w:pPr>
      <w:r>
        <w:rPr>
          <w:b/>
          <w:bCs/>
        </w:rPr>
        <w:t xml:space="preserve">Search note:</w:t>
      </w:r>
      <w:r>
        <w:t xml:space="preserve"> </w:t>
      </w:r>
      <w:r>
        <w:t xml:space="preserve">Direct access to a</w:t>
      </w:r>
      <w:r>
        <w:t xml:space="preserve"> </w:t>
      </w:r>
      <w:r>
        <w:t xml:space="preserve">“Finlay 2020”</w:t>
      </w:r>
      <w:r>
        <w:t xml:space="preserve"> </w:t>
      </w:r>
      <w:r>
        <w:t xml:space="preserve">publication specifically challenging Gertsch’s CB2 affinity data was not located in the web search results. However, the broader literature contains:</w:t>
      </w:r>
    </w:p>
    <w:p>
      <w:pPr>
        <w:pStyle w:val="BodyText"/>
      </w:pPr>
      <w:r>
        <w:rPr>
          <w:b/>
          <w:bCs/>
        </w:rPr>
        <w:t xml:space="preserve">Alternative perspectives on CB2 affinity:</w:t>
      </w:r>
      <w:r>
        <w:t xml:space="preserve"> </w:t>
      </w:r>
      <w:r>
        <w:t xml:space="preserve">- Some researchers note that 155 nM affinity, while nanomolar, is</w:t>
      </w:r>
      <w:r>
        <w:t xml:space="preserve"> </w:t>
      </w:r>
      <w:r>
        <w:rPr>
          <w:b/>
          <w:bCs/>
        </w:rPr>
        <w:t xml:space="preserve">weaker than classical CB1/CB2-selective drugs</w:t>
      </w:r>
      <w:r>
        <w:t xml:space="preserve"> </w:t>
      </w:r>
      <w:r>
        <w:t xml:space="preserve">(e.g., AM630 has pM-level CB2 affinity)</w:t>
      </w:r>
      <w:r>
        <w:t xml:space="preserve"> </w:t>
      </w:r>
      <w:r>
        <w:t xml:space="preserve">- Dose-response studies show that</w:t>
      </w:r>
      <w:r>
        <w:t xml:space="preserve"> </w:t>
      </w:r>
      <w:r>
        <w:rPr>
          <w:b/>
          <w:bCs/>
        </w:rPr>
        <w:t xml:space="preserve">supra-physiological concentrations</w:t>
      </w:r>
      <w:r>
        <w:t xml:space="preserve"> </w:t>
      </w:r>
      <w:r>
        <w:t xml:space="preserve">of BCP are often required to achieve CB2-mediated effects in some systems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Off-target receptor activity</w:t>
      </w:r>
      <w:r>
        <w:t xml:space="preserve"> </w:t>
      </w:r>
      <w:r>
        <w:t xml:space="preserve">increases at high doses, complicating mechanism-of-action interpretation</w:t>
      </w:r>
    </w:p>
    <w:p>
      <w:pPr>
        <w:pStyle w:val="BodyText"/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155 nM Ki value from Gertsch et al. (2008) remains the most cited binding affinity; no major contradiction was located. The apparent discrepancy may relate to:</w:t>
      </w:r>
      <w:r>
        <w:t xml:space="preserve"> </w:t>
      </w:r>
      <w:r>
        <w:t xml:space="preserve">1. Different cell lines and assay methodologies</w:t>
      </w:r>
      <w:r>
        <w:t xml:space="preserve"> </w:t>
      </w:r>
      <w:r>
        <w:t xml:space="preserve">2. Agonist vs. antagonist binding modes</w:t>
      </w:r>
      <w:r>
        <w:t xml:space="preserve"> </w:t>
      </w:r>
      <w:r>
        <w:t xml:space="preserve">3. Context-dependent efficacy (may depend on tissue type, receptor density, coupling to G-proteins)</w:t>
      </w:r>
    </w:p>
    <w:bookmarkEnd w:id="168"/>
    <w:bookmarkStart w:id="173" w:name="limited-human-clinical-evidence"/>
    <w:p>
      <w:pPr>
        <w:pStyle w:val="Heading3"/>
      </w:pPr>
      <w:r>
        <w:t xml:space="preserve">Limited Human Clinical Evidence</w:t>
      </w:r>
    </w:p>
    <w:p>
      <w:pPr>
        <w:pStyle w:val="FirstParagraph"/>
      </w:pPr>
      <w:r>
        <w:rPr>
          <w:b/>
          <w:bCs/>
        </w:rPr>
        <w:t xml:space="preserve">Major gap:</w:t>
      </w:r>
      <w:r>
        <w:t xml:space="preserve"> </w:t>
      </w:r>
      <w:r>
        <w:t xml:space="preserve">Despite decades of traditional use and extensive preclinical research,</w:t>
      </w:r>
      <w:r>
        <w:t xml:space="preserve"> </w:t>
      </w:r>
      <w:r>
        <w:rPr>
          <w:b/>
          <w:bCs/>
        </w:rPr>
        <w:t xml:space="preserve">human clinical trials for BCP are remarkably limited: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Anxiety/depression:</w:t>
      </w:r>
      <w:r>
        <w:t xml:space="preserve"> </w:t>
      </w:r>
      <w:r>
        <w:t xml:space="preserve">ZERO published human RCTs (only animal models)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Pain:</w:t>
      </w:r>
      <w:r>
        <w:t xml:space="preserve"> </w:t>
      </w:r>
      <w:r>
        <w:t xml:space="preserve">ZERO published human RCTs for BCP monotherapy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Inflammation (arthritis, IBD):</w:t>
      </w:r>
      <w:r>
        <w:t xml:space="preserve"> </w:t>
      </w:r>
      <w:r>
        <w:t xml:space="preserve">ZERO published human RCTs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Food addiction:</w:t>
      </w:r>
      <w:r>
        <w:t xml:space="preserve"> </w:t>
      </w:r>
      <w:r>
        <w:t xml:space="preserve">One small RCT (N=100) with mixed results (behavior reduction but no metabolic effect)</w:t>
      </w:r>
    </w:p>
    <w:p>
      <w:pPr>
        <w:pStyle w:val="FirstParagraph"/>
      </w:pPr>
      <w:r>
        <w:rPr>
          <w:b/>
          <w:bCs/>
        </w:rPr>
        <w:t xml:space="preserve">Implications for pre-loading:</w:t>
      </w:r>
      <w:r>
        <w:t xml:space="preserve"> </w:t>
      </w:r>
      <w:r>
        <w:t xml:space="preserve">Any</w:t>
      </w:r>
      <w:r>
        <w:t xml:space="preserve"> </w:t>
      </w:r>
      <w:r>
        <w:t xml:space="preserve">“pre-loading”</w:t>
      </w:r>
      <w:r>
        <w:t xml:space="preserve"> </w:t>
      </w:r>
      <w:r>
        <w:t xml:space="preserve">protocol remains speculative because:</w:t>
      </w:r>
      <w:r>
        <w:t xml:space="preserve"> </w:t>
      </w:r>
      <w:r>
        <w:t xml:space="preserve">1. Human optimal dosing unknown</w:t>
      </w:r>
      <w:r>
        <w:t xml:space="preserve"> </w:t>
      </w:r>
      <w:r>
        <w:t xml:space="preserve">2. Human absorption/pharmacokinetics poorly characterized</w:t>
      </w:r>
      <w:r>
        <w:t xml:space="preserve"> </w:t>
      </w:r>
      <w:r>
        <w:t xml:space="preserve">3. Timing parameters not established in humans</w:t>
      </w:r>
      <w:r>
        <w:t xml:space="preserve"> </w:t>
      </w:r>
      <w:r>
        <w:t xml:space="preserve">4. Synergistic effects with THC/CBD not formally studied in humans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169">
        <w:r>
          <w:rPr>
            <w:rStyle w:val="Hyperlink"/>
          </w:rPr>
          <w:t xml:space="preserve">PMC: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“Enhanced Oral Bioavailability of β-Caryophyllene with VESIsorb® SEDDS”</w:t>
        </w:r>
      </w:hyperlink>
      <w:r>
        <w:t xml:space="preserve"> </w:t>
      </w:r>
      <w:r>
        <w:t xml:space="preserve">-</w:t>
      </w:r>
      <w:r>
        <w:t xml:space="preserve"> </w:t>
      </w:r>
      <w:hyperlink r:id="rId170">
        <w:r>
          <w:rPr>
            <w:rStyle w:val="Hyperlink"/>
          </w:rPr>
          <w:t xml:space="preserve">PubMed: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“Physicochemical characterization and pharmacokinetics of BCP/β-cyclodextrin complex”</w:t>
        </w:r>
      </w:hyperlink>
      <w:r>
        <w:t xml:space="preserve"> </w:t>
      </w:r>
      <w:r>
        <w:t xml:space="preserve">-</w:t>
      </w:r>
      <w:r>
        <w:t xml:space="preserve"> </w:t>
      </w:r>
      <w:hyperlink r:id="rId171">
        <w:r>
          <w:rPr>
            <w:rStyle w:val="Hyperlink"/>
          </w:rPr>
          <w:t xml:space="preserve">ScienceDirect: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“Enhanced bioavailability via SEDDS technology”</w:t>
        </w:r>
      </w:hyperlink>
      <w:r>
        <w:t xml:space="preserve"> </w:t>
      </w:r>
      <w:r>
        <w:t xml:space="preserve">-</w:t>
      </w:r>
      <w:r>
        <w:t xml:space="preserve"> </w:t>
      </w:r>
      <w:hyperlink r:id="rId172">
        <w:r>
          <w:rPr>
            <w:rStyle w:val="Hyperlink"/>
          </w:rPr>
          <w:t xml:space="preserve">Springer: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“Pharmacokinetic and toxicological profile via computational biology”</w:t>
        </w:r>
      </w:hyperlink>
    </w:p>
    <w:p>
      <w:r>
        <w:pict>
          <v:rect style="width:0;height:1.5pt" o:hralign="center" o:hrstd="t" o:hr="t"/>
        </w:pict>
      </w:r>
    </w:p>
    <w:bookmarkEnd w:id="173"/>
    <w:bookmarkEnd w:id="174"/>
    <w:bookmarkStart w:id="189" w:name="X4a6cf391abee92dacf3e51d84088d941f25efb8"/>
    <w:p>
      <w:pPr>
        <w:pStyle w:val="Heading2"/>
      </w:pPr>
      <w:r>
        <w:t xml:space="preserve">SECTION 15: PRE-LOADING IMPLICATIONS FOR CANNABIS USE</w:t>
      </w:r>
    </w:p>
    <w:bookmarkStart w:id="175" w:name="cb2-receptor-priming-window-concept"/>
    <w:p>
      <w:pPr>
        <w:pStyle w:val="Heading3"/>
      </w:pPr>
      <w:r>
        <w:t xml:space="preserve">CB2 Receptor Priming Window Concept</w:t>
      </w:r>
    </w:p>
    <w:p>
      <w:pPr>
        <w:pStyle w:val="FirstParagraph"/>
      </w:pPr>
      <w:r>
        <w:rPr>
          <w:b/>
          <w:bCs/>
        </w:rPr>
        <w:t xml:space="preserve">Hypothesis:</w:t>
      </w:r>
      <w:r>
        <w:t xml:space="preserve"> </w:t>
      </w:r>
      <w:r>
        <w:t xml:space="preserve">Prior activation of CB2 receptors (and PPARγ) via BCP-rich aromatherapy could</w:t>
      </w:r>
      <w:r>
        <w:t xml:space="preserve"> </w:t>
      </w:r>
      <w:r>
        <w:t xml:space="preserve">“prime”</w:t>
      </w:r>
      <w:r>
        <w:t xml:space="preserve"> </w:t>
      </w:r>
      <w:r>
        <w:t xml:space="preserve">receptor systems 15-30 minutes before THC/CBD consumption, potentially: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Enhancing endogenous tone</w:t>
      </w:r>
      <w:r>
        <w:t xml:space="preserve"> </w:t>
      </w:r>
      <w:r>
        <w:t xml:space="preserve">— Increasing baseline CB2 agonism and responsiveness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Modulating THC interpretation</w:t>
      </w:r>
      <w:r>
        <w:t xml:space="preserve"> </w:t>
      </w:r>
      <w:r>
        <w:t xml:space="preserve">— Shifting psychoactive response toward physical anchoring (via CB2-mediated peripheral effects) vs. central psychoactivity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Anti-inflammatory priming</w:t>
      </w:r>
      <w:r>
        <w:t xml:space="preserve"> </w:t>
      </w:r>
      <w:r>
        <w:t xml:space="preserve">— Pre-activating NF-κB suppression pathways before cannabis consumption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Anxiety modulation</w:t>
      </w:r>
      <w:r>
        <w:t xml:space="preserve"> </w:t>
      </w:r>
      <w:r>
        <w:t xml:space="preserve">— TRPA1 indirect modulation could reduce anxiety potentiation from THC</w:t>
      </w:r>
    </w:p>
    <w:p>
      <w:pPr>
        <w:pStyle w:val="BodyText"/>
      </w:pPr>
      <w:r>
        <w:rPr>
          <w:b/>
          <w:bCs/>
        </w:rPr>
        <w:t xml:space="preserve">Scientific basis:</w:t>
      </w:r>
      <w:r>
        <w:t xml:space="preserve"> </w:t>
      </w:r>
      <w:r>
        <w:t xml:space="preserve">Weak; largely theoretical. No human studies document this specific phenomenon.</w:t>
      </w:r>
    </w:p>
    <w:bookmarkEnd w:id="175"/>
    <w:bookmarkStart w:id="176" w:name="aromatic-delivery-routes-for-pre-loading"/>
    <w:p>
      <w:pPr>
        <w:pStyle w:val="Heading3"/>
      </w:pPr>
      <w:r>
        <w:t xml:space="preserve">Aromatic Delivery Routes for Pre-Loading</w:t>
      </w:r>
    </w:p>
    <w:p>
      <w:pPr>
        <w:pStyle w:val="FirstParagraph"/>
      </w:pPr>
      <w:r>
        <w:rPr>
          <w:b/>
          <w:bCs/>
        </w:rPr>
        <w:t xml:space="preserve">Options for 15-30 minute pre-loading window: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Inhalation of vaporized BCP-rich oils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Optimal temperature:</w:t>
      </w:r>
      <w:r>
        <w:t xml:space="preserve"> </w:t>
      </w:r>
      <w:r>
        <w:t xml:space="preserve">~165°C (320°F) for β-caryophyllene vaporization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Advantage:</w:t>
      </w:r>
      <w:r>
        <w:t xml:space="preserve"> </w:t>
      </w:r>
      <w:r>
        <w:t xml:space="preserve">Rapid absorption; direct bioavailability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Limitation:</w:t>
      </w:r>
      <w:r>
        <w:t xml:space="preserve"> </w:t>
      </w:r>
      <w:r>
        <w:t xml:space="preserve">Few human data on optimal dose; volatility concerns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Sources available:</w:t>
      </w:r>
      <w:r>
        <w:t xml:space="preserve"> </w:t>
      </w:r>
      <w:r>
        <w:t xml:space="preserve">Clove oil, black pepper oil, rosemary oil, copaiba oil vaporizers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Topical application (transdermal patch)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Advantage:</w:t>
      </w:r>
      <w:r>
        <w:t xml:space="preserve"> </w:t>
      </w:r>
      <w:r>
        <w:t xml:space="preserve">Sustained absorption; avoids GI/first-pass metabolism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Limitation:</w:t>
      </w:r>
      <w:r>
        <w:t xml:space="preserve"> </w:t>
      </w:r>
      <w:r>
        <w:t xml:space="preserve">Slower onset; may not achieve therapeutic levels in 15-30 minutes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Research gap:</w:t>
      </w:r>
      <w:r>
        <w:t xml:space="preserve"> </w:t>
      </w:r>
      <w:r>
        <w:t xml:space="preserve">Human transdermal BCP pharmacokinetics not published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Oral consumption (with enhanced bioavailability formulation)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Optimal timing:</w:t>
      </w:r>
      <w:r>
        <w:t xml:space="preserve"> </w:t>
      </w:r>
      <w:r>
        <w:t xml:space="preserve">20-30 minutes before cannabis (based on SEDDS Tmax data: 1.43 hours)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Delivery system:</w:t>
      </w:r>
      <w:r>
        <w:t xml:space="preserve"> </w:t>
      </w:r>
      <w:r>
        <w:t xml:space="preserve">SEDDS formulation (VESIsorb®) or β-cyclodextrin complex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Limitation:</w:t>
      </w:r>
      <w:r>
        <w:t xml:space="preserve"> </w:t>
      </w:r>
      <w:r>
        <w:t xml:space="preserve">Still slower than inhalation; standard oral oil unsuitable (&lt;10% bioavailability)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Food interactions:</w:t>
      </w:r>
      <w:r>
        <w:t xml:space="preserve"> </w:t>
      </w:r>
      <w:r>
        <w:t xml:space="preserve">Fat-rich meals enhance lipophilic compound absorption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Dietary consumption of BCP-rich foods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Sources:</w:t>
      </w:r>
      <w:r>
        <w:t xml:space="preserve"> </w:t>
      </w:r>
      <w:r>
        <w:t xml:space="preserve">Black pepper (7-35%), clove (12-20%), copaiba oil (40-55%), hops products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20-30 minutes before consumption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Advantage:</w:t>
      </w:r>
      <w:r>
        <w:t xml:space="preserve"> </w:t>
      </w:r>
      <w:r>
        <w:t xml:space="preserve">Food-grade safety; convenient integration into pre-use meal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Limitation:</w:t>
      </w:r>
      <w:r>
        <w:t xml:space="preserve"> </w:t>
      </w:r>
      <w:r>
        <w:t xml:space="preserve">Concentration variable; thermal degradation during cooking; first-pass metabolism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Culinary strategy:</w:t>
      </w:r>
      <w:r>
        <w:t xml:space="preserve"> </w:t>
      </w:r>
      <w:r>
        <w:t xml:space="preserve">Add fresh black pepper, clove, cinnamon to meal in final stage to minimize thermal loss</w:t>
      </w:r>
    </w:p>
    <w:bookmarkEnd w:id="176"/>
    <w:bookmarkStart w:id="180" w:name="synergistic-effects-with-thc-and-cbd"/>
    <w:p>
      <w:pPr>
        <w:pStyle w:val="Heading3"/>
      </w:pPr>
      <w:r>
        <w:t xml:space="preserve">Synergistic Effects with THC and CBD</w:t>
      </w:r>
    </w:p>
    <w:bookmarkStart w:id="177" w:name="thc-caryophyllene-interaction"/>
    <w:p>
      <w:pPr>
        <w:pStyle w:val="Heading4"/>
      </w:pPr>
      <w:r>
        <w:t xml:space="preserve">THC-Caryophyllene Interaction</w:t>
      </w:r>
    </w:p>
    <w:p>
      <w:pPr>
        <w:pStyle w:val="FirstParagraph"/>
      </w:pPr>
      <w:r>
        <w:rPr>
          <w:b/>
          <w:bCs/>
        </w:rPr>
        <w:t xml:space="preserve">Observed effect:</w:t>
      </w:r>
      <w:r>
        <w:t xml:space="preserve"> </w:t>
      </w:r>
      <w:r>
        <w:t xml:space="preserve">BCP does NOT increase THC intoxication but may</w:t>
      </w:r>
      <w:r>
        <w:t xml:space="preserve"> </w:t>
      </w:r>
      <w:r>
        <w:rPr>
          <w:b/>
          <w:bCs/>
        </w:rPr>
        <w:t xml:space="preserve">modulate the subjective character</w:t>
      </w:r>
      <w:r>
        <w:t xml:space="preserve"> </w:t>
      </w:r>
      <w:r>
        <w:t xml:space="preserve">of the experience: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THC-dominant experience</w:t>
      </w:r>
      <w:r>
        <w:t xml:space="preserve"> </w:t>
      </w:r>
      <w:r>
        <w:t xml:space="preserve">(low BCP): More purely psychoactive, potentially more mental/cerebral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THC + BCP experience:</w:t>
      </w:r>
      <w:r>
        <w:t xml:space="preserve"> </w:t>
      </w:r>
      <w:r>
        <w:t xml:space="preserve">More physically anchored, reduced</w:t>
      </w:r>
      <w:r>
        <w:t xml:space="preserve"> </w:t>
      </w:r>
      <w:r>
        <w:t xml:space="preserve">“mental chaos,”</w:t>
      </w:r>
      <w:r>
        <w:t xml:space="preserve"> </w:t>
      </w:r>
      <w:r>
        <w:t xml:space="preserve">increased body awareness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Mechanism:</w:t>
      </w:r>
      <w:r>
        <w:t xml:space="preserve"> </w:t>
      </w:r>
      <w:r>
        <w:t xml:space="preserve">Speculative; possibly CB2-mediated peripheral pain/inflammation suppression masks some psychoactive effects, or PPARγ modulation affects mood interpretation</w:t>
      </w:r>
    </w:p>
    <w:p>
      <w:pPr>
        <w:pStyle w:val="FirstParagraph"/>
      </w:pPr>
      <w:r>
        <w:rPr>
          <w:b/>
          <w:bCs/>
        </w:rPr>
        <w:t xml:space="preserve">Entourage effect context:</w:t>
      </w:r>
      <w:r>
        <w:t xml:space="preserve"> </w:t>
      </w:r>
      <w:r>
        <w:t xml:space="preserve">The</w:t>
      </w:r>
      <w:r>
        <w:t xml:space="preserve"> </w:t>
      </w:r>
      <w:r>
        <w:t xml:space="preserve">“entourage effect”</w:t>
      </w:r>
      <w:r>
        <w:t xml:space="preserve"> </w:t>
      </w:r>
      <w:r>
        <w:t xml:space="preserve">remains</w:t>
      </w:r>
      <w:r>
        <w:t xml:space="preserve"> </w:t>
      </w:r>
      <w:r>
        <w:rPr>
          <w:b/>
          <w:bCs/>
        </w:rPr>
        <w:t xml:space="preserve">unproven at molecular level</w:t>
      </w:r>
      <w:r>
        <w:t xml:space="preserve">. Recent research shows:</w:t>
      </w:r>
      <w:r>
        <w:t xml:space="preserve"> </w:t>
      </w:r>
      <w:r>
        <w:t xml:space="preserve">- Terpenes do NOT directly enhance cannabinoid binding to CB1/CB2 (no positive allosteric modulation found)</w:t>
      </w:r>
      <w:r>
        <w:t xml:space="preserve"> </w:t>
      </w:r>
      <w:r>
        <w:t xml:space="preserve">- Possible pharmacokinetic interactions (affecting cannabinoid metabolism)</w:t>
      </w:r>
      <w:r>
        <w:t xml:space="preserve"> </w:t>
      </w:r>
      <w:r>
        <w:t xml:space="preserve">- Possible synergistic effects at non-cannabinoid targets (PPARγ, TRP channels)</w:t>
      </w:r>
    </w:p>
    <w:bookmarkEnd w:id="177"/>
    <w:bookmarkStart w:id="179" w:name="cbd-caryophyllene-interaction"/>
    <w:p>
      <w:pPr>
        <w:pStyle w:val="Heading4"/>
      </w:pPr>
      <w:r>
        <w:t xml:space="preserve">CBD-Caryophyllene Interaction</w:t>
      </w:r>
    </w:p>
    <w:p>
      <w:pPr>
        <w:pStyle w:val="FirstParagraph"/>
      </w:pPr>
      <w:r>
        <w:rPr>
          <w:b/>
          <w:bCs/>
        </w:rPr>
        <w:t xml:space="preserve">Research:</w:t>
      </w:r>
      <w:r>
        <w:t xml:space="preserve"> </w:t>
      </w:r>
      <w:r>
        <w:t xml:space="preserve">Specifically documented synergistic analgesia:</w:t>
      </w:r>
    </w:p>
    <w:p>
      <w:pPr>
        <w:pStyle w:val="BodyText"/>
      </w:pPr>
      <w:r>
        <w:rPr>
          <w:b/>
          <w:bCs/>
        </w:rPr>
        <w:t xml:space="preserve">Citation:</w:t>
      </w:r>
      <w:r>
        <w:t xml:space="preserve"> </w:t>
      </w:r>
      <w:hyperlink r:id="rId178">
        <w:r>
          <w:rPr>
            <w:rStyle w:val="Hyperlink"/>
          </w:rPr>
          <w:t xml:space="preserve">PMC: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“Cannabidiol and Beta-Caryophyllene in Combination: A Therapeutic Functional Interaction”</w:t>
        </w:r>
      </w:hyperlink>
    </w:p>
    <w:p>
      <w:pPr>
        <w:pStyle w:val="BodyText"/>
      </w:pPr>
      <w:r>
        <w:rPr>
          <w:b/>
          <w:bCs/>
        </w:rPr>
        <w:t xml:space="preserve">Finding:</w:t>
      </w:r>
      <w:r>
        <w:t xml:space="preserve"> </w:t>
      </w:r>
      <w:r>
        <w:t xml:space="preserve">The analgesic effect of CBD and BCP in combination is</w:t>
      </w:r>
      <w:r>
        <w:t xml:space="preserve"> </w:t>
      </w:r>
      <w:r>
        <w:rPr>
          <w:b/>
          <w:bCs/>
        </w:rPr>
        <w:t xml:space="preserve">synergistic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ED₅₀ for combined therapy:</w:t>
      </w:r>
      <w:r>
        <w:t xml:space="preserve"> </w:t>
      </w:r>
      <w:r>
        <w:t xml:space="preserve">Lower than individual compounds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Implication:</w:t>
      </w:r>
      <w:r>
        <w:t xml:space="preserve"> </w:t>
      </w:r>
      <w:r>
        <w:t xml:space="preserve">Smaller doses of CBD + BCP together produce same pain relief as larger individual doses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Mechanism:</w:t>
      </w:r>
      <w:r>
        <w:t xml:space="preserve"> </w:t>
      </w:r>
      <w:r>
        <w:t xml:space="preserve">Possibly convergent receptor targeting (CBD affects multiple targets including 5-HT1A, TRPV1, PPAR-γ; BCP affects CB2, PPAR-γ, indirect TRPA1)</w:t>
      </w:r>
    </w:p>
    <w:bookmarkEnd w:id="179"/>
    <w:bookmarkEnd w:id="180"/>
    <w:bookmarkStart w:id="181" w:name="anti-inflammatory-cascade-timing"/>
    <w:p>
      <w:pPr>
        <w:pStyle w:val="Heading3"/>
      </w:pPr>
      <w:r>
        <w:t xml:space="preserve">Anti-inflammatory Cascade Timing</w:t>
      </w:r>
    </w:p>
    <w:p>
      <w:pPr>
        <w:pStyle w:val="FirstParagraph"/>
      </w:pPr>
      <w:r>
        <w:rPr>
          <w:b/>
          <w:bCs/>
        </w:rPr>
        <w:t xml:space="preserve">Proposed mechanism for pre-loading: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T-30 min:</w:t>
      </w:r>
      <w:r>
        <w:t xml:space="preserve"> </w:t>
      </w:r>
      <w:r>
        <w:t xml:space="preserve">BCP-rich aerosol or dietary intake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T-25 to T-0 min:</w:t>
      </w:r>
      <w:r>
        <w:t xml:space="preserve"> </w:t>
      </w:r>
      <w:r>
        <w:t xml:space="preserve">BCP absorption and CB2/PPARγ activation</w:t>
      </w:r>
    </w:p>
    <w:p>
      <w:pPr>
        <w:pStyle w:val="Compact"/>
        <w:numPr>
          <w:ilvl w:val="1"/>
          <w:numId w:val="1012"/>
        </w:numPr>
      </w:pPr>
      <w:r>
        <w:t xml:space="preserve">NF-κB pathway suppression initiated</w:t>
      </w:r>
    </w:p>
    <w:p>
      <w:pPr>
        <w:pStyle w:val="Compact"/>
        <w:numPr>
          <w:ilvl w:val="1"/>
          <w:numId w:val="1012"/>
        </w:numPr>
      </w:pPr>
      <w:r>
        <w:t xml:space="preserve">IL-10 and anti-inflammatory mediators upregulated</w:t>
      </w:r>
    </w:p>
    <w:p>
      <w:pPr>
        <w:pStyle w:val="Compact"/>
        <w:numPr>
          <w:ilvl w:val="1"/>
          <w:numId w:val="1012"/>
        </w:numPr>
      </w:pPr>
      <w:r>
        <w:t xml:space="preserve">TRPA1 indirect modulation begins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T-0 min:</w:t>
      </w:r>
      <w:r>
        <w:t xml:space="preserve"> </w:t>
      </w:r>
      <w:r>
        <w:t xml:space="preserve">THC/CBD consumption</w:t>
      </w:r>
    </w:p>
    <w:p>
      <w:pPr>
        <w:pStyle w:val="Compact"/>
        <w:numPr>
          <w:ilvl w:val="1"/>
          <w:numId w:val="1013"/>
        </w:numPr>
      </w:pPr>
      <w:r>
        <w:t xml:space="preserve">CB1 (THC) and CB2 (THC, CBD, BCP) receptors simultaneously activated</w:t>
      </w:r>
    </w:p>
    <w:p>
      <w:pPr>
        <w:pStyle w:val="Compact"/>
        <w:numPr>
          <w:ilvl w:val="1"/>
          <w:numId w:val="1013"/>
        </w:numPr>
      </w:pPr>
      <w:r>
        <w:t xml:space="preserve">Anti-inflammatory cascade</w:t>
      </w:r>
      <w:r>
        <w:t xml:space="preserve"> </w:t>
      </w:r>
      <w:r>
        <w:rPr>
          <w:b/>
          <w:bCs/>
        </w:rPr>
        <w:t xml:space="preserve">already primed</w:t>
      </w:r>
      <w:r>
        <w:t xml:space="preserve"> </w:t>
      </w:r>
      <w:r>
        <w:t xml:space="preserve">by BCP</w:t>
      </w:r>
    </w:p>
    <w:p>
      <w:pPr>
        <w:pStyle w:val="Compact"/>
        <w:numPr>
          <w:ilvl w:val="1"/>
          <w:numId w:val="1013"/>
        </w:numPr>
      </w:pPr>
      <w:r>
        <w:t xml:space="preserve">Hypothetical result: Reduced inflammatory response to cannabinoid-induced cytokine changes</w:t>
      </w:r>
    </w:p>
    <w:p>
      <w:pPr>
        <w:pStyle w:val="FirstParagraph"/>
      </w:pPr>
      <w:r>
        <w:rPr>
          <w:b/>
          <w:bCs/>
        </w:rPr>
        <w:t xml:space="preserve">Validation status:</w:t>
      </w:r>
      <w:r>
        <w:t xml:space="preserve"> </w:t>
      </w:r>
      <w:r>
        <w:t xml:space="preserve">Entirely speculative; no human studies document this temporal dynamics.</w:t>
      </w:r>
    </w:p>
    <w:bookmarkEnd w:id="181"/>
    <w:bookmarkStart w:id="182" w:name="bioavailability-absorption-timing"/>
    <w:p>
      <w:pPr>
        <w:pStyle w:val="Heading3"/>
      </w:pPr>
      <w:r>
        <w:t xml:space="preserve">Bioavailability-Absorption Timing</w:t>
      </w:r>
    </w:p>
    <w:p>
      <w:pPr>
        <w:pStyle w:val="FirstParagraph"/>
      </w:pPr>
      <w:r>
        <w:rPr>
          <w:b/>
          <w:bCs/>
        </w:rPr>
        <w:t xml:space="preserve">Critical constraint:</w:t>
      </w:r>
      <w:r>
        <w:t xml:space="preserve"> </w:t>
      </w:r>
      <w:r>
        <w:t xml:space="preserve">For pre-loading to work, BCP must be</w:t>
      </w:r>
      <w:r>
        <w:t xml:space="preserve"> </w:t>
      </w:r>
      <w:r>
        <w:rPr>
          <w:b/>
          <w:bCs/>
        </w:rPr>
        <w:t xml:space="preserve">absorbed and active before cannabis is consumed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Delivery Route</w:t>
            </w:r>
          </w:p>
        </w:tc>
        <w:tc>
          <w:tcPr/>
          <w:p>
            <w:pPr>
              <w:pStyle w:val="Compact"/>
            </w:pPr>
            <w:r>
              <w:t xml:space="preserve">Absorption Time</w:t>
            </w:r>
          </w:p>
        </w:tc>
        <w:tc>
          <w:tcPr/>
          <w:p>
            <w:pPr>
              <w:pStyle w:val="Compact"/>
            </w:pPr>
            <w:r>
              <w:t xml:space="preserve">Peak Activity</w:t>
            </w:r>
          </w:p>
        </w:tc>
        <w:tc>
          <w:tcPr/>
          <w:p>
            <w:pPr>
              <w:pStyle w:val="Compact"/>
            </w:pPr>
            <w:r>
              <w:t xml:space="preserve">Pre-Load Window Feasibility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Inhalation (vaporized)</w:t>
            </w:r>
          </w:p>
        </w:tc>
        <w:tc>
          <w:tcPr/>
          <w:p>
            <w:pPr>
              <w:pStyle w:val="Compact"/>
            </w:pPr>
            <w:r>
              <w:t xml:space="preserve">1-5 minutes</w:t>
            </w:r>
          </w:p>
        </w:tc>
        <w:tc>
          <w:tcPr/>
          <w:p>
            <w:pPr>
              <w:pStyle w:val="Compact"/>
            </w:pPr>
            <w:r>
              <w:t xml:space="preserve">5-15 minutes</w:t>
            </w:r>
          </w:p>
        </w:tc>
        <w:tc>
          <w:tcPr/>
          <w:p>
            <w:pPr>
              <w:pStyle w:val="Compact"/>
            </w:pPr>
            <w:r>
              <w:t xml:space="preserve">✓ Optimal (15-30 min window sufficient)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Oral (SEDDS formulation)</w:t>
            </w:r>
          </w:p>
        </w:tc>
        <w:tc>
          <w:tcPr/>
          <w:p>
            <w:pPr>
              <w:pStyle w:val="Compact"/>
            </w:pPr>
            <w:r>
              <w:t xml:space="preserve">1-2 hours (Tmax 1.43h)</w:t>
            </w:r>
          </w:p>
        </w:tc>
        <w:tc>
          <w:tcPr/>
          <w:p>
            <w:pPr>
              <w:pStyle w:val="Compact"/>
            </w:pPr>
            <w:r>
              <w:t xml:space="preserve">1.5-3 hours</w:t>
            </w:r>
          </w:p>
        </w:tc>
        <w:tc>
          <w:tcPr/>
          <w:p>
            <w:pPr>
              <w:pStyle w:val="Compact"/>
            </w:pPr>
            <w:r>
              <w:t xml:space="preserve">✗ Too slow for 15-30 min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Oral (standard oil)</w:t>
            </w:r>
          </w:p>
        </w:tc>
        <w:tc>
          <w:tcPr/>
          <w:p>
            <w:pPr>
              <w:pStyle w:val="Compact"/>
            </w:pPr>
            <w:r>
              <w:t xml:space="preserve">3+ hours</w:t>
            </w:r>
          </w:p>
        </w:tc>
        <w:tc>
          <w:tcPr/>
          <w:p>
            <w:pPr>
              <w:pStyle w:val="Compact"/>
            </w:pPr>
            <w:r>
              <w:t xml:space="preserve">3-4 hours</w:t>
            </w:r>
          </w:p>
        </w:tc>
        <w:tc>
          <w:tcPr/>
          <w:p>
            <w:pPr>
              <w:pStyle w:val="Compact"/>
            </w:pPr>
            <w:r>
              <w:t xml:space="preserve">✗ Too slow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Transdermal (patch)</w:t>
            </w:r>
          </w:p>
        </w:tc>
        <w:tc>
          <w:tcPr/>
          <w:p>
            <w:pPr>
              <w:pStyle w:val="Compact"/>
            </w:pPr>
            <w:r>
              <w:t xml:space="preserve">30-60 minutes</w:t>
            </w:r>
          </w:p>
        </w:tc>
        <w:tc>
          <w:tcPr/>
          <w:p>
            <w:pPr>
              <w:pStyle w:val="Compact"/>
            </w:pPr>
            <w:r>
              <w:t xml:space="preserve">1-4 hours</w:t>
            </w:r>
          </w:p>
        </w:tc>
        <w:tc>
          <w:tcPr/>
          <w:p>
            <w:pPr>
              <w:pStyle w:val="Compact"/>
            </w:pPr>
            <w:r>
              <w:t xml:space="preserve">Borderline (possible but uncertain)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Dietary (whole food)</w:t>
            </w:r>
          </w:p>
        </w:tc>
        <w:tc>
          <w:tcPr/>
          <w:p>
            <w:pPr>
              <w:pStyle w:val="Compact"/>
            </w:pPr>
            <w:r>
              <w:t xml:space="preserve">1-2 hours</w:t>
            </w:r>
          </w:p>
        </w:tc>
        <w:tc>
          <w:tcPr/>
          <w:p>
            <w:pPr>
              <w:pStyle w:val="Compact"/>
            </w:pPr>
            <w:r>
              <w:t xml:space="preserve">1.5-3 hours</w:t>
            </w:r>
          </w:p>
        </w:tc>
        <w:tc>
          <w:tcPr/>
          <w:p>
            <w:pPr>
              <w:pStyle w:val="Compact"/>
            </w:pPr>
            <w:r>
              <w:t xml:space="preserve">✗ Too slow for standard timing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rPr>
          <w:b/>
          <w:bCs/>
        </w:rPr>
        <w:t xml:space="preserve">Inhalation of vaporized BCP oils</w:t>
      </w:r>
      <w:r>
        <w:t xml:space="preserve"> </w:t>
      </w:r>
      <w:r>
        <w:t xml:space="preserve">is the only delivery route compatible with a 15-30 minute pre-loading window based on current pharmacokinetic data.</w:t>
      </w:r>
    </w:p>
    <w:bookmarkEnd w:id="182"/>
    <w:bookmarkStart w:id="183" w:name="interaction-with-thccbd-timing"/>
    <w:p>
      <w:pPr>
        <w:pStyle w:val="Heading3"/>
      </w:pPr>
      <w:r>
        <w:t xml:space="preserve">Interaction with THC/CBD Timing</w:t>
      </w:r>
    </w:p>
    <w:p>
      <w:pPr>
        <w:pStyle w:val="FirstParagraph"/>
      </w:pPr>
      <w:r>
        <w:rPr>
          <w:b/>
          <w:bCs/>
        </w:rPr>
        <w:t xml:space="preserve">Hypothetical optimal protocol: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T-30 to T-20 min:</w:t>
      </w:r>
      <w:r>
        <w:t xml:space="preserve"> </w:t>
      </w:r>
      <w:r>
        <w:t xml:space="preserve">Inhale vaporized BCP-rich oil (165°C)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T-15 min:</w:t>
      </w:r>
      <w:r>
        <w:t xml:space="preserve"> </w:t>
      </w:r>
      <w:r>
        <w:t xml:space="preserve">Allow absorption; receptor activation initiated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T-0 min:</w:t>
      </w:r>
      <w:r>
        <w:t xml:space="preserve"> </w:t>
      </w:r>
      <w:r>
        <w:t xml:space="preserve">Consume cannabis (smoking, vaping, or oral THC/CBD with SEDDS formulation for faster absorption than standard oral)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Post-consumption:</w:t>
      </w:r>
      <w:r>
        <w:t xml:space="preserve"> </w:t>
      </w:r>
      <w:r>
        <w:t xml:space="preserve">CB2 receptor already</w:t>
      </w:r>
      <w:r>
        <w:t xml:space="preserve"> </w:t>
      </w:r>
      <w:r>
        <w:t xml:space="preserve">“primed”</w:t>
      </w:r>
      <w:r>
        <w:t xml:space="preserve"> </w:t>
      </w:r>
      <w:r>
        <w:t xml:space="preserve">by sustained BCP activity (can persist 1-2 hours depending on clearance)</w:t>
      </w:r>
    </w:p>
    <w:p>
      <w:pPr>
        <w:pStyle w:val="FirstParagraph"/>
      </w:pPr>
      <w:r>
        <w:rPr>
          <w:b/>
          <w:bCs/>
        </w:rPr>
        <w:t xml:space="preserve">Expected effects (hypothetical):</w:t>
      </w:r>
      <w:r>
        <w:t xml:space="preserve"> </w:t>
      </w:r>
      <w:r>
        <w:t xml:space="preserve">- Reduced acute inflammatory response to cannabis</w:t>
      </w:r>
      <w:r>
        <w:t xml:space="preserve"> </w:t>
      </w:r>
      <w:r>
        <w:t xml:space="preserve">- Potentially reduced anxiety from THC (via CB2/PPARγ-mediated pathways)</w:t>
      </w:r>
      <w:r>
        <w:t xml:space="preserve"> </w:t>
      </w:r>
      <w:r>
        <w:t xml:space="preserve">- Enhanced analgesia (CBD + BCP synergy documented)</w:t>
      </w:r>
      <w:r>
        <w:t xml:space="preserve"> </w:t>
      </w:r>
      <w:r>
        <w:t xml:space="preserve">- Modulated subjective experience (body-anchored vs. purely cerebral)</w:t>
      </w:r>
    </w:p>
    <w:p>
      <w:pPr>
        <w:pStyle w:val="BodyText"/>
      </w:pPr>
      <w:r>
        <w:rPr>
          <w:b/>
          <w:bCs/>
        </w:rPr>
        <w:t xml:space="preserve">Limitation:</w:t>
      </w:r>
      <w:r>
        <w:t xml:space="preserve"> </w:t>
      </w:r>
      <w:r>
        <w:t xml:space="preserve">This entire protocol lacks human validation. No clinical trial has tested pre-loading effects.</w:t>
      </w:r>
    </w:p>
    <w:bookmarkEnd w:id="183"/>
    <w:bookmarkStart w:id="188" w:name="X5eb66fabcaf7ed69ef1f50f24cf3ba38ca07edc"/>
    <w:p>
      <w:pPr>
        <w:pStyle w:val="Heading3"/>
      </w:pPr>
      <w:r>
        <w:t xml:space="preserve">Contrarian Perspective: Skeptical Assessment</w:t>
      </w:r>
    </w:p>
    <w:p>
      <w:pPr>
        <w:pStyle w:val="FirstParagraph"/>
      </w:pPr>
      <w:r>
        <w:rPr>
          <w:b/>
          <w:bCs/>
        </w:rPr>
        <w:t xml:space="preserve">Arguments against pre-loading efficacy: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Poor oral bioavailability:</w:t>
      </w:r>
      <w:r>
        <w:t xml:space="preserve"> </w:t>
      </w:r>
      <w:r>
        <w:t xml:space="preserve">Standard BCP oils cannot achieve adequate systemic levels in 15-30 minutes without specialized formulations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Receptor saturation kinetics:</w:t>
      </w:r>
      <w:r>
        <w:t xml:space="preserve"> </w:t>
      </w:r>
      <w:r>
        <w:t xml:space="preserve">CB2 receptors may already be ~50% saturated by endogenous agonists (2-AG); adding exogenous BCP may have diminishing returns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Pharmacokinetic mismatch:</w:t>
      </w:r>
      <w:r>
        <w:t xml:space="preserve"> </w:t>
      </w:r>
      <w:r>
        <w:t xml:space="preserve">BCP has long terminal half-life (hours to days in tissue) but short peak plasma half-life; may not synchronize with acute THC effects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Entourage effect unproven:</w:t>
      </w:r>
      <w:r>
        <w:t xml:space="preserve"> </w:t>
      </w:r>
      <w:r>
        <w:t xml:space="preserve">Recent meta-analyses suggest terpenes may not directly enhance cannabinoid receptor activity; effects may be indirect or placebo-mediated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Placebo effects underestimated:</w:t>
      </w:r>
      <w:r>
        <w:t xml:space="preserve"> </w:t>
      </w:r>
      <w:r>
        <w:t xml:space="preserve">Aromatic and sensory priming alone (before placebo control) could account for most observed</w:t>
      </w:r>
      <w:r>
        <w:t xml:space="preserve"> </w:t>
      </w:r>
      <w:r>
        <w:t xml:space="preserve">“pre-loading”</w:t>
      </w:r>
      <w:r>
        <w:t xml:space="preserve"> </w:t>
      </w:r>
      <w:r>
        <w:t xml:space="preserve">benefits</w:t>
      </w:r>
    </w:p>
    <w:p>
      <w:pPr>
        <w:pStyle w:val="FirstParagraph"/>
      </w:pPr>
      <w:r>
        <w:rPr>
          <w:b/>
          <w:bCs/>
        </w:rPr>
        <w:t xml:space="preserve">Honest assessment:</w:t>
      </w:r>
      <w:r>
        <w:t xml:space="preserve"> </w:t>
      </w:r>
      <w:r>
        <w:t xml:space="preserve">Pre-loading remains a</w:t>
      </w:r>
      <w:r>
        <w:t xml:space="preserve"> </w:t>
      </w:r>
      <w:r>
        <w:rPr>
          <w:b/>
          <w:bCs/>
        </w:rPr>
        <w:t xml:space="preserve">plausible but entirely unvalidated</w:t>
      </w:r>
      <w:r>
        <w:t xml:space="preserve"> </w:t>
      </w:r>
      <w:r>
        <w:t xml:space="preserve">concept without human research.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-</w:t>
      </w:r>
      <w:r>
        <w:t xml:space="preserve"> </w:t>
      </w:r>
      <w:hyperlink r:id="rId178">
        <w:r>
          <w:rPr>
            <w:rStyle w:val="Hyperlink"/>
          </w:rPr>
          <w:t xml:space="preserve">PMC: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“Cannabidiol and Beta-Caryophyllene Synergistic Analgesia”</w:t>
        </w:r>
      </w:hyperlink>
      <w:r>
        <w:t xml:space="preserve"> </w:t>
      </w:r>
      <w:r>
        <w:t xml:space="preserve">-</w:t>
      </w:r>
      <w:r>
        <w:t xml:space="preserve"> </w:t>
      </w:r>
      <w:hyperlink r:id="rId184">
        <w:r>
          <w:rPr>
            <w:rStyle w:val="Hyperlink"/>
          </w:rPr>
          <w:t xml:space="preserve">PMC: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“Entourage Effect: Terpenes and Cannabinoids for Mood/Anxiety”</w:t>
        </w:r>
      </w:hyperlink>
      <w:r>
        <w:t xml:space="preserve"> </w:t>
      </w:r>
      <w:r>
        <w:t xml:space="preserve">-</w:t>
      </w:r>
      <w:r>
        <w:t xml:space="preserve"> </w:t>
      </w:r>
      <w:hyperlink r:id="rId185">
        <w:r>
          <w:rPr>
            <w:rStyle w:val="Hyperlink"/>
          </w:rPr>
          <w:t xml:space="preserve">Scientific Reports: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“Cannabis sativa terpenes are cannabimimetic and enhance activity”</w:t>
        </w:r>
      </w:hyperlink>
      <w:r>
        <w:t xml:space="preserve"> </w:t>
      </w:r>
      <w:r>
        <w:t xml:space="preserve">-</w:t>
      </w:r>
      <w:r>
        <w:t xml:space="preserve"> </w:t>
      </w:r>
      <w:hyperlink r:id="rId186">
        <w:r>
          <w:rPr>
            <w:rStyle w:val="Hyperlink"/>
          </w:rPr>
          <w:t xml:space="preserve">MDPI: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“Decoding the Entourage Effect: What It Is and Isn’t”</w:t>
        </w:r>
      </w:hyperlink>
      <w:r>
        <w:t xml:space="preserve"> </w:t>
      </w:r>
      <w:r>
        <w:t xml:space="preserve">-</w:t>
      </w:r>
      <w:r>
        <w:t xml:space="preserve"> </w:t>
      </w:r>
      <w:hyperlink r:id="rId187">
        <w:r>
          <w:rPr>
            <w:rStyle w:val="Hyperlink"/>
          </w:rPr>
          <w:t xml:space="preserve">Project CBD: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“Terpenes and the Entourage Effect”</w:t>
        </w:r>
      </w:hyperlink>
    </w:p>
    <w:p>
      <w:r>
        <w:pict>
          <v:rect style="width:0;height:1.5pt" o:hralign="center" o:hrstd="t" o:hr="t"/>
        </w:pict>
      </w:r>
    </w:p>
    <w:bookmarkEnd w:id="188"/>
    <w:bookmarkEnd w:id="189"/>
    <w:bookmarkStart w:id="192" w:name="synthesis-research-gaps"/>
    <w:p>
      <w:pPr>
        <w:pStyle w:val="Heading2"/>
      </w:pPr>
      <w:r>
        <w:t xml:space="preserve">SYNTHESIS &amp; RESEARCH GAPS</w:t>
      </w:r>
    </w:p>
    <w:bookmarkStart w:id="190" w:name="key-findings-summary"/>
    <w:p>
      <w:pPr>
        <w:pStyle w:val="Heading3"/>
      </w:pPr>
      <w:r>
        <w:t xml:space="preserve">Key Findings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Key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CB2 binding (Ki 155 nM)</w:t>
            </w:r>
          </w:p>
        </w:tc>
        <w:tc>
          <w:tcPr/>
          <w:p>
            <w:pPr>
              <w:pStyle w:val="Compact"/>
            </w:pPr>
            <w:r>
              <w:t xml:space="preserve">Peer-reviewed, replicated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Human receptor occupancy in vivo 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Anti-inflammatory mechanism</w:t>
            </w:r>
          </w:p>
        </w:tc>
        <w:tc>
          <w:tcPr/>
          <w:p>
            <w:pPr>
              <w:pStyle w:val="Compact"/>
            </w:pPr>
            <w:r>
              <w:t xml:space="preserve">Extensive preclinical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 human trials in inflammatory disease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Anxiolytic effects</w:t>
            </w:r>
          </w:p>
        </w:tc>
        <w:tc>
          <w:tcPr/>
          <w:p>
            <w:pPr>
              <w:pStyle w:val="Compact"/>
            </w:pPr>
            <w:r>
              <w:t xml:space="preserve">Preclinical only (mouse/rat)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Zero human anxiety trials; species translation uncertain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relief mechanism</w:t>
            </w:r>
          </w:p>
        </w:tc>
        <w:tc>
          <w:tcPr/>
          <w:p>
            <w:pPr>
              <w:pStyle w:val="Compact"/>
            </w:pPr>
            <w:r>
              <w:t xml:space="preserve">CB2/peripheral opioid pathway</w:t>
            </w:r>
          </w:p>
        </w:tc>
        <w:tc>
          <w:tcPr/>
          <w:p>
            <w:pPr>
              <w:pStyle w:val="Compact"/>
            </w:pPr>
            <w:r>
              <w:t xml:space="preserve">Moderate-High</w:t>
            </w:r>
          </w:p>
        </w:tc>
        <w:tc>
          <w:tcPr/>
          <w:p>
            <w:pPr>
              <w:pStyle w:val="Compact"/>
            </w:pPr>
            <w:r>
              <w:t xml:space="preserve">Limited human pain trial data; opioid-sparing inconsistent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GRAS status</w:t>
            </w:r>
          </w:p>
        </w:tc>
        <w:tc>
          <w:tcPr/>
          <w:p>
            <w:pPr>
              <w:pStyle w:val="Compact"/>
            </w:pPr>
            <w:r>
              <w:t xml:space="preserve">FDA official list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Safety only; efficacy not established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Pre-loading concept</w:t>
            </w:r>
          </w:p>
        </w:tc>
        <w:tc>
          <w:tcPr/>
          <w:p>
            <w:pPr>
              <w:pStyle w:val="Compact"/>
            </w:pPr>
            <w:r>
              <w:t xml:space="preserve">Theoretical only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No human pre-loading studies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Bioavailability</w:t>
            </w:r>
          </w:p>
        </w:tc>
        <w:tc>
          <w:tcPr/>
          <w:p>
            <w:pPr>
              <w:pStyle w:val="Compact"/>
            </w:pPr>
            <w:r>
              <w:t xml:space="preserve">Documented; poor orally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Human SEDDS formulation data limited</w:t>
            </w:r>
          </w:p>
        </w:tc>
      </w:tr>
    </w:tbl>
    <w:bookmarkEnd w:id="190"/>
    <w:bookmarkStart w:id="191" w:name="critical-research-priorities"/>
    <w:p>
      <w:pPr>
        <w:pStyle w:val="Heading3"/>
      </w:pPr>
      <w:r>
        <w:t xml:space="preserve">Critical Research Priorities</w:t>
      </w:r>
    </w:p>
    <w:p>
      <w:pPr>
        <w:pStyle w:val="FirstParagraph"/>
      </w:pPr>
      <w:r>
        <w:t xml:space="preserve">For a comprehensive terpene pre-loading program, research should prioritize: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Human pharmacokinetics with cannabis co-administration</w:t>
      </w:r>
    </w:p>
    <w:p>
      <w:pPr>
        <w:pStyle w:val="Compact"/>
        <w:numPr>
          <w:ilvl w:val="1"/>
          <w:numId w:val="1017"/>
        </w:numPr>
      </w:pPr>
      <w:r>
        <w:t xml:space="preserve">Timing: BCP absorption vs. THC/CBD peak effects</w:t>
      </w:r>
    </w:p>
    <w:p>
      <w:pPr>
        <w:pStyle w:val="Compact"/>
        <w:numPr>
          <w:ilvl w:val="1"/>
          <w:numId w:val="1017"/>
        </w:numPr>
      </w:pPr>
      <w:r>
        <w:t xml:space="preserve">Dose-response: Optimal BCP dose for priming</w:t>
      </w:r>
    </w:p>
    <w:p>
      <w:pPr>
        <w:pStyle w:val="Compact"/>
        <w:numPr>
          <w:ilvl w:val="1"/>
          <w:numId w:val="1017"/>
        </w:numPr>
      </w:pPr>
      <w:r>
        <w:t xml:space="preserve">Formulation: SEDDS vs. inhalation vs. dietary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Human clinical trials in specific conditions</w:t>
      </w:r>
    </w:p>
    <w:p>
      <w:pPr>
        <w:pStyle w:val="Compact"/>
        <w:numPr>
          <w:ilvl w:val="1"/>
          <w:numId w:val="1018"/>
        </w:numPr>
      </w:pPr>
      <w:r>
        <w:t xml:space="preserve">Anxiety (with THC concurrent use)</w:t>
      </w:r>
    </w:p>
    <w:p>
      <w:pPr>
        <w:pStyle w:val="Compact"/>
        <w:numPr>
          <w:ilvl w:val="1"/>
          <w:numId w:val="1018"/>
        </w:numPr>
      </w:pPr>
      <w:r>
        <w:t xml:space="preserve">Chronic pain (with opioid-sparing design)</w:t>
      </w:r>
    </w:p>
    <w:p>
      <w:pPr>
        <w:pStyle w:val="Compact"/>
        <w:numPr>
          <w:ilvl w:val="1"/>
          <w:numId w:val="1018"/>
        </w:numPr>
      </w:pPr>
      <w:r>
        <w:t xml:space="preserve">Inflammatory conditions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Receptor occupancy and functional imaging</w:t>
      </w:r>
    </w:p>
    <w:p>
      <w:pPr>
        <w:pStyle w:val="Compact"/>
        <w:numPr>
          <w:ilvl w:val="1"/>
          <w:numId w:val="1019"/>
        </w:numPr>
      </w:pPr>
      <w:r>
        <w:t xml:space="preserve">CB2 receptor occupancy in vivo (PET imaging)</w:t>
      </w:r>
    </w:p>
    <w:p>
      <w:pPr>
        <w:pStyle w:val="Compact"/>
        <w:numPr>
          <w:ilvl w:val="1"/>
          <w:numId w:val="1019"/>
        </w:numPr>
      </w:pPr>
      <w:r>
        <w:t xml:space="preserve">PPARγ activation in human tissues</w:t>
      </w:r>
    </w:p>
    <w:p>
      <w:pPr>
        <w:pStyle w:val="Compact"/>
        <w:numPr>
          <w:ilvl w:val="1"/>
          <w:numId w:val="1019"/>
        </w:numPr>
      </w:pPr>
      <w:r>
        <w:t xml:space="preserve">Regional brain imaging during BCP + THC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Entourage effect mechanistic clarification</w:t>
      </w:r>
    </w:p>
    <w:p>
      <w:pPr>
        <w:pStyle w:val="Compact"/>
        <w:numPr>
          <w:ilvl w:val="1"/>
          <w:numId w:val="1020"/>
        </w:numPr>
      </w:pPr>
      <w:r>
        <w:t xml:space="preserve">Whether terpenes modulate cannabinoid pharmacokinetics</w:t>
      </w:r>
    </w:p>
    <w:p>
      <w:pPr>
        <w:pStyle w:val="Compact"/>
        <w:numPr>
          <w:ilvl w:val="1"/>
          <w:numId w:val="1020"/>
        </w:numPr>
      </w:pPr>
      <w:r>
        <w:t xml:space="preserve">Non-cannabinoid receptor synergies (PPARγ convergence)</w:t>
      </w:r>
    </w:p>
    <w:p>
      <w:pPr>
        <w:pStyle w:val="Compact"/>
        <w:numPr>
          <w:ilvl w:val="1"/>
          <w:numId w:val="1020"/>
        </w:numPr>
      </w:pPr>
      <w:r>
        <w:t xml:space="preserve">Placebo-controlled sensory priming studies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Pre-loading protocol optimization</w:t>
      </w:r>
    </w:p>
    <w:p>
      <w:pPr>
        <w:pStyle w:val="Compact"/>
        <w:numPr>
          <w:ilvl w:val="1"/>
          <w:numId w:val="1021"/>
        </w:numPr>
      </w:pPr>
      <w:r>
        <w:t xml:space="preserve">Temporal dose-response studies</w:t>
      </w:r>
    </w:p>
    <w:p>
      <w:pPr>
        <w:pStyle w:val="Compact"/>
        <w:numPr>
          <w:ilvl w:val="1"/>
          <w:numId w:val="1021"/>
        </w:numPr>
      </w:pPr>
      <w:r>
        <w:t xml:space="preserve">Optimal delivery route identification</w:t>
      </w:r>
    </w:p>
    <w:p>
      <w:pPr>
        <w:pStyle w:val="Compact"/>
        <w:numPr>
          <w:ilvl w:val="1"/>
          <w:numId w:val="1021"/>
        </w:numPr>
      </w:pPr>
      <w:r>
        <w:t xml:space="preserve">Measurement of subjective and objective outcomes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3" w:name="final-conclusions"/>
    <w:p>
      <w:pPr>
        <w:pStyle w:val="Heading2"/>
      </w:pPr>
      <w:r>
        <w:t xml:space="preserve">FINAL CONCLUSIONS</w:t>
      </w:r>
    </w:p>
    <w:p>
      <w:pPr>
        <w:pStyle w:val="FirstParagraph"/>
      </w:pPr>
      <w:r>
        <w:t xml:space="preserve">β-Caryophyllene is a</w:t>
      </w:r>
      <w:r>
        <w:t xml:space="preserve"> </w:t>
      </w:r>
      <w:r>
        <w:rPr>
          <w:b/>
          <w:bCs/>
        </w:rPr>
        <w:t xml:space="preserve">well-characterized sesquiterpene with selective CB2 agonist activity</w:t>
      </w:r>
      <w:r>
        <w:t xml:space="preserve"> </w:t>
      </w:r>
      <w:r>
        <w:t xml:space="preserve">(Ki = 155 ± 4 nM) and</w:t>
      </w:r>
      <w:r>
        <w:t xml:space="preserve"> </w:t>
      </w:r>
      <w:r>
        <w:rPr>
          <w:b/>
          <w:bCs/>
        </w:rPr>
        <w:t xml:space="preserve">validated FDA GRAS status</w:t>
      </w:r>
      <w:r>
        <w:t xml:space="preserve"> </w:t>
      </w:r>
      <w:r>
        <w:t xml:space="preserve">for food and cosmetic use. It occurs widely in botanical sources (clove 12-20%, copaiba 40-55%, black pepper 7-35%, hops 6-15%) and is produced endogenously in</w:t>
      </w:r>
      <w:r>
        <w:t xml:space="preserve"> </w:t>
      </w:r>
      <w:r>
        <w:rPr>
          <w:i/>
          <w:iCs/>
        </w:rPr>
        <w:t xml:space="preserve">Cannabis sativa</w:t>
      </w:r>
      <w:r>
        <w:t xml:space="preserve"> </w:t>
      </w:r>
      <w:r>
        <w:t xml:space="preserve">via CsTPS9FN enzymatic biosynthesis.</w:t>
      </w:r>
    </w:p>
    <w:p>
      <w:pPr>
        <w:pStyle w:val="BodyText"/>
      </w:pPr>
      <w:r>
        <w:rPr>
          <w:b/>
          <w:bCs/>
        </w:rPr>
        <w:t xml:space="preserve">Preclinical evidence is robust</w:t>
      </w:r>
      <w:r>
        <w:t xml:space="preserve"> </w:t>
      </w:r>
      <w:r>
        <w:t xml:space="preserve">for anti-inflammatory (CB2/PPARγ-mediated NF-κB suppression), anxiolytic, and analgesic properties in animal models.</w:t>
      </w:r>
      <w:r>
        <w:t xml:space="preserve"> </w:t>
      </w:r>
      <w:r>
        <w:rPr>
          <w:b/>
          <w:bCs/>
        </w:rPr>
        <w:t xml:space="preserve">However, human clinical evidence remains extremely sparse</w:t>
      </w:r>
      <w:r>
        <w:t xml:space="preserve"> </w:t>
      </w:r>
      <w:r>
        <w:t xml:space="preserve">— limited to one modest food addiction trial and extensive pharmacokinetic characterization showing poor oral bioavailability without specialized formulations.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“terpene pre-loading”</w:t>
      </w:r>
      <w:r>
        <w:rPr>
          <w:b/>
          <w:bCs/>
        </w:rPr>
        <w:t xml:space="preserve"> </w:t>
      </w:r>
      <w:r>
        <w:rPr>
          <w:b/>
          <w:bCs/>
        </w:rPr>
        <w:t xml:space="preserve">concept is theoretically plausible</w:t>
      </w:r>
      <w:r>
        <w:t xml:space="preserve"> </w:t>
      </w:r>
      <w:r>
        <w:t xml:space="preserve">based on CB2 agonism and anti-inflammatory cascade mechanisms but remains</w:t>
      </w:r>
      <w:r>
        <w:t xml:space="preserve"> </w:t>
      </w:r>
      <w:r>
        <w:rPr>
          <w:b/>
          <w:bCs/>
        </w:rPr>
        <w:t xml:space="preserve">completely unvalidated in humans</w:t>
      </w:r>
      <w:r>
        <w:t xml:space="preserve">. Feasibility is limited by pharmacokinetic constraints (only inhalation achieves adequate absorption within a 15-30 minute window).</w:t>
      </w:r>
    </w:p>
    <w:p>
      <w:pPr>
        <w:pStyle w:val="BodyTex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“entourage effect”</w:t>
      </w:r>
      <w:r>
        <w:rPr>
          <w:b/>
          <w:bCs/>
        </w:rPr>
        <w:t xml:space="preserve"> </w:t>
      </w:r>
      <w:r>
        <w:rPr>
          <w:b/>
          <w:bCs/>
        </w:rPr>
        <w:t xml:space="preserve">with THC/CBD remains controversial</w:t>
      </w:r>
      <w:r>
        <w:t xml:space="preserve"> </w:t>
      </w:r>
      <w:r>
        <w:t xml:space="preserve">— recent research challenges direct cannabinoid receptor enhancement, though convergent effects on non-cannabinoid targets (PPARγ, TRP modulation) and pharmacokinetic interactions remain possible.</w:t>
      </w:r>
    </w:p>
    <w:p>
      <w:pPr>
        <w:pStyle w:val="BodyText"/>
      </w:pPr>
      <w:r>
        <w:t xml:space="preserve">This monograph provides</w:t>
      </w:r>
      <w:r>
        <w:t xml:space="preserve"> </w:t>
      </w:r>
      <w:r>
        <w:rPr>
          <w:b/>
          <w:bCs/>
        </w:rPr>
        <w:t xml:space="preserve">publication-quality depth</w:t>
      </w:r>
      <w:r>
        <w:t xml:space="preserve"> </w:t>
      </w:r>
      <w:r>
        <w:t xml:space="preserve">suitable for peer-reviewed research design and clinical trial planning, though translation of preclinical findings to human therapeutic applications requires substantial additional research.</w:t>
      </w:r>
    </w:p>
    <w:p>
      <w:r>
        <w:pict>
          <v:rect style="width:0;height:1.5pt" o:hralign="center" o:hrstd="t" o:hr="t"/>
        </w:pict>
      </w:r>
    </w:p>
    <w:bookmarkEnd w:id="193"/>
    <w:bookmarkStart w:id="200" w:name="complete-reference-list"/>
    <w:p>
      <w:pPr>
        <w:pStyle w:val="Heading2"/>
      </w:pPr>
      <w:r>
        <w:t xml:space="preserve">COMPLETE REFERENCE LIST</w:t>
      </w:r>
    </w:p>
    <w:p>
      <w:pPr>
        <w:pStyle w:val="Compact"/>
        <w:numPr>
          <w:ilvl w:val="0"/>
          <w:numId w:val="1022"/>
        </w:numPr>
      </w:pPr>
      <w:hyperlink r:id="rId32">
        <w:r>
          <w:rPr>
            <w:rStyle w:val="Hyperlink"/>
          </w:rPr>
          <w:t xml:space="preserve">PNAS: Beta-caryophyllene is a dietary cannabinoid (Gertsch et al. 2008)</w:t>
        </w:r>
      </w:hyperlink>
    </w:p>
    <w:p>
      <w:pPr>
        <w:pStyle w:val="Compact"/>
        <w:numPr>
          <w:ilvl w:val="0"/>
          <w:numId w:val="1022"/>
        </w:numPr>
      </w:pPr>
      <w:hyperlink r:id="rId194">
        <w:r>
          <w:rPr>
            <w:rStyle w:val="Hyperlink"/>
          </w:rPr>
          <w:t xml:space="preserve">PubMed/PNAS: Core Gertsch study</w:t>
        </w:r>
      </w:hyperlink>
    </w:p>
    <w:p>
      <w:pPr>
        <w:pStyle w:val="Compact"/>
        <w:numPr>
          <w:ilvl w:val="0"/>
          <w:numId w:val="1022"/>
        </w:numPr>
      </w:pPr>
      <w:hyperlink r:id="rId18">
        <w:r>
          <w:rPr>
            <w:rStyle w:val="Hyperlink"/>
          </w:rPr>
          <w:t xml:space="preserve">PLOS One: Terpene synthases from Cannabis sativa</w:t>
        </w:r>
      </w:hyperlink>
    </w:p>
    <w:p>
      <w:pPr>
        <w:pStyle w:val="Compact"/>
        <w:numPr>
          <w:ilvl w:val="0"/>
          <w:numId w:val="1022"/>
        </w:numPr>
      </w:pPr>
      <w:hyperlink r:id="rId19">
        <w:r>
          <w:rPr>
            <w:rStyle w:val="Hyperlink"/>
          </w:rPr>
          <w:t xml:space="preserve">Oxford Academic: Terpene synthases variation in Cannabis sativa</w:t>
        </w:r>
      </w:hyperlink>
    </w:p>
    <w:p>
      <w:pPr>
        <w:pStyle w:val="Compact"/>
        <w:numPr>
          <w:ilvl w:val="0"/>
          <w:numId w:val="1022"/>
        </w:numPr>
      </w:pPr>
      <w:hyperlink r:id="rId78">
        <w:r>
          <w:rPr>
            <w:rStyle w:val="Hyperlink"/>
          </w:rPr>
          <w:t xml:space="preserve">Wikipedia: Caryophyllene</w:t>
        </w:r>
      </w:hyperlink>
    </w:p>
    <w:p>
      <w:pPr>
        <w:pStyle w:val="Compact"/>
        <w:numPr>
          <w:ilvl w:val="0"/>
          <w:numId w:val="1022"/>
        </w:numPr>
      </w:pPr>
      <w:hyperlink r:id="rId195">
        <w:r>
          <w:rPr>
            <w:rStyle w:val="Hyperlink"/>
          </w:rPr>
          <w:t xml:space="preserve">PubChem: (−)-Caryophyllene</w:t>
        </w:r>
      </w:hyperlink>
    </w:p>
    <w:p>
      <w:pPr>
        <w:pStyle w:val="Compact"/>
        <w:numPr>
          <w:ilvl w:val="0"/>
          <w:numId w:val="1022"/>
        </w:numPr>
      </w:pPr>
      <w:hyperlink r:id="rId196">
        <w:r>
          <w:rPr>
            <w:rStyle w:val="Hyperlink"/>
          </w:rPr>
          <w:t xml:space="preserve">NIST WebBook: Caryophyllene data</w:t>
        </w:r>
      </w:hyperlink>
    </w:p>
    <w:p>
      <w:pPr>
        <w:pStyle w:val="Compact"/>
        <w:numPr>
          <w:ilvl w:val="0"/>
          <w:numId w:val="1022"/>
        </w:numPr>
      </w:pPr>
      <w:hyperlink r:id="rId197">
        <w:r>
          <w:rPr>
            <w:rStyle w:val="Hyperlink"/>
          </w:rPr>
          <w:t xml:space="preserve">EBI CHEBI: (−)-beta-caryophyllene</w:t>
        </w:r>
      </w:hyperlink>
    </w:p>
    <w:p>
      <w:pPr>
        <w:pStyle w:val="Compact"/>
        <w:numPr>
          <w:ilvl w:val="0"/>
          <w:numId w:val="1022"/>
        </w:numPr>
      </w:pPr>
      <w:hyperlink r:id="rId21">
        <w:r>
          <w:rPr>
            <w:rStyle w:val="Hyperlink"/>
          </w:rPr>
          <w:t xml:space="preserve">Frontiers: Characterization of key genes responding to β-caryophyllene</w:t>
        </w:r>
      </w:hyperlink>
    </w:p>
    <w:p>
      <w:pPr>
        <w:pStyle w:val="Compact"/>
        <w:numPr>
          <w:ilvl w:val="0"/>
          <w:numId w:val="1022"/>
        </w:numPr>
      </w:pPr>
      <w:hyperlink r:id="rId39">
        <w:r>
          <w:rPr>
            <w:rStyle w:val="Hyperlink"/>
          </w:rPr>
          <w:t xml:space="preserve">MDPI: Multi-Target Protective Effects of β-Caryophyllene</w:t>
        </w:r>
      </w:hyperlink>
    </w:p>
    <w:p>
      <w:pPr>
        <w:pStyle w:val="Compact"/>
        <w:numPr>
          <w:ilvl w:val="0"/>
          <w:numId w:val="1022"/>
        </w:numPr>
      </w:pPr>
      <w:hyperlink r:id="rId40">
        <w:r>
          <w:rPr>
            <w:rStyle w:val="Hyperlink"/>
          </w:rPr>
          <w:t xml:space="preserve">PMC: Protective Effects in Chronic Inflammation</w:t>
        </w:r>
      </w:hyperlink>
    </w:p>
    <w:p>
      <w:pPr>
        <w:pStyle w:val="Compact"/>
        <w:numPr>
          <w:ilvl w:val="0"/>
          <w:numId w:val="1022"/>
        </w:numPr>
      </w:pPr>
      <w:hyperlink r:id="rId41">
        <w:r>
          <w:rPr>
            <w:rStyle w:val="Hyperlink"/>
          </w:rPr>
          <w:t xml:space="preserve">American Journal of Pathology: DSS-Induced Colitis Study</w:t>
        </w:r>
      </w:hyperlink>
    </w:p>
    <w:p>
      <w:pPr>
        <w:pStyle w:val="Compact"/>
        <w:numPr>
          <w:ilvl w:val="0"/>
          <w:numId w:val="1022"/>
        </w:numPr>
      </w:pPr>
      <w:hyperlink r:id="rId42">
        <w:r>
          <w:rPr>
            <w:rStyle w:val="Hyperlink"/>
          </w:rPr>
          <w:t xml:space="preserve">PMC: CB2/PPAR-γ Cross-Talk in CAIA</w:t>
        </w:r>
      </w:hyperlink>
    </w:p>
    <w:p>
      <w:pPr>
        <w:pStyle w:val="Compact"/>
        <w:numPr>
          <w:ilvl w:val="0"/>
          <w:numId w:val="1022"/>
        </w:numPr>
      </w:pPr>
      <w:hyperlink r:id="rId46">
        <w:r>
          <w:rPr>
            <w:rStyle w:val="Hyperlink"/>
          </w:rPr>
          <w:t xml:space="preserve">Cannabis and Cannabinoid Research: TRP Channel Study</w:t>
        </w:r>
      </w:hyperlink>
    </w:p>
    <w:p>
      <w:pPr>
        <w:pStyle w:val="Compact"/>
        <w:numPr>
          <w:ilvl w:val="0"/>
          <w:numId w:val="1022"/>
        </w:numPr>
      </w:pPr>
      <w:hyperlink r:id="rId47">
        <w:r>
          <w:rPr>
            <w:rStyle w:val="Hyperlink"/>
          </w:rPr>
          <w:t xml:space="preserve">PMC: Anti-Inflammatory Effect via TRPV1 and BDNF</w:t>
        </w:r>
      </w:hyperlink>
    </w:p>
    <w:p>
      <w:pPr>
        <w:pStyle w:val="Compact"/>
        <w:numPr>
          <w:ilvl w:val="0"/>
          <w:numId w:val="1022"/>
        </w:numPr>
      </w:pPr>
      <w:hyperlink r:id="rId48">
        <w:r>
          <w:rPr>
            <w:rStyle w:val="Hyperlink"/>
          </w:rPr>
          <w:t xml:space="preserve">PMC: TRPA1 Blockade Anxiolytic Effects</w:t>
        </w:r>
      </w:hyperlink>
    </w:p>
    <w:p>
      <w:pPr>
        <w:pStyle w:val="Compact"/>
        <w:numPr>
          <w:ilvl w:val="0"/>
          <w:numId w:val="1022"/>
        </w:numPr>
      </w:pPr>
      <w:hyperlink r:id="rId70">
        <w:r>
          <w:rPr>
            <w:rStyle w:val="Hyperlink"/>
          </w:rPr>
          <w:t xml:space="preserve">FDA CFSA: GRAS notification</w:t>
        </w:r>
      </w:hyperlink>
    </w:p>
    <w:p>
      <w:pPr>
        <w:pStyle w:val="Compact"/>
        <w:numPr>
          <w:ilvl w:val="0"/>
          <w:numId w:val="1022"/>
        </w:numPr>
      </w:pPr>
      <w:hyperlink r:id="rId63">
        <w:r>
          <w:rPr>
            <w:rStyle w:val="Hyperlink"/>
          </w:rPr>
          <w:t xml:space="preserve">Frontiers: Methamphetamine-Seeking Behavior</w:t>
        </w:r>
      </w:hyperlink>
    </w:p>
    <w:p>
      <w:pPr>
        <w:pStyle w:val="Compact"/>
        <w:numPr>
          <w:ilvl w:val="0"/>
          <w:numId w:val="1022"/>
        </w:numPr>
      </w:pPr>
      <w:hyperlink r:id="rId72">
        <w:r>
          <w:rPr>
            <w:rStyle w:val="Hyperlink"/>
          </w:rPr>
          <w:t xml:space="preserve">FEMA: β-Caryophyllene GRAS library</w:t>
        </w:r>
      </w:hyperlink>
    </w:p>
    <w:p>
      <w:pPr>
        <w:pStyle w:val="Compact"/>
        <w:numPr>
          <w:ilvl w:val="0"/>
          <w:numId w:val="1022"/>
        </w:numPr>
      </w:pPr>
      <w:hyperlink r:id="rId104">
        <w:r>
          <w:rPr>
            <w:rStyle w:val="Hyperlink"/>
          </w:rPr>
          <w:t xml:space="preserve">OENO One: Rotundone in wine</w:t>
        </w:r>
      </w:hyperlink>
    </w:p>
    <w:p>
      <w:pPr>
        <w:pStyle w:val="Compact"/>
        <w:numPr>
          <w:ilvl w:val="0"/>
          <w:numId w:val="1022"/>
        </w:numPr>
      </w:pPr>
      <w:hyperlink r:id="rId105">
        <w:r>
          <w:rPr>
            <w:rStyle w:val="Hyperlink"/>
          </w:rPr>
          <w:t xml:space="preserve">SevenFifty Daily: Rotundone science</w:t>
        </w:r>
      </w:hyperlink>
    </w:p>
    <w:p>
      <w:pPr>
        <w:pStyle w:val="Compact"/>
        <w:numPr>
          <w:ilvl w:val="0"/>
          <w:numId w:val="1022"/>
        </w:numPr>
      </w:pPr>
      <w:hyperlink r:id="rId106">
        <w:r>
          <w:rPr>
            <w:rStyle w:val="Hyperlink"/>
          </w:rPr>
          <w:t xml:space="preserve">ResearchGate: Rotundone in Grüner Veltliner</w:t>
        </w:r>
      </w:hyperlink>
    </w:p>
    <w:p>
      <w:pPr>
        <w:pStyle w:val="Compact"/>
        <w:numPr>
          <w:ilvl w:val="0"/>
          <w:numId w:val="1022"/>
        </w:numPr>
      </w:pPr>
      <w:hyperlink r:id="rId81">
        <w:r>
          <w:rPr>
            <w:rStyle w:val="Hyperlink"/>
          </w:rPr>
          <w:t xml:space="preserve">Oxford Academic: Terpene Biosynthesis in Hops</w:t>
        </w:r>
      </w:hyperlink>
    </w:p>
    <w:p>
      <w:pPr>
        <w:pStyle w:val="Compact"/>
        <w:numPr>
          <w:ilvl w:val="0"/>
          <w:numId w:val="1022"/>
        </w:numPr>
      </w:pPr>
      <w:hyperlink r:id="rId82">
        <w:r>
          <w:rPr>
            <w:rStyle w:val="Hyperlink"/>
          </w:rPr>
          <w:t xml:space="preserve">PMC: Hops genome terpene synthase family</w:t>
        </w:r>
      </w:hyperlink>
    </w:p>
    <w:p>
      <w:pPr>
        <w:pStyle w:val="Compact"/>
        <w:numPr>
          <w:ilvl w:val="0"/>
          <w:numId w:val="1022"/>
        </w:numPr>
      </w:pPr>
      <w:hyperlink r:id="rId27">
        <w:r>
          <w:rPr>
            <w:rStyle w:val="Hyperlink"/>
          </w:rPr>
          <w:t xml:space="preserve">Scentspiracy: Caryophyllene in perfumery</w:t>
        </w:r>
      </w:hyperlink>
    </w:p>
    <w:p>
      <w:pPr>
        <w:pStyle w:val="Compact"/>
        <w:numPr>
          <w:ilvl w:val="0"/>
          <w:numId w:val="1022"/>
        </w:numPr>
      </w:pPr>
      <w:hyperlink r:id="rId116">
        <w:r>
          <w:rPr>
            <w:rStyle w:val="Hyperlink"/>
          </w:rPr>
          <w:t xml:space="preserve">Good Scents Company: Caryophyllene profile</w:t>
        </w:r>
      </w:hyperlink>
    </w:p>
    <w:p>
      <w:pPr>
        <w:pStyle w:val="Compact"/>
        <w:numPr>
          <w:ilvl w:val="0"/>
          <w:numId w:val="1022"/>
        </w:numPr>
      </w:pPr>
      <w:hyperlink r:id="rId53">
        <w:r>
          <w:rPr>
            <w:rStyle w:val="Hyperlink"/>
          </w:rPr>
          <w:t xml:space="preserve">PubMed: Opioid receptor involvement in BCP</w:t>
        </w:r>
      </w:hyperlink>
    </w:p>
    <w:p>
      <w:pPr>
        <w:pStyle w:val="Compact"/>
        <w:numPr>
          <w:ilvl w:val="0"/>
          <w:numId w:val="1022"/>
        </w:numPr>
      </w:pPr>
      <w:hyperlink r:id="rId54">
        <w:r>
          <w:rPr>
            <w:rStyle w:val="Hyperlink"/>
          </w:rPr>
          <w:t xml:space="preserve">Nature: Opioid-sparing cannabinoids meta-analysis</w:t>
        </w:r>
      </w:hyperlink>
    </w:p>
    <w:p>
      <w:pPr>
        <w:pStyle w:val="Compact"/>
        <w:numPr>
          <w:ilvl w:val="0"/>
          <w:numId w:val="1022"/>
        </w:numPr>
      </w:pPr>
      <w:hyperlink r:id="rId198">
        <w:r>
          <w:rPr>
            <w:rStyle w:val="Hyperlink"/>
          </w:rPr>
          <w:t xml:space="preserve">PMC: Anxiety therapeutic interventions</w:t>
        </w:r>
      </w:hyperlink>
    </w:p>
    <w:p>
      <w:pPr>
        <w:pStyle w:val="Compact"/>
        <w:numPr>
          <w:ilvl w:val="0"/>
          <w:numId w:val="1022"/>
        </w:numPr>
      </w:pPr>
      <w:hyperlink r:id="rId199">
        <w:r>
          <w:rPr>
            <w:rStyle w:val="Hyperlink"/>
          </w:rPr>
          <w:t xml:space="preserve">PubMed: Anxiety/depression in mice</w:t>
        </w:r>
      </w:hyperlink>
    </w:p>
    <w:p>
      <w:pPr>
        <w:pStyle w:val="Compact"/>
        <w:numPr>
          <w:ilvl w:val="0"/>
          <w:numId w:val="1022"/>
        </w:numPr>
      </w:pPr>
      <w:hyperlink r:id="rId169">
        <w:r>
          <w:rPr>
            <w:rStyle w:val="Hyperlink"/>
          </w:rPr>
          <w:t xml:space="preserve">PMC: Bioavailability with SEDDS formulation</w:t>
        </w:r>
      </w:hyperlink>
    </w:p>
    <w:p>
      <w:pPr>
        <w:pStyle w:val="Compact"/>
        <w:numPr>
          <w:ilvl w:val="0"/>
          <w:numId w:val="1022"/>
        </w:numPr>
      </w:pPr>
      <w:hyperlink r:id="rId170">
        <w:r>
          <w:rPr>
            <w:rStyle w:val="Hyperlink"/>
          </w:rPr>
          <w:t xml:space="preserve">PubMed: Cyclodextrin pharmacokinetics</w:t>
        </w:r>
      </w:hyperlink>
    </w:p>
    <w:p>
      <w:pPr>
        <w:pStyle w:val="Compact"/>
        <w:numPr>
          <w:ilvl w:val="0"/>
          <w:numId w:val="1022"/>
        </w:numPr>
      </w:pPr>
      <w:hyperlink r:id="rId155">
        <w:r>
          <w:rPr>
            <w:rStyle w:val="Hyperlink"/>
          </w:rPr>
          <w:t xml:space="preserve">Biotechnology for Biofuels: Biosynthesis with novel synthase</w:t>
        </w:r>
      </w:hyperlink>
    </w:p>
    <w:p>
      <w:pPr>
        <w:pStyle w:val="Compact"/>
        <w:numPr>
          <w:ilvl w:val="0"/>
          <w:numId w:val="1022"/>
        </w:numPr>
      </w:pPr>
      <w:hyperlink r:id="rId156">
        <w:r>
          <w:rPr>
            <w:rStyle w:val="Hyperlink"/>
          </w:rPr>
          <w:t xml:space="preserve">ScienceDirect: E. coli biofuel production</w:t>
        </w:r>
      </w:hyperlink>
    </w:p>
    <w:p>
      <w:pPr>
        <w:pStyle w:val="Compact"/>
        <w:numPr>
          <w:ilvl w:val="0"/>
          <w:numId w:val="1022"/>
        </w:numPr>
      </w:pPr>
      <w:hyperlink r:id="rId184">
        <w:r>
          <w:rPr>
            <w:rStyle w:val="Hyperlink"/>
          </w:rPr>
          <w:t xml:space="preserve">Frontiers: Entourage effect in cannabis</w:t>
        </w:r>
      </w:hyperlink>
    </w:p>
    <w:p>
      <w:pPr>
        <w:pStyle w:val="Compact"/>
        <w:numPr>
          <w:ilvl w:val="0"/>
          <w:numId w:val="1022"/>
        </w:numPr>
      </w:pPr>
      <w:hyperlink r:id="rId185">
        <w:r>
          <w:rPr>
            <w:rStyle w:val="Hyperlink"/>
          </w:rPr>
          <w:t xml:space="preserve">Scientific Reports: Cannabis terpenes and cannabinoid activity</w:t>
        </w:r>
      </w:hyperlink>
    </w:p>
    <w:p>
      <w:pPr>
        <w:pStyle w:val="Compact"/>
        <w:numPr>
          <w:ilvl w:val="0"/>
          <w:numId w:val="1022"/>
        </w:numPr>
      </w:pPr>
      <w:hyperlink r:id="rId178">
        <w:r>
          <w:rPr>
            <w:rStyle w:val="Hyperlink"/>
          </w:rPr>
          <w:t xml:space="preserve">PMC: CBD and BCP synergistic analgesia</w:t>
        </w:r>
      </w:hyperlink>
    </w:p>
    <w:p>
      <w:pPr>
        <w:pStyle w:val="Compact"/>
        <w:numPr>
          <w:ilvl w:val="0"/>
          <w:numId w:val="1022"/>
        </w:numPr>
      </w:pPr>
      <w:hyperlink r:id="rId146">
        <w:r>
          <w:rPr>
            <w:rStyle w:val="Hyperlink"/>
          </w:rPr>
          <w:t xml:space="preserve">Wiley: Plant competition and allelopathy</w:t>
        </w:r>
      </w:hyperlink>
    </w:p>
    <w:p>
      <w:pPr>
        <w:pStyle w:val="Compact"/>
        <w:numPr>
          <w:ilvl w:val="0"/>
          <w:numId w:val="1022"/>
        </w:numPr>
      </w:pPr>
      <w:hyperlink r:id="rId147">
        <w:r>
          <w:rPr>
            <w:rStyle w:val="Hyperlink"/>
          </w:rPr>
          <w:t xml:space="preserve">MDPI: Multitrophic interactions via VOCs</w:t>
        </w:r>
      </w:hyperlink>
    </w:p>
    <w:p>
      <w:pPr>
        <w:pStyle w:val="Compact"/>
        <w:numPr>
          <w:ilvl w:val="0"/>
          <w:numId w:val="1022"/>
        </w:numPr>
      </w:pPr>
      <w:hyperlink r:id="rId148">
        <w:r>
          <w:rPr>
            <w:rStyle w:val="Hyperlink"/>
          </w:rPr>
          <w:t xml:space="preserve">PMC: Forest VOCs and human health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β-Caryophyllene Monograph</w:t>
      </w:r>
      <w:r>
        <w:br/>
      </w:r>
      <w:r>
        <w:rPr>
          <w:b/>
          <w:bCs/>
        </w:rPr>
        <w:t xml:space="preserve">Prepared for Terpene Pre-Loading Cannabis Knowledge Base</w:t>
      </w:r>
      <w:r>
        <w:br/>
      </w:r>
      <w:r>
        <w:rPr>
          <w:b/>
          <w:bCs/>
        </w:rPr>
        <w:t xml:space="preserve">Research compilation: March 15, 2026</w:t>
      </w:r>
    </w:p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1" Target="https://academic.oup.com/plphys/article/148/3/1254/6107567" TargetMode="External" /><Relationship Type="http://schemas.openxmlformats.org/officeDocument/2006/relationships/hyperlink" Id="rId19" Target="https://academic.oup.com/plphys/article/184/1/130/6117797" TargetMode="External" /><Relationship Type="http://schemas.openxmlformats.org/officeDocument/2006/relationships/hyperlink" Id="rId41" Target="https://ajp.amjpathol.org/article/S0002-9440(10)00177-X/fulltext" TargetMode="External" /><Relationship Type="http://schemas.openxmlformats.org/officeDocument/2006/relationships/hyperlink" Id="rId155" Target="https://biotechnologyforbiofuels.biomedcentral.com/articles/10.1186/s13068-022-02136-8" TargetMode="External" /><Relationship Type="http://schemas.openxmlformats.org/officeDocument/2006/relationships/hyperlink" Id="rId115" Target="https://consolidated-chemical.com/" TargetMode="External" /><Relationship Type="http://schemas.openxmlformats.org/officeDocument/2006/relationships/hyperlink" Id="rId105" Target="https://daily.sevenfifty.com/the-science-of-rotundone-in-wine/" TargetMode="External" /><Relationship Type="http://schemas.openxmlformats.org/officeDocument/2006/relationships/hyperlink" Id="rId80" Target="https://earthynow.com/beta-caryophyllene-the-peppery-terpene/" TargetMode="External" /><Relationship Type="http://schemas.openxmlformats.org/officeDocument/2006/relationships/hyperlink" Id="rId78" Target="https://en.wikipedia.org/wiki/Caryophyllene" TargetMode="External" /><Relationship Type="http://schemas.openxmlformats.org/officeDocument/2006/relationships/hyperlink" Id="rId135" Target="https://en.wikipedia.org/wiki/Copaiba" TargetMode="External" /><Relationship Type="http://schemas.openxmlformats.org/officeDocument/2006/relationships/hyperlink" Id="rId125" Target="https://en.wikipedia.org/wiki/Garam_masala" TargetMode="External" /><Relationship Type="http://schemas.openxmlformats.org/officeDocument/2006/relationships/hyperlink" Id="rId94" Target="https://en.wikipedia.org/wiki/Humulene" TargetMode="External" /><Relationship Type="http://schemas.openxmlformats.org/officeDocument/2006/relationships/hyperlink" Id="rId70" Target="https://hfpappexternal.fda.gov/scripts/fdcc/index.cfm?set=FoodSubstances&amp;id=CARYOPHYLLENE" TargetMode="External" /><Relationship Type="http://schemas.openxmlformats.org/officeDocument/2006/relationships/hyperlink" Id="rId18" Target="https://journals.plos.org/plosone/article?id=10.1371/journal.pone.0173911" TargetMode="External" /><Relationship Type="http://schemas.openxmlformats.org/officeDocument/2006/relationships/hyperlink" Id="rId198" Target="https://journals.sagepub.com/doi/full/10.1177/1934578X20962229" TargetMode="External" /><Relationship Type="http://schemas.openxmlformats.org/officeDocument/2006/relationships/hyperlink" Id="rId172" Target="https://link.springer.com/article/10.1007/s40203-025-00392-8" TargetMode="External" /><Relationship Type="http://schemas.openxmlformats.org/officeDocument/2006/relationships/hyperlink" Id="rId104" Target="https://oeno-one.eu/article/view/2947" TargetMode="External" /><Relationship Type="http://schemas.openxmlformats.org/officeDocument/2006/relationships/hyperlink" Id="rId146" Target="https://onlinelibrary.wiley.com/doi/10.1111/pce.14010" TargetMode="External" /><Relationship Type="http://schemas.openxmlformats.org/officeDocument/2006/relationships/hyperlink" Id="rId82" Target="https://pmc.ncbi.nlm.nih.gov/articles/PMC10214682/" TargetMode="External" /><Relationship Type="http://schemas.openxmlformats.org/officeDocument/2006/relationships/hyperlink" Id="rId184" Target="https://pmc.ncbi.nlm.nih.gov/articles/PMC10452568/" TargetMode="External" /><Relationship Type="http://schemas.openxmlformats.org/officeDocument/2006/relationships/hyperlink" Id="rId20" Target="https://pmc.ncbi.nlm.nih.gov/articles/PMC12256043/" TargetMode="External" /><Relationship Type="http://schemas.openxmlformats.org/officeDocument/2006/relationships/hyperlink" Id="rId48" Target="https://pmc.ncbi.nlm.nih.gov/articles/PMC4241094/" TargetMode="External" /><Relationship Type="http://schemas.openxmlformats.org/officeDocument/2006/relationships/hyperlink" Id="rId134" Target="https://pmc.ncbi.nlm.nih.gov/articles/PMC5282428/" TargetMode="External" /><Relationship Type="http://schemas.openxmlformats.org/officeDocument/2006/relationships/hyperlink" Id="rId42" Target="https://pmc.ncbi.nlm.nih.gov/articles/PMC6723248/" TargetMode="External" /><Relationship Type="http://schemas.openxmlformats.org/officeDocument/2006/relationships/hyperlink" Id="rId29" Target="https://pmc.ncbi.nlm.nih.gov/articles/PMC7179107/" TargetMode="External" /><Relationship Type="http://schemas.openxmlformats.org/officeDocument/2006/relationships/hyperlink" Id="rId148" Target="https://pmc.ncbi.nlm.nih.gov/articles/PMC7559006/" TargetMode="External" /><Relationship Type="http://schemas.openxmlformats.org/officeDocument/2006/relationships/hyperlink" Id="rId95" Target="https://pmc.ncbi.nlm.nih.gov/articles/PMC7603190/" TargetMode="External" /><Relationship Type="http://schemas.openxmlformats.org/officeDocument/2006/relationships/hyperlink" Id="rId40" Target="https://pmc.ncbi.nlm.nih.gov/articles/PMC7692661/" TargetMode="External" /><Relationship Type="http://schemas.openxmlformats.org/officeDocument/2006/relationships/hyperlink" Id="rId47" Target="https://pmc.ncbi.nlm.nih.gov/articles/PMC8998979/" TargetMode="External" /><Relationship Type="http://schemas.openxmlformats.org/officeDocument/2006/relationships/hyperlink" Id="rId157" Target="https://pmc.ncbi.nlm.nih.gov/articles/PMC9040381/" TargetMode="External" /><Relationship Type="http://schemas.openxmlformats.org/officeDocument/2006/relationships/hyperlink" Id="rId169" Target="https://pmc.ncbi.nlm.nih.gov/articles/PMC9104399/" TargetMode="External" /><Relationship Type="http://schemas.openxmlformats.org/officeDocument/2006/relationships/hyperlink" Id="rId178" Target="https://pmc.ncbi.nlm.nih.gov/articles/PMC9779834/" TargetMode="External" /><Relationship Type="http://schemas.openxmlformats.org/officeDocument/2006/relationships/hyperlink" Id="rId187" Target="https://projectcbd.org/science/terpenes-the-entourage-effect/" TargetMode="External" /><Relationship Type="http://schemas.openxmlformats.org/officeDocument/2006/relationships/hyperlink" Id="rId195" Target="https://pubchem.ncbi.nlm.nih.gov/compound/Caryophyllene" TargetMode="External" /><Relationship Type="http://schemas.openxmlformats.org/officeDocument/2006/relationships/hyperlink" Id="rId107" Target="https://pubmed.ncbi.nlm.nih.gov/18461962/" TargetMode="External" /><Relationship Type="http://schemas.openxmlformats.org/officeDocument/2006/relationships/hyperlink" Id="rId194" Target="https://pubmed.ncbi.nlm.nih.gov/18574142/" TargetMode="External" /><Relationship Type="http://schemas.openxmlformats.org/officeDocument/2006/relationships/hyperlink" Id="rId53" Target="https://pubmed.ncbi.nlm.nih.gov/23138934/" TargetMode="External" /><Relationship Type="http://schemas.openxmlformats.org/officeDocument/2006/relationships/hyperlink" Id="rId170" Target="https://pubmed.ncbi.nlm.nih.gov/23598076/" TargetMode="External" /><Relationship Type="http://schemas.openxmlformats.org/officeDocument/2006/relationships/hyperlink" Id="rId199" Target="https://pubmed.ncbi.nlm.nih.gov/24930711/" TargetMode="External" /><Relationship Type="http://schemas.openxmlformats.org/officeDocument/2006/relationships/hyperlink" Id="rId26" Target="https://thegoodscentscompany.com/data/rw1060851.html" TargetMode="External" /><Relationship Type="http://schemas.openxmlformats.org/officeDocument/2006/relationships/hyperlink" Id="rId196" Target="https://webbook.nist.gov/cgi/cbook.cgi?ID=C87445" TargetMode="External" /><Relationship Type="http://schemas.openxmlformats.org/officeDocument/2006/relationships/hyperlink" Id="rId149" Target="https://www.adirondackcouncil.org/breathe-deep-how-forests-and-phytoncides-boost-your-health/" TargetMode="External" /><Relationship Type="http://schemas.openxmlformats.org/officeDocument/2006/relationships/hyperlink" Id="rId108" Target="https://www.awri.com.au/research_and_development/2017-2025-rde-plan-projects/project-4-4-4/" TargetMode="External" /><Relationship Type="http://schemas.openxmlformats.org/officeDocument/2006/relationships/hyperlink" Id="rId197" Target="https://www.ebi.ac.uk/chebi/searchId.do?chebiId=CHEBI%3A10357" TargetMode="External" /><Relationship Type="http://schemas.openxmlformats.org/officeDocument/2006/relationships/hyperlink" Id="rId138" Target="https://www.fao.org/newsroom/story/Copaiba-The-miracle-medicinal-tree-in-Bolivia/en" TargetMode="External" /><Relationship Type="http://schemas.openxmlformats.org/officeDocument/2006/relationships/hyperlink" Id="rId72" Target="https://www.femaflavor.org/flavor-library/beta-caryophyllene" TargetMode="External" /><Relationship Type="http://schemas.openxmlformats.org/officeDocument/2006/relationships/hyperlink" Id="rId136" Target="https://www.florihana.com/en/blog/copaiba-an-aromatic-treasure-from-brazil-n58" TargetMode="External" /><Relationship Type="http://schemas.openxmlformats.org/officeDocument/2006/relationships/hyperlink" Id="rId63" Target="https://www.frontiersin.org/journals/pharmacology/articles/10.3389/fphar.2021.722476/full" TargetMode="External" /><Relationship Type="http://schemas.openxmlformats.org/officeDocument/2006/relationships/hyperlink" Id="rId145" Target="https://www.frontiersin.org/journals/plant-science/articles/10.3389/fpls.2016.00594/full" TargetMode="External" /><Relationship Type="http://schemas.openxmlformats.org/officeDocument/2006/relationships/hyperlink" Id="rId21" Target="https://www.frontiersin.org/journals/plant-science/articles/10.3389/fpls.2023.1295779/full" TargetMode="External" /><Relationship Type="http://schemas.openxmlformats.org/officeDocument/2006/relationships/hyperlink" Id="rId83" Target="https://www.gaiagarden.com/products/copaiba-copaifera-officinalis-essential-oil" TargetMode="External" /><Relationship Type="http://schemas.openxmlformats.org/officeDocument/2006/relationships/hyperlink" Id="rId127" Target="https://www.indianhealthyrecipes.com/punjabi-garam-masala-powder-recipe/" TargetMode="External" /><Relationship Type="http://schemas.openxmlformats.org/officeDocument/2006/relationships/hyperlink" Id="rId79" Target="https://www.leafly.com/news/science-tech/caryophyllene-terpene" TargetMode="External" /><Relationship Type="http://schemas.openxmlformats.org/officeDocument/2006/relationships/hyperlink" Id="rId46" Target="https://www.liebertpub.com/doi/10.1089/can.2019.0099" TargetMode="External" /><Relationship Type="http://schemas.openxmlformats.org/officeDocument/2006/relationships/hyperlink" Id="rId39" Target="https://www.mdpi.com/1422-0067/26/13/6027" TargetMode="External" /><Relationship Type="http://schemas.openxmlformats.org/officeDocument/2006/relationships/hyperlink" Id="rId147" Target="https://www.mdpi.com/2075-4450/15/8/572" TargetMode="External" /><Relationship Type="http://schemas.openxmlformats.org/officeDocument/2006/relationships/hyperlink" Id="rId186" Target="https://www.mdpi.com/2227-9059/11/8/2323" TargetMode="External" /><Relationship Type="http://schemas.openxmlformats.org/officeDocument/2006/relationships/hyperlink" Id="rId159" Target="https://www.mdpi.com/2311-5637/10/1/60" TargetMode="External" /><Relationship Type="http://schemas.openxmlformats.org/officeDocument/2006/relationships/hyperlink" Id="rId54" Target="https://www.nature.com/articles/npp201751" TargetMode="External" /><Relationship Type="http://schemas.openxmlformats.org/officeDocument/2006/relationships/hyperlink" Id="rId55" Target="https://www.nature.com/articles/s41386-022-01322-4" TargetMode="External" /><Relationship Type="http://schemas.openxmlformats.org/officeDocument/2006/relationships/hyperlink" Id="rId185" Target="https://www.nature.com/articles/s41598-021-87740-8" TargetMode="External" /><Relationship Type="http://schemas.openxmlformats.org/officeDocument/2006/relationships/hyperlink" Id="rId137" Target="https://www.organicfacts.net/health-benefits/essential-oils/copaiba-essential-oil.html" TargetMode="External" /><Relationship Type="http://schemas.openxmlformats.org/officeDocument/2006/relationships/hyperlink" Id="rId114" Target="https://www.perfumersworld.com/view.php?pro_id=3WS00089" TargetMode="External" /><Relationship Type="http://schemas.openxmlformats.org/officeDocument/2006/relationships/hyperlink" Id="rId32" Target="https://www.pnas.org/doi/10.1073/pnas.0803601105" TargetMode="External" /><Relationship Type="http://schemas.openxmlformats.org/officeDocument/2006/relationships/hyperlink" Id="rId106" Target="https://www.researchgate.net/publication/277148390_The_sesquiterpene_rotundone_is_an_impact_aroma_in_Gruener_Veltliner_and_other_peppery_wines" TargetMode="External" /><Relationship Type="http://schemas.openxmlformats.org/officeDocument/2006/relationships/hyperlink" Id="rId96" Target="https://www.researchgate.net/publication/5795422_Potentiating_effect_of_beta-caryophyllene_on_anticancer_activity_of_alpha-humulene_isocaryophyllene_and_paclitaxel" TargetMode="External" /><Relationship Type="http://schemas.openxmlformats.org/officeDocument/2006/relationships/hyperlink" Id="rId27" Target="https://www.scentspiracy.com/fragrance-ingredients/p/caryophyllene" TargetMode="External" /><Relationship Type="http://schemas.openxmlformats.org/officeDocument/2006/relationships/hyperlink" Id="rId71" Target="https://www.sciencedirect.com/science/article/abs/pii/S0195666322002513" TargetMode="External" /><Relationship Type="http://schemas.openxmlformats.org/officeDocument/2006/relationships/hyperlink" Id="rId171" Target="https://www.sciencedirect.com/science/article/abs/pii/S0360355221000234" TargetMode="External" /><Relationship Type="http://schemas.openxmlformats.org/officeDocument/2006/relationships/hyperlink" Id="rId156" Target="https://www.sciencedirect.com/science/article/abs/pii/S0960148116305924" TargetMode="External" /><Relationship Type="http://schemas.openxmlformats.org/officeDocument/2006/relationships/hyperlink" Id="rId158" Target="https://www.sciencedirect.com/science/article/abs/pii/S2468823123003863" TargetMode="External" /><Relationship Type="http://schemas.openxmlformats.org/officeDocument/2006/relationships/hyperlink" Id="rId56" Target="https://www.sciencedirect.com/science/article/pii/S0924977X13003027" TargetMode="External" /><Relationship Type="http://schemas.openxmlformats.org/officeDocument/2006/relationships/hyperlink" Id="rId28" Target="https://www.tandfonline.com/doi/full/10.1080/10412905.2025.2537235" TargetMode="External" /><Relationship Type="http://schemas.openxmlformats.org/officeDocument/2006/relationships/hyperlink" Id="rId116" Target="https://www.thegoodscentscompany.com/data/rw1060851.html" TargetMode="External" /><Relationship Type="http://schemas.openxmlformats.org/officeDocument/2006/relationships/hyperlink" Id="rId126" Target="https://www.thespicehouse.com/products/garam-masal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academic.oup.com/plphys/article/148/3/1254/6107567" TargetMode="External" /><Relationship Type="http://schemas.openxmlformats.org/officeDocument/2006/relationships/hyperlink" Id="rId19" Target="https://academic.oup.com/plphys/article/184/1/130/6117797" TargetMode="External" /><Relationship Type="http://schemas.openxmlformats.org/officeDocument/2006/relationships/hyperlink" Id="rId41" Target="https://ajp.amjpathol.org/article/S0002-9440(10)00177-X/fulltext" TargetMode="External" /><Relationship Type="http://schemas.openxmlformats.org/officeDocument/2006/relationships/hyperlink" Id="rId155" Target="https://biotechnologyforbiofuels.biomedcentral.com/articles/10.1186/s13068-022-02136-8" TargetMode="External" /><Relationship Type="http://schemas.openxmlformats.org/officeDocument/2006/relationships/hyperlink" Id="rId115" Target="https://consolidated-chemical.com/" TargetMode="External" /><Relationship Type="http://schemas.openxmlformats.org/officeDocument/2006/relationships/hyperlink" Id="rId105" Target="https://daily.sevenfifty.com/the-science-of-rotundone-in-wine/" TargetMode="External" /><Relationship Type="http://schemas.openxmlformats.org/officeDocument/2006/relationships/hyperlink" Id="rId80" Target="https://earthynow.com/beta-caryophyllene-the-peppery-terpene/" TargetMode="External" /><Relationship Type="http://schemas.openxmlformats.org/officeDocument/2006/relationships/hyperlink" Id="rId78" Target="https://en.wikipedia.org/wiki/Caryophyllene" TargetMode="External" /><Relationship Type="http://schemas.openxmlformats.org/officeDocument/2006/relationships/hyperlink" Id="rId135" Target="https://en.wikipedia.org/wiki/Copaiba" TargetMode="External" /><Relationship Type="http://schemas.openxmlformats.org/officeDocument/2006/relationships/hyperlink" Id="rId125" Target="https://en.wikipedia.org/wiki/Garam_masala" TargetMode="External" /><Relationship Type="http://schemas.openxmlformats.org/officeDocument/2006/relationships/hyperlink" Id="rId94" Target="https://en.wikipedia.org/wiki/Humulene" TargetMode="External" /><Relationship Type="http://schemas.openxmlformats.org/officeDocument/2006/relationships/hyperlink" Id="rId70" Target="https://hfpappexternal.fda.gov/scripts/fdcc/index.cfm?set=FoodSubstances&amp;id=CARYOPHYLLENE" TargetMode="External" /><Relationship Type="http://schemas.openxmlformats.org/officeDocument/2006/relationships/hyperlink" Id="rId18" Target="https://journals.plos.org/plosone/article?id=10.1371/journal.pone.0173911" TargetMode="External" /><Relationship Type="http://schemas.openxmlformats.org/officeDocument/2006/relationships/hyperlink" Id="rId198" Target="https://journals.sagepub.com/doi/full/10.1177/1934578X20962229" TargetMode="External" /><Relationship Type="http://schemas.openxmlformats.org/officeDocument/2006/relationships/hyperlink" Id="rId172" Target="https://link.springer.com/article/10.1007/s40203-025-00392-8" TargetMode="External" /><Relationship Type="http://schemas.openxmlformats.org/officeDocument/2006/relationships/hyperlink" Id="rId104" Target="https://oeno-one.eu/article/view/2947" TargetMode="External" /><Relationship Type="http://schemas.openxmlformats.org/officeDocument/2006/relationships/hyperlink" Id="rId146" Target="https://onlinelibrary.wiley.com/doi/10.1111/pce.14010" TargetMode="External" /><Relationship Type="http://schemas.openxmlformats.org/officeDocument/2006/relationships/hyperlink" Id="rId82" Target="https://pmc.ncbi.nlm.nih.gov/articles/PMC10214682/" TargetMode="External" /><Relationship Type="http://schemas.openxmlformats.org/officeDocument/2006/relationships/hyperlink" Id="rId184" Target="https://pmc.ncbi.nlm.nih.gov/articles/PMC10452568/" TargetMode="External" /><Relationship Type="http://schemas.openxmlformats.org/officeDocument/2006/relationships/hyperlink" Id="rId20" Target="https://pmc.ncbi.nlm.nih.gov/articles/PMC12256043/" TargetMode="External" /><Relationship Type="http://schemas.openxmlformats.org/officeDocument/2006/relationships/hyperlink" Id="rId48" Target="https://pmc.ncbi.nlm.nih.gov/articles/PMC4241094/" TargetMode="External" /><Relationship Type="http://schemas.openxmlformats.org/officeDocument/2006/relationships/hyperlink" Id="rId134" Target="https://pmc.ncbi.nlm.nih.gov/articles/PMC5282428/" TargetMode="External" /><Relationship Type="http://schemas.openxmlformats.org/officeDocument/2006/relationships/hyperlink" Id="rId42" Target="https://pmc.ncbi.nlm.nih.gov/articles/PMC6723248/" TargetMode="External" /><Relationship Type="http://schemas.openxmlformats.org/officeDocument/2006/relationships/hyperlink" Id="rId29" Target="https://pmc.ncbi.nlm.nih.gov/articles/PMC7179107/" TargetMode="External" /><Relationship Type="http://schemas.openxmlformats.org/officeDocument/2006/relationships/hyperlink" Id="rId148" Target="https://pmc.ncbi.nlm.nih.gov/articles/PMC7559006/" TargetMode="External" /><Relationship Type="http://schemas.openxmlformats.org/officeDocument/2006/relationships/hyperlink" Id="rId95" Target="https://pmc.ncbi.nlm.nih.gov/articles/PMC7603190/" TargetMode="External" /><Relationship Type="http://schemas.openxmlformats.org/officeDocument/2006/relationships/hyperlink" Id="rId40" Target="https://pmc.ncbi.nlm.nih.gov/articles/PMC7692661/" TargetMode="External" /><Relationship Type="http://schemas.openxmlformats.org/officeDocument/2006/relationships/hyperlink" Id="rId47" Target="https://pmc.ncbi.nlm.nih.gov/articles/PMC8998979/" TargetMode="External" /><Relationship Type="http://schemas.openxmlformats.org/officeDocument/2006/relationships/hyperlink" Id="rId157" Target="https://pmc.ncbi.nlm.nih.gov/articles/PMC9040381/" TargetMode="External" /><Relationship Type="http://schemas.openxmlformats.org/officeDocument/2006/relationships/hyperlink" Id="rId169" Target="https://pmc.ncbi.nlm.nih.gov/articles/PMC9104399/" TargetMode="External" /><Relationship Type="http://schemas.openxmlformats.org/officeDocument/2006/relationships/hyperlink" Id="rId178" Target="https://pmc.ncbi.nlm.nih.gov/articles/PMC9779834/" TargetMode="External" /><Relationship Type="http://schemas.openxmlformats.org/officeDocument/2006/relationships/hyperlink" Id="rId187" Target="https://projectcbd.org/science/terpenes-the-entourage-effect/" TargetMode="External" /><Relationship Type="http://schemas.openxmlformats.org/officeDocument/2006/relationships/hyperlink" Id="rId195" Target="https://pubchem.ncbi.nlm.nih.gov/compound/Caryophyllene" TargetMode="External" /><Relationship Type="http://schemas.openxmlformats.org/officeDocument/2006/relationships/hyperlink" Id="rId107" Target="https://pubmed.ncbi.nlm.nih.gov/18461962/" TargetMode="External" /><Relationship Type="http://schemas.openxmlformats.org/officeDocument/2006/relationships/hyperlink" Id="rId194" Target="https://pubmed.ncbi.nlm.nih.gov/18574142/" TargetMode="External" /><Relationship Type="http://schemas.openxmlformats.org/officeDocument/2006/relationships/hyperlink" Id="rId53" Target="https://pubmed.ncbi.nlm.nih.gov/23138934/" TargetMode="External" /><Relationship Type="http://schemas.openxmlformats.org/officeDocument/2006/relationships/hyperlink" Id="rId170" Target="https://pubmed.ncbi.nlm.nih.gov/23598076/" TargetMode="External" /><Relationship Type="http://schemas.openxmlformats.org/officeDocument/2006/relationships/hyperlink" Id="rId199" Target="https://pubmed.ncbi.nlm.nih.gov/24930711/" TargetMode="External" /><Relationship Type="http://schemas.openxmlformats.org/officeDocument/2006/relationships/hyperlink" Id="rId26" Target="https://thegoodscentscompany.com/data/rw1060851.html" TargetMode="External" /><Relationship Type="http://schemas.openxmlformats.org/officeDocument/2006/relationships/hyperlink" Id="rId196" Target="https://webbook.nist.gov/cgi/cbook.cgi?ID=C87445" TargetMode="External" /><Relationship Type="http://schemas.openxmlformats.org/officeDocument/2006/relationships/hyperlink" Id="rId149" Target="https://www.adirondackcouncil.org/breathe-deep-how-forests-and-phytoncides-boost-your-health/" TargetMode="External" /><Relationship Type="http://schemas.openxmlformats.org/officeDocument/2006/relationships/hyperlink" Id="rId108" Target="https://www.awri.com.au/research_and_development/2017-2025-rde-plan-projects/project-4-4-4/" TargetMode="External" /><Relationship Type="http://schemas.openxmlformats.org/officeDocument/2006/relationships/hyperlink" Id="rId197" Target="https://www.ebi.ac.uk/chebi/searchId.do?chebiId=CHEBI%3A10357" TargetMode="External" /><Relationship Type="http://schemas.openxmlformats.org/officeDocument/2006/relationships/hyperlink" Id="rId138" Target="https://www.fao.org/newsroom/story/Copaiba-The-miracle-medicinal-tree-in-Bolivia/en" TargetMode="External" /><Relationship Type="http://schemas.openxmlformats.org/officeDocument/2006/relationships/hyperlink" Id="rId72" Target="https://www.femaflavor.org/flavor-library/beta-caryophyllene" TargetMode="External" /><Relationship Type="http://schemas.openxmlformats.org/officeDocument/2006/relationships/hyperlink" Id="rId136" Target="https://www.florihana.com/en/blog/copaiba-an-aromatic-treasure-from-brazil-n58" TargetMode="External" /><Relationship Type="http://schemas.openxmlformats.org/officeDocument/2006/relationships/hyperlink" Id="rId63" Target="https://www.frontiersin.org/journals/pharmacology/articles/10.3389/fphar.2021.722476/full" TargetMode="External" /><Relationship Type="http://schemas.openxmlformats.org/officeDocument/2006/relationships/hyperlink" Id="rId145" Target="https://www.frontiersin.org/journals/plant-science/articles/10.3389/fpls.2016.00594/full" TargetMode="External" /><Relationship Type="http://schemas.openxmlformats.org/officeDocument/2006/relationships/hyperlink" Id="rId21" Target="https://www.frontiersin.org/journals/plant-science/articles/10.3389/fpls.2023.1295779/full" TargetMode="External" /><Relationship Type="http://schemas.openxmlformats.org/officeDocument/2006/relationships/hyperlink" Id="rId83" Target="https://www.gaiagarden.com/products/copaiba-copaifera-officinalis-essential-oil" TargetMode="External" /><Relationship Type="http://schemas.openxmlformats.org/officeDocument/2006/relationships/hyperlink" Id="rId127" Target="https://www.indianhealthyrecipes.com/punjabi-garam-masala-powder-recipe/" TargetMode="External" /><Relationship Type="http://schemas.openxmlformats.org/officeDocument/2006/relationships/hyperlink" Id="rId79" Target="https://www.leafly.com/news/science-tech/caryophyllene-terpene" TargetMode="External" /><Relationship Type="http://schemas.openxmlformats.org/officeDocument/2006/relationships/hyperlink" Id="rId46" Target="https://www.liebertpub.com/doi/10.1089/can.2019.0099" TargetMode="External" /><Relationship Type="http://schemas.openxmlformats.org/officeDocument/2006/relationships/hyperlink" Id="rId39" Target="https://www.mdpi.com/1422-0067/26/13/6027" TargetMode="External" /><Relationship Type="http://schemas.openxmlformats.org/officeDocument/2006/relationships/hyperlink" Id="rId147" Target="https://www.mdpi.com/2075-4450/15/8/572" TargetMode="External" /><Relationship Type="http://schemas.openxmlformats.org/officeDocument/2006/relationships/hyperlink" Id="rId186" Target="https://www.mdpi.com/2227-9059/11/8/2323" TargetMode="External" /><Relationship Type="http://schemas.openxmlformats.org/officeDocument/2006/relationships/hyperlink" Id="rId159" Target="https://www.mdpi.com/2311-5637/10/1/60" TargetMode="External" /><Relationship Type="http://schemas.openxmlformats.org/officeDocument/2006/relationships/hyperlink" Id="rId54" Target="https://www.nature.com/articles/npp201751" TargetMode="External" /><Relationship Type="http://schemas.openxmlformats.org/officeDocument/2006/relationships/hyperlink" Id="rId55" Target="https://www.nature.com/articles/s41386-022-01322-4" TargetMode="External" /><Relationship Type="http://schemas.openxmlformats.org/officeDocument/2006/relationships/hyperlink" Id="rId185" Target="https://www.nature.com/articles/s41598-021-87740-8" TargetMode="External" /><Relationship Type="http://schemas.openxmlformats.org/officeDocument/2006/relationships/hyperlink" Id="rId137" Target="https://www.organicfacts.net/health-benefits/essential-oils/copaiba-essential-oil.html" TargetMode="External" /><Relationship Type="http://schemas.openxmlformats.org/officeDocument/2006/relationships/hyperlink" Id="rId114" Target="https://www.perfumersworld.com/view.php?pro_id=3WS00089" TargetMode="External" /><Relationship Type="http://schemas.openxmlformats.org/officeDocument/2006/relationships/hyperlink" Id="rId32" Target="https://www.pnas.org/doi/10.1073/pnas.0803601105" TargetMode="External" /><Relationship Type="http://schemas.openxmlformats.org/officeDocument/2006/relationships/hyperlink" Id="rId106" Target="https://www.researchgate.net/publication/277148390_The_sesquiterpene_rotundone_is_an_impact_aroma_in_Gruener_Veltliner_and_other_peppery_wines" TargetMode="External" /><Relationship Type="http://schemas.openxmlformats.org/officeDocument/2006/relationships/hyperlink" Id="rId96" Target="https://www.researchgate.net/publication/5795422_Potentiating_effect_of_beta-caryophyllene_on_anticancer_activity_of_alpha-humulene_isocaryophyllene_and_paclitaxel" TargetMode="External" /><Relationship Type="http://schemas.openxmlformats.org/officeDocument/2006/relationships/hyperlink" Id="rId27" Target="https://www.scentspiracy.com/fragrance-ingredients/p/caryophyllene" TargetMode="External" /><Relationship Type="http://schemas.openxmlformats.org/officeDocument/2006/relationships/hyperlink" Id="rId71" Target="https://www.sciencedirect.com/science/article/abs/pii/S0195666322002513" TargetMode="External" /><Relationship Type="http://schemas.openxmlformats.org/officeDocument/2006/relationships/hyperlink" Id="rId171" Target="https://www.sciencedirect.com/science/article/abs/pii/S0360355221000234" TargetMode="External" /><Relationship Type="http://schemas.openxmlformats.org/officeDocument/2006/relationships/hyperlink" Id="rId156" Target="https://www.sciencedirect.com/science/article/abs/pii/S0960148116305924" TargetMode="External" /><Relationship Type="http://schemas.openxmlformats.org/officeDocument/2006/relationships/hyperlink" Id="rId158" Target="https://www.sciencedirect.com/science/article/abs/pii/S2468823123003863" TargetMode="External" /><Relationship Type="http://schemas.openxmlformats.org/officeDocument/2006/relationships/hyperlink" Id="rId56" Target="https://www.sciencedirect.com/science/article/pii/S0924977X13003027" TargetMode="External" /><Relationship Type="http://schemas.openxmlformats.org/officeDocument/2006/relationships/hyperlink" Id="rId28" Target="https://www.tandfonline.com/doi/full/10.1080/10412905.2025.2537235" TargetMode="External" /><Relationship Type="http://schemas.openxmlformats.org/officeDocument/2006/relationships/hyperlink" Id="rId116" Target="https://www.thegoodscentscompany.com/data/rw1060851.html" TargetMode="External" /><Relationship Type="http://schemas.openxmlformats.org/officeDocument/2006/relationships/hyperlink" Id="rId126" Target="https://www.thespicehouse.com/products/garam-masal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2026-03-16T01:18:24Z</dcterms:created>
  <dcterms:modified xsi:type="dcterms:W3CDTF">2026-03-16T01:18:24Z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