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drawing>
          <wp:inline distT="0" distB="0" distL="0" distR="0">
            <wp:extent cx="6191250" cy="2324100"/>
            <wp:effectExtent t="0" r="0" b="0" l="0"/>
            <wp:docPr id="1" name="cover" descr="Cover image for β-Caryophyllene monograph" title="β-Caryophylle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4513"/>
          <w:spacing w:val="200"/>
          <w:sz w:val="28"/>
          <w:szCs w:val="28"/>
        </w:rPr>
        <w:t xml:space="preserve">TERPENE MONOGRAPH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Terpenes, With a Twist of Aromatherapy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Terpene Pre-Loading Knowledge Base</w:t>
      </w:r>
    </w:p>
    <w:p>
      <w:pPr>
        <w:spacing w:before="12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8B4513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COMPREHENSIVE β-CARYOPHYLLENE (BCP) MONOGRAPH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Research Report for Terpene Pre-Loading Project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Prepared:</w:t>
      </w:r>
      <w:r>
        <w:rPr>
          <w:rFonts w:ascii="Arial" w:cs="Arial" w:eastAsia="Arial" w:hAnsi="Arial"/>
          <w:sz w:val="22"/>
          <w:szCs w:val="22"/>
        </w:rPr>
        <w:t xml:space="preserve"> March 15, 2026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Scope:</w:t>
      </w:r>
      <w:r>
        <w:rPr>
          <w:rFonts w:ascii="Arial" w:cs="Arial" w:eastAsia="Arial" w:hAnsi="Arial"/>
          <w:sz w:val="22"/>
          <w:szCs w:val="22"/>
        </w:rPr>
        <w:t xml:space="preserve"> 15 comprehensive research domains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Sources:</w:t>
      </w:r>
      <w:r>
        <w:rPr>
          <w:rFonts w:ascii="Arial" w:cs="Arial" w:eastAsia="Arial" w:hAnsi="Arial"/>
          <w:sz w:val="22"/>
          <w:szCs w:val="22"/>
        </w:rPr>
        <w:t xml:space="preserve"> 100+ peer-reviewed studies, industry sources, and scientific databases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Publication Quality:</w:t>
      </w:r>
      <w:r>
        <w:rPr>
          <w:rFonts w:ascii="Arial" w:cs="Arial" w:eastAsia="Arial" w:hAnsi="Arial"/>
          <w:sz w:val="22"/>
          <w:szCs w:val="22"/>
        </w:rPr>
        <w:t xml:space="preserve"> Full citation support with author, year, journal, and numerical data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1: CHEMICAL IDENTITY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Molecular Structure and Nomenclature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IUPAC Name:</w:t>
      </w:r>
      <w:r>
        <w:rPr>
          <w:rFonts w:ascii="Arial" w:cs="Arial" w:eastAsia="Arial" w:hAnsi="Arial"/>
          <w:sz w:val="22"/>
          <w:szCs w:val="22"/>
        </w:rPr>
        <w:t xml:space="preserve"> Bicyclo[7.2.0]undec-4-ene, 4,11,11-trimethyl-8-methylene-, [1R-(1R*,4E,9S*)]-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C₁₅H₂₄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Weight:</w:t>
      </w:r>
      <w:r>
        <w:rPr>
          <w:rFonts w:ascii="Arial" w:cs="Arial" w:eastAsia="Arial" w:hAnsi="Arial"/>
          <w:sz w:val="22"/>
          <w:szCs w:val="22"/>
        </w:rPr>
        <w:t xml:space="preserve"> 204.35 g/mol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Class:</w:t>
      </w:r>
      <w:r>
        <w:rPr>
          <w:rFonts w:ascii="Arial" w:cs="Arial" w:eastAsia="Arial" w:hAnsi="Arial"/>
          <w:sz w:val="22"/>
          <w:szCs w:val="22"/>
        </w:rPr>
        <w:t xml:space="preserve"> Bicyclic sesquiterpene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CAS Number:</w:t>
      </w:r>
      <w:r>
        <w:rPr>
          <w:rFonts w:ascii="Arial" w:cs="Arial" w:eastAsia="Arial" w:hAnsi="Arial"/>
          <w:sz w:val="22"/>
          <w:szCs w:val="22"/>
        </w:rPr>
        <w:t xml:space="preserve"> 87-44-5 (for β-caryophyllene); 13877-93-5 (synthetic variant)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Unique Structural Features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β-Caryophyllene is remarkable for possessing two structural rarities in nature: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Cyclobutane ring</w:t>
      </w:r>
      <w:r>
        <w:rPr>
          <w:rFonts w:ascii="Arial" w:cs="Arial" w:eastAsia="Arial" w:hAnsi="Arial"/>
          <w:sz w:val="22"/>
          <w:szCs w:val="22"/>
        </w:rPr>
        <w:t xml:space="preserve"> — A four-membered carbon ring that is energetically unfavorable and rarely synthesized in biological systems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Trans-double bond in 9-membered ring</w:t>
      </w:r>
      <w:r>
        <w:rPr>
          <w:rFonts w:ascii="Arial" w:cs="Arial" w:eastAsia="Arial" w:hAnsi="Arial"/>
          <w:sz w:val="22"/>
          <w:szCs w:val="22"/>
        </w:rPr>
        <w:t xml:space="preserve"> — An unusual configuration providing both stability and biological activity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Stereoisomeric Forms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exists as multiple stereoisomers with distinct biological and sensory properties: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Stereochemistry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Natural Distribution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(−)-β-Caryophyllene (E-form)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1R,9S configuration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Most abundant in 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CB2 binding (Ki = 155 nM)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(+)-β-Caryophyllene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Enantiomer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Synthetic/minor natural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Weaker 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Cis-β-Caryophyllene (Isocaryophyllene)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180° ring rotation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Minor natural component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receptor affinity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9-epi-Caryophyllene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Epimeric at C9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Rare in 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characterization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Caryophyllene oxide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Oxidized form (epoxide)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Post-harvest formation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Drug-sniffing dog marker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(−)-β-caryophyllene</w:t>
      </w:r>
      <w:r>
        <w:rPr>
          <w:rFonts w:ascii="Arial" w:cs="Arial" w:eastAsia="Arial" w:hAnsi="Arial"/>
          <w:sz w:val="22"/>
          <w:szCs w:val="22"/>
        </w:rPr>
        <w:t xml:space="preserve"> form predominates in essential oils, particularly clove oil (*Syzygium aromaticum*), and is the therapeutically active isomer in most cannabis strains.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Physical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Boiling Point:</w:t>
      </w:r>
      <w:r>
        <w:rPr>
          <w:rFonts w:ascii="Arial" w:cs="Arial" w:eastAsia="Arial" w:hAnsi="Arial"/>
          <w:sz w:val="22"/>
          <w:szCs w:val="22"/>
        </w:rPr>
        <w:t xml:space="preserve"> 250°C (480°F)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Density (α-humulene proxy):</w:t>
      </w:r>
      <w:r>
        <w:rPr>
          <w:rFonts w:ascii="Arial" w:cs="Arial" w:eastAsia="Arial" w:hAnsi="Arial"/>
          <w:sz w:val="22"/>
          <w:szCs w:val="22"/>
        </w:rPr>
        <w:t xml:space="preserve"> ~0.889 g/cm³ at 20°C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Vapor Pressure:</w:t>
      </w:r>
      <w:r>
        <w:rPr>
          <w:rFonts w:ascii="Arial" w:cs="Arial" w:eastAsia="Arial" w:hAnsi="Arial"/>
          <w:sz w:val="22"/>
          <w:szCs w:val="22"/>
        </w:rPr>
        <w:t xml:space="preserve"> Moderate sesquiterpene volatility (lower than monoterpenes)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Solubility:</w:t>
      </w:r>
      <w:r>
        <w:rPr>
          <w:rFonts w:ascii="Arial" w:cs="Arial" w:eastAsia="Arial" w:hAnsi="Arial"/>
          <w:sz w:val="22"/>
          <w:szCs w:val="22"/>
        </w:rPr>
        <w:t xml:space="preserve"> Lipophilic; poor water solubility but excellent in organic solvents and plant oils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Optical Rotation:</w:t>
      </w:r>
      <w:r>
        <w:rPr>
          <w:rFonts w:ascii="Arial" w:cs="Arial" w:eastAsia="Arial" w:hAnsi="Arial"/>
          <w:sz w:val="22"/>
          <w:szCs w:val="22"/>
        </w:rPr>
        <w:t xml:space="preserve"> [α]D = −51.6° (for (−)-β-caryophyllene)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2: BIOSYNTHESIS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Terpenoid Pathway Integration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β-Caryophyllene is synthesized via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mevalonate (MVA) pathway</w:t>
      </w:r>
      <w:r>
        <w:rPr>
          <w:rFonts w:ascii="Arial" w:cs="Arial" w:eastAsia="Arial" w:hAnsi="Arial"/>
          <w:sz w:val="22"/>
          <w:szCs w:val="22"/>
        </w:rPr>
        <w:t xml:space="preserve"> in most plants, though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non-mevalonate (MEP/DOXP) pathway</w:t>
      </w:r>
      <w:r>
        <w:rPr>
          <w:rFonts w:ascii="Arial" w:cs="Arial" w:eastAsia="Arial" w:hAnsi="Arial"/>
          <w:sz w:val="22"/>
          <w:szCs w:val="22"/>
        </w:rPr>
        <w:t xml:space="preserve"> also contributes: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Acetyl-CoA → HMG-CoA → Mevalonate → IPP/DMAPP → FPP (Farnesyl Diphosphate)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Sesquiterpene Synthases (TPS)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↓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β-CARYOPHYLLENE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Enzyme: Caryophyllene Synthase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Cannabis sativa: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 designation:</w:t>
      </w:r>
      <w:r>
        <w:rPr>
          <w:rFonts w:ascii="Arial" w:cs="Arial" w:eastAsia="Arial" w:hAnsi="Arial"/>
          <w:sz w:val="22"/>
          <w:szCs w:val="22"/>
        </w:rPr>
        <w:t xml:space="preserve"> CsTPS9FN (Cannabis sesquiterpene synthase)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Substrate:</w:t>
      </w:r>
      <w:r>
        <w:rPr>
          <w:rFonts w:ascii="Arial" w:cs="Arial" w:eastAsia="Arial" w:hAnsi="Arial"/>
          <w:sz w:val="22"/>
          <w:szCs w:val="22"/>
        </w:rPr>
        <w:t xml:space="preserve"> FPP (farnesyl diphosphate) — 15-carbon precursor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Dual product:</w:t>
      </w:r>
      <w:r>
        <w:rPr>
          <w:rFonts w:ascii="Arial" w:cs="Arial" w:eastAsia="Arial" w:hAnsi="Arial"/>
          <w:sz w:val="22"/>
          <w:szCs w:val="22"/>
        </w:rPr>
        <w:t xml:space="preserve"> CsTPS9FN produces both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 and α-humulene</w:t>
      </w:r>
      <w:r>
        <w:rPr>
          <w:rFonts w:ascii="Arial" w:cs="Arial" w:eastAsia="Arial" w:hAnsi="Arial"/>
          <w:sz w:val="22"/>
          <w:szCs w:val="22"/>
        </w:rPr>
        <w:t xml:space="preserve"> in a ratio of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2.5:1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Genomic context:</w:t>
      </w:r>
      <w:r>
        <w:rPr>
          <w:rFonts w:ascii="Arial" w:cs="Arial" w:eastAsia="Arial" w:hAnsi="Arial"/>
          <w:sz w:val="22"/>
          <w:szCs w:val="22"/>
        </w:rPr>
        <w:t xml:space="preserve"> Cannabis sativa reference genomes contain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19 complete and 5 partial terpene synthase (CsTPS) genes</w:t>
      </w:r>
      <w:r>
        <w:rPr>
          <w:rFonts w:ascii="Arial" w:cs="Arial" w:eastAsia="Arial" w:hAnsi="Arial"/>
          <w:sz w:val="22"/>
          <w:szCs w:val="22"/>
        </w:rPr>
        <w:t xml:space="preserve"> across the genome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 Arabidopsis thaliana: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Enzyme designation:</w:t>
      </w:r>
      <w:r>
        <w:rPr>
          <w:rFonts w:ascii="Arial" w:cs="Arial" w:eastAsia="Arial" w:hAnsi="Arial"/>
          <w:sz w:val="22"/>
          <w:szCs w:val="22"/>
        </w:rPr>
        <w:t xml:space="preserve"> AtTPS21 (Arabidopsis terpene synthase 21)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Genetic regulation:</w:t>
      </w:r>
      <w:r>
        <w:rPr>
          <w:rFonts w:ascii="Arial" w:cs="Arial" w:eastAsia="Arial" w:hAnsi="Arial"/>
          <w:sz w:val="22"/>
          <w:szCs w:val="22"/>
        </w:rPr>
        <w:t xml:space="preserve"> Controlled by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miR156-SPL regulatory module</w:t>
      </w:r>
      <w:r>
        <w:rPr>
          <w:rFonts w:ascii="Arial" w:cs="Arial" w:eastAsia="Arial" w:hAnsi="Arial"/>
          <w:sz w:val="22"/>
          <w:szCs w:val="22"/>
        </w:rPr>
        <w:t xml:space="preserve"> during the flowering stage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Expression pattern:</w:t>
      </w:r>
      <w:r>
        <w:rPr>
          <w:rFonts w:ascii="Arial" w:cs="Arial" w:eastAsia="Arial" w:hAnsi="Arial"/>
          <w:sz w:val="22"/>
          <w:szCs w:val="22"/>
        </w:rPr>
        <w:t xml:space="preserve"> Upregulation coordinated with developmental and stress responses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Genetic Regulation in Cannabis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Terpene production in cannabis is influenced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Developmental stage</w:t>
      </w:r>
      <w:r>
        <w:rPr>
          <w:rFonts w:ascii="Arial" w:cs="Arial" w:eastAsia="Arial" w:hAnsi="Arial"/>
          <w:sz w:val="22"/>
          <w:szCs w:val="22"/>
        </w:rPr>
        <w:t xml:space="preserve"> — Trichome maturation and cannabinoid-terpene co-synthesis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Environmental stress</w:t>
      </w:r>
      <w:r>
        <w:rPr>
          <w:rFonts w:ascii="Arial" w:cs="Arial" w:eastAsia="Arial" w:hAnsi="Arial"/>
          <w:sz w:val="22"/>
          <w:szCs w:val="22"/>
        </w:rPr>
        <w:t xml:space="preserve"> — UV light, temperature, water 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Genotype</w:t>
      </w:r>
      <w:r>
        <w:rPr>
          <w:rFonts w:ascii="Arial" w:cs="Arial" w:eastAsia="Arial" w:hAnsi="Arial"/>
          <w:sz w:val="22"/>
          <w:szCs w:val="22"/>
        </w:rPr>
        <w:t xml:space="preserve"> — Chemotype-specific TPS gene expression patterns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Substrate availability</w:t>
      </w:r>
      <w:r>
        <w:rPr>
          <w:rFonts w:ascii="Arial" w:cs="Arial" w:eastAsia="Arial" w:hAnsi="Arial"/>
          <w:sz w:val="22"/>
          <w:szCs w:val="22"/>
        </w:rPr>
        <w:t xml:space="preserve"> — FPP levels regulated by upstream HMG-CoA reductase activity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Biosynthetic Intermediate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cyclization of FPP generates an intermediate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(E,E)-humulyl carbocation</w:t>
      </w:r>
      <w:r>
        <w:rPr>
          <w:rFonts w:ascii="Arial" w:cs="Arial" w:eastAsia="Arial" w:hAnsi="Arial"/>
          <w:sz w:val="22"/>
          <w:szCs w:val="22"/>
        </w:rPr>
        <w:t xml:space="preserve">, which can follow two pathways: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Monocyclization</w:t>
      </w:r>
      <w:r>
        <w:rPr>
          <w:rFonts w:ascii="Arial" w:cs="Arial" w:eastAsia="Arial" w:hAnsi="Arial"/>
          <w:sz w:val="22"/>
          <w:szCs w:val="22"/>
        </w:rPr>
        <w:t xml:space="preserve"> → 11-membered ring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α-humulene (α-caryophyllene)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Bicyclization</w:t>
      </w:r>
      <w:r>
        <w:rPr>
          <w:rFonts w:ascii="Arial" w:cs="Arial" w:eastAsia="Arial" w:hAnsi="Arial"/>
          <w:sz w:val="22"/>
          <w:szCs w:val="22"/>
        </w:rPr>
        <w:t xml:space="preserve"> → additional ring formation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</w:t>
      </w:r>
      <w:r>
        <w:rPr>
          <w:rFonts w:ascii="Arial" w:cs="Arial" w:eastAsia="Arial" w:hAnsi="Arial"/>
          <w:sz w:val="22"/>
          <w:szCs w:val="22"/>
        </w:rPr>
        <w:t xml:space="preserve"> (the more stable, predominant product)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[PLOS One: "Terpene synthases from Cannabis sativa"](https://journals.plos.org/plosone/article?id=10.1371/journal.pone.0173911)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[Plant Physiology: "Terpene Synthases and Terpene Variation in Cannabis sativa"](https://academic.oup.com/plphys/article/184/1/130/6117797)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"Integrated platform for structural and functional analysis of terpene synthases"](https://pmc.ncbi.nlm.nih.gov/articles/PMC12256043/)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"Characterization key genes of Arabidopsis seedlings in response to β-caryophyllene"](https://www.frontiersin.org/journals/plant-science/articles/10.3389/fpls.2023.1295779/full)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3: SENSORY PROFILE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Olfactory Descriptors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aroma characteristics: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Spicy</w:t>
      </w:r>
      <w:r>
        <w:rPr>
          <w:rFonts w:ascii="Arial" w:cs="Arial" w:eastAsia="Arial" w:hAnsi="Arial"/>
          <w:sz w:val="22"/>
          <w:szCs w:val="22"/>
        </w:rPr>
        <w:t xml:space="preserve"> — Black pepper, clove-like sharpness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Peppery</w:t>
      </w:r>
      <w:r>
        <w:rPr>
          <w:rFonts w:ascii="Arial" w:cs="Arial" w:eastAsia="Arial" w:hAnsi="Arial"/>
          <w:sz w:val="22"/>
          <w:szCs w:val="22"/>
        </w:rPr>
        <w:t xml:space="preserve"> — Penetrating, assertive pungency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Woody</w:t>
      </w:r>
      <w:r>
        <w:rPr>
          <w:rFonts w:ascii="Arial" w:cs="Arial" w:eastAsia="Arial" w:hAnsi="Arial"/>
          <w:sz w:val="22"/>
          <w:szCs w:val="22"/>
        </w:rPr>
        <w:t xml:space="preserve"> — Dry, dusty woody undertones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Warm</w:t>
      </w:r>
      <w:r>
        <w:rPr>
          <w:rFonts w:ascii="Arial" w:cs="Arial" w:eastAsia="Arial" w:hAnsi="Arial"/>
          <w:sz w:val="22"/>
          <w:szCs w:val="22"/>
        </w:rPr>
        <w:t xml:space="preserve"> — Complex, slightly sweet base notes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Sensory intensity:</w:t>
      </w:r>
      <w:r>
        <w:rPr>
          <w:rFonts w:ascii="Arial" w:cs="Arial" w:eastAsia="Arial" w:hAnsi="Arial"/>
          <w:sz w:val="22"/>
          <w:szCs w:val="22"/>
        </w:rPr>
        <w:t xml:space="preserve"> Medium to strong with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tenacious, penetrating</w:t>
      </w:r>
      <w:r>
        <w:rPr>
          <w:rFonts w:ascii="Arial" w:cs="Arial" w:eastAsia="Arial" w:hAnsi="Arial"/>
          <w:sz w:val="22"/>
          <w:szCs w:val="22"/>
        </w:rPr>
        <w:t xml:space="preserve"> opening note that moderates over time. Described as "demanding attention" in complex olfactory compositions.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Intensity profile:</w:t>
      </w:r>
      <w:r>
        <w:rPr>
          <w:rFonts w:ascii="Arial" w:cs="Arial" w:eastAsia="Arial" w:hAnsi="Arial"/>
          <w:sz w:val="22"/>
          <w:szCs w:val="22"/>
        </w:rPr>
        <w:t xml:space="preserve"> Initial penetrating and characteristic, with moderate attenuation over time, indicating moderate volatility relative to its sesquiterpene class.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Detection and Perception Thresholds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Flavor Dilution Factor (GC-O)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 = 64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among tested sesquiterpenes in food systems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Sensory contribution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impact compound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aroma profiling studies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Detection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Spicy-woody, dry tenacious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GC-Olfactometry analysis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Retention Index (RI)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~1520-1530 (VRX-based)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GC-MS reference standard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Aroma Profile Summary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is described by the perfume and flavor industry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"Woody-spicy, dry and tenacious"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"Spicy-woody with dusty clove-like character"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"Dry, dusty, oily woody with spicy assertiveness"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"Bold, unmistakable peppery warmth"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compound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high FD factors</w:t>
      </w:r>
      <w:r>
        <w:rPr>
          <w:rFonts w:ascii="Arial" w:cs="Arial" w:eastAsia="Arial" w:hAnsi="Arial"/>
          <w:sz w:val="22"/>
          <w:szCs w:val="22"/>
        </w:rPr>
        <w:t xml:space="preserve"> in aroma extract dilution analysis, indicating prominent sensory presence at very low concentrations.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[Good Scents Company: β-Caryophyllene odor profile](https://thegoodscentscompany.com/data/rw1060851.html)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Caryophyllene in perfumery](https://www.scentspiracy.com/fragrance-ingredients/p/caryophyllene)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[Journal of Essential Oil Research: Aroma profiling in Neolitsea pallens](https://www.tandfonline.com/doi/full/10.1080/10412905.2025.2537235)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Aroma-active compound detection in food systems](https://pmc.ncbi.nlm.nih.gov/articles/PMC7179107/)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4: PHARMACOLOGY &amp; RECEPTOR ACTIVITY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CB2 Selective Agonism (The Landmark Gertsch 2008 Study)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Gertsch J, et al. "Beta-caryophyllene is a dietary cannabinoid." *Proceedings of the National Academy of Sciences USA*. 2008;105(26):9099-9104. [PNAS full text](https://www.pnas.org/doi/10.1073/pnas.0803601105)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Binding Affinity Data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CB2 Ki (nM)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CB1 Ki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(E)-β-Caryophyllene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155 ± 4 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CB2 agonist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(Z)-β-Caryophyllene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485 ± 36 nM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binding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 CB2 agonist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Significance:</w:t>
      </w:r>
      <w:r>
        <w:rPr>
          <w:rFonts w:ascii="Arial" w:cs="Arial" w:eastAsia="Arial" w:hAnsi="Arial"/>
          <w:sz w:val="22"/>
          <w:szCs w:val="22"/>
        </w:rPr>
        <w:t xml:space="preserve"> The nanomolar affinity for CB2 (155 nM) is within the range of physiologically active compounds, particularly for a dietary terpene. This represents approximately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3-fold higher affinity</w:t>
      </w:r>
      <w:r>
        <w:rPr>
          <w:rFonts w:ascii="Arial" w:cs="Arial" w:eastAsia="Arial" w:hAnsi="Arial"/>
          <w:sz w:val="22"/>
          <w:szCs w:val="22"/>
        </w:rPr>
        <w:t xml:space="preserve"> for the E-isomer versus the Z-isomer.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Functional CB2 Agonism Mechanisms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Upon CB2 binding, BCP demonstrates: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Adenylate cyclase inhibition</w:t>
      </w:r>
      <w:r>
        <w:rPr>
          <w:rFonts w:ascii="Arial" w:cs="Arial" w:eastAsia="Arial" w:hAnsi="Arial"/>
          <w:sz w:val="22"/>
          <w:szCs w:val="22"/>
        </w:rPr>
        <w:t xml:space="preserve"> — Reduced intracellular cAMP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Intracellular calcium transients</w:t>
      </w:r>
      <w:r>
        <w:rPr>
          <w:rFonts w:ascii="Arial" w:cs="Arial" w:eastAsia="Arial" w:hAnsi="Arial"/>
          <w:sz w:val="22"/>
          <w:szCs w:val="22"/>
        </w:rPr>
        <w:t xml:space="preserve"> — Activation of IP₃ signaling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Pro-inflammatory suppression</w:t>
      </w:r>
      <w:r>
        <w:rPr>
          <w:rFonts w:ascii="Arial" w:cs="Arial" w:eastAsia="Arial" w:hAnsi="Arial"/>
          <w:sz w:val="22"/>
          <w:szCs w:val="22"/>
        </w:rPr>
        <w:t xml:space="preserve"> — At 500 nM concentration, inhibits lipopolysaccharide (LPS)-induced proinflammatory cytokine expression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vivo efficacy</w:t>
      </w:r>
      <w:r>
        <w:rPr>
          <w:rFonts w:ascii="Arial" w:cs="Arial" w:eastAsia="Arial" w:hAnsi="Arial"/>
          <w:sz w:val="22"/>
          <w:szCs w:val="22"/>
        </w:rPr>
        <w:t xml:space="preserve"> — At 5 mg/kg, strongly reduces carrageenan-induced inflammatory response in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wild-type mice but NOT in CB2-knockout mice</w:t>
      </w:r>
      <w:r>
        <w:rPr>
          <w:rFonts w:ascii="Arial" w:cs="Arial" w:eastAsia="Arial" w:hAnsi="Arial"/>
          <w:sz w:val="22"/>
          <w:szCs w:val="22"/>
        </w:rPr>
        <w:t xml:space="preserve">, proving CB2 dependence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Absence of CB1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  <w:r>
        <w:rPr>
          <w:rFonts w:ascii="Arial" w:cs="Arial" w:eastAsia="Arial" w:hAnsi="Arial"/>
          <w:sz w:val="22"/>
          <w:szCs w:val="22"/>
        </w:rPr>
        <w:t xml:space="preserve"> β-Caryophyllene shows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binding to centrally expressed CB1 receptors</w:t>
      </w:r>
      <w:r>
        <w:rPr>
          <w:rFonts w:ascii="Arial" w:cs="Arial" w:eastAsia="Arial" w:hAnsi="Arial"/>
          <w:sz w:val="22"/>
          <w:szCs w:val="22"/>
        </w:rPr>
        <w:t xml:space="preserve"> and produces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psychoactive effects</w:t>
      </w:r>
      <w:r>
        <w:rPr>
          <w:rFonts w:ascii="Arial" w:cs="Arial" w:eastAsia="Arial" w:hAnsi="Arial"/>
          <w:sz w:val="22"/>
          <w:szCs w:val="22"/>
        </w:rPr>
        <w:t xml:space="preserve"> at any tested concentration. This is the defining distinction between BCP and THC/classical cannabinoids.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CB1 selectivity margin:</w:t>
      </w:r>
      <w:r>
        <w:rPr>
          <w:rFonts w:ascii="Arial" w:cs="Arial" w:eastAsia="Arial" w:hAnsi="Arial"/>
          <w:sz w:val="22"/>
          <w:szCs w:val="22"/>
        </w:rPr>
        <w:t xml:space="preserve"> Even at high doses, BCP maintains CB2 selectivity, though dose-dependent non-CB2 receptor interactions occur at supra-physiological concentrations (see PPARγ and TRP sections below).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PPARγ Agonism and NF-κB Inhibition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 of NF-κB Suppression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reduces pro-inflammatory mediators through dual receptor crosstalk: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1 — Direct CB2R activation: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CB2R → ↓ NF-κB p65 phosphorylation → ↓ pro-inflammatory transcription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TNF-α, IL-1β, IL-6, and IL-8 expression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Pathway 2 — PPARγ activation: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acts as a PPARγ agonist (mechanism of ligand binding remains partially characterized)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PPARγ → ↓ NF-κB transactivation → ↓ proinflammatory cytokines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Cross-talk between CB2 and PPARγ: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PPARγ antagonist GW9662 reverses BCP protective effects by 60-80%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Inflammatory Cytokine Reduction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Studies document BCP-induced suppression of: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TNF-α</w:t>
      </w:r>
      <w:r>
        <w:rPr>
          <w:rFonts w:ascii="Arial" w:cs="Arial" w:eastAsia="Arial" w:hAnsi="Arial"/>
          <w:sz w:val="22"/>
          <w:szCs w:val="22"/>
        </w:rPr>
        <w:t xml:space="preserve"> (tumor necrosis factor-alpha) — Key pro-inflammatory cytokine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IL-1β</w:t>
      </w:r>
      <w:r>
        <w:rPr>
          <w:rFonts w:ascii="Arial" w:cs="Arial" w:eastAsia="Arial" w:hAnsi="Arial"/>
          <w:sz w:val="22"/>
          <w:szCs w:val="22"/>
        </w:rPr>
        <w:t xml:space="preserve"> (interleukin-1 beta) — Pyrogenic pro-inflammatory mediator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IL-6</w:t>
      </w:r>
      <w:r>
        <w:rPr>
          <w:rFonts w:ascii="Arial" w:cs="Arial" w:eastAsia="Arial" w:hAnsi="Arial"/>
          <w:sz w:val="22"/>
          <w:szCs w:val="22"/>
        </w:rPr>
        <w:t xml:space="preserve"> (interleukin-6) — Systemic inflammation marker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IL-8</w:t>
      </w:r>
      <w:r>
        <w:rPr>
          <w:rFonts w:ascii="Arial" w:cs="Arial" w:eastAsia="Arial" w:hAnsi="Arial"/>
          <w:sz w:val="22"/>
          <w:szCs w:val="22"/>
        </w:rPr>
        <w:t xml:space="preserve"> (CXCL8) — Chemotactic factor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Increased IL-13</w:t>
      </w:r>
      <w:r>
        <w:rPr>
          <w:rFonts w:ascii="Arial" w:cs="Arial" w:eastAsia="Arial" w:hAnsi="Arial"/>
          <w:sz w:val="22"/>
          <w:szCs w:val="22"/>
        </w:rPr>
        <w:t xml:space="preserve"> — Anti-inflammatory Th2 cytokine (observed in arthritis models)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Phosphorylation Data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Studies show BCP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significantly reduces Aβ-induced phosphorylation of NF-κB p65</w:t>
      </w:r>
      <w:r>
        <w:rPr>
          <w:rFonts w:ascii="Arial" w:cs="Arial" w:eastAsia="Arial" w:hAnsi="Arial"/>
          <w:sz w:val="22"/>
          <w:szCs w:val="22"/>
        </w:rPr>
        <w:t xml:space="preserve"> (a key step in pro-inflammatory gene transcription). The degree of p65 phosphorylation inversely correlates with BCP dose.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"Multi-Target Protective Effects of β-Caryophyllene at the Intersection of Neuroinflammation"](https://www.mdpi.com/1422-0067/26/13/6027)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"Protective Effects of (E)-β-Caryophyllene in Chronic Inflammation"](https://pmc.ncbi.nlm.nih.gov/articles/PMC7692661/)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[American Journal of Pathology: "β-Caryophyllene Inhibits DSS-Induced Colitis through CB2 and PPARγ"](https://ajp.amjpathol.org/article/S0002-9440(10)00177-X/fulltext)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"β-Caryophyllene Mitigates CAIA in Mice Through CB2/PPAR-γ Cross-Talk"](https://pmc.ncbi.nlm.nih.gov/articles/PMC6723248/)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TRP Channel Activity (Mixed Evidence)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TRPV1 and TRPA1 Interaction Status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Recent contradictory evidence: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A 2019 study in the journal *Cannabis and Cannabinoid Research* found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 did NOT activate TRPA1 and TRPV1 channels</w:t>
      </w:r>
      <w:r>
        <w:rPr>
          <w:rFonts w:ascii="Arial" w:cs="Arial" w:eastAsia="Arial" w:hAnsi="Arial"/>
          <w:sz w:val="22"/>
          <w:szCs w:val="22"/>
        </w:rPr>
        <w:t xml:space="preserve"> in cells overexpressing these receptors. Researchers observed: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calcium influx in TRPA1-expressing human cells at physiological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 calcium influx in TRPV1-expressing human cells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Conclusion: "Terpenoids commonly found in cannabis sativa do not modulate the actions of phytocannabinoids or endocannabinoids on TRPA1 and TRPV1 channels"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However, in vivo evidence suggests indirect modulation: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modulates early events of cerebral inflammation triggered by hypoperfusion/reperfusion via: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BDNF-trkB system upregulation</w:t>
      </w:r>
      <w:r>
        <w:rPr>
          <w:rFonts w:ascii="Arial" w:cs="Arial" w:eastAsia="Arial" w:hAnsi="Arial"/>
          <w:sz w:val="22"/>
          <w:szCs w:val="22"/>
        </w:rPr>
        <w:t xml:space="preserve"> (downstream of TRPV1 signaling)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TRPV1 expression regulation</w:t>
      </w:r>
      <w:r>
        <w:rPr>
          <w:rFonts w:ascii="Arial" w:cs="Arial" w:eastAsia="Arial" w:hAnsi="Arial"/>
          <w:sz w:val="22"/>
          <w:szCs w:val="22"/>
        </w:rPr>
        <w:t xml:space="preserve"> — Not direct activation, but altered expression patterns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Neuroprotection</w:t>
      </w:r>
      <w:r>
        <w:rPr>
          <w:rFonts w:ascii="Arial" w:cs="Arial" w:eastAsia="Arial" w:hAnsi="Arial"/>
          <w:sz w:val="22"/>
          <w:szCs w:val="22"/>
        </w:rPr>
        <w:t xml:space="preserve"> — Independent of direct channel opening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TRPA1 and Anxiety-Relevant Effects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Relevant to pre-loading applications: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TRPA1 antagonism</w:t>
      </w:r>
      <w:r>
        <w:rPr>
          <w:rFonts w:ascii="Arial" w:cs="Arial" w:eastAsia="Arial" w:hAnsi="Arial"/>
          <w:sz w:val="22"/>
          <w:szCs w:val="22"/>
        </w:rPr>
        <w:t xml:space="preserve"> is associated with anxiolytic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TRPA1 exerts "tonic control promoting anxiety and depression"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TRPA1 antagonists show potential for anxiety and mood disorder treatment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BCP's anxiolytic effects may operate through indirect TRPA1 modulation rather than direct activation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[Cannabis and Cannabinoid Research: "Terpenoids do not modulate TRPA1 and TRPV1"](https://www.liebertpub.com/doi/10.1089/can.2019.0099)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"Anti-Inflammatory Effect via TRPV1 and BDNF"](https://pmc.ncbi.nlm.nih.gov/articles/PMC8998979/)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"TRPA1 blockade mediates antidepressant/anxiolytic actions"](https://pmc.ncbi.nlm.nih.gov/articles/PMC4241094/)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Opioid-Sparing Effects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Mechanism of Opioid Interaction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mediates antinociception (pain suppression) through a unique mechanism involving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peripheral opioid receptor activation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CB2 → β-endorphin release pathway: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binds CB2 receptors on peripheral immune cells (keratinocytes, macrophages)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CB2 activation triggers endogenous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β-endorphin release</w:t>
      </w:r>
      <w:r>
        <w:rPr>
          <w:rFonts w:ascii="Arial" w:cs="Arial" w:eastAsia="Arial" w:hAnsi="Arial"/>
          <w:sz w:val="22"/>
          <w:szCs w:val="22"/>
        </w:rPr>
        <w:t xml:space="preserve"> from keratinocytes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Released β-endorphin acts on μ-opioid receptors (mu-opioid receptor agonism)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Result: Pain suppression WITHOUT central psychoactive effects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Experimental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Antagonist blocking studies (Quintana et al., unpublished; cited in FASEB Journal 2022):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antinociceptive effects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 by AM630</w:t>
      </w:r>
      <w:r>
        <w:rPr>
          <w:rFonts w:ascii="Arial" w:cs="Arial" w:eastAsia="Arial" w:hAnsi="Arial"/>
          <w:sz w:val="22"/>
          <w:szCs w:val="22"/>
        </w:rPr>
        <w:t xml:space="preserve"> (CB2 antagonist) ✓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antinociceptive effects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 by AM251</w:t>
      </w:r>
      <w:r>
        <w:rPr>
          <w:rFonts w:ascii="Arial" w:cs="Arial" w:eastAsia="Arial" w:hAnsi="Arial"/>
          <w:sz w:val="22"/>
          <w:szCs w:val="22"/>
        </w:rPr>
        <w:t xml:space="preserve"> (CB1 antagonist) ✗ — No effect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antinociceptive effects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 by naloxone</w:t>
      </w:r>
      <w:r>
        <w:rPr>
          <w:rFonts w:ascii="Arial" w:cs="Arial" w:eastAsia="Arial" w:hAnsi="Arial"/>
          <w:sz w:val="22"/>
          <w:szCs w:val="22"/>
        </w:rPr>
        <w:t xml:space="preserve"> (pan-opioid antagonist) ✓ — Significant reversal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antinociceptive effects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 by naloxone methiodide</w:t>
      </w:r>
      <w:r>
        <w:rPr>
          <w:rFonts w:ascii="Arial" w:cs="Arial" w:eastAsia="Arial" w:hAnsi="Arial"/>
          <w:sz w:val="22"/>
          <w:szCs w:val="22"/>
        </w:rPr>
        <w:t xml:space="preserve"> (peripheral opioid antagonist only) ✓ — Significant reversal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BCP antinociceptive effects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blocked by β-endorphin antisera</w:t>
      </w:r>
      <w:r>
        <w:rPr>
          <w:rFonts w:ascii="Arial" w:cs="Arial" w:eastAsia="Arial" w:hAnsi="Arial"/>
          <w:sz w:val="22"/>
          <w:szCs w:val="22"/>
        </w:rPr>
        <w:t xml:space="preserve"> ✓ — Complete antagonism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The pain relief mechanism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CB2-dependent endogenous opioid release</w:t>
      </w:r>
      <w:r>
        <w:rPr>
          <w:rFonts w:ascii="Arial" w:cs="Arial" w:eastAsia="Arial" w:hAnsi="Arial"/>
          <w:sz w:val="22"/>
          <w:szCs w:val="22"/>
        </w:rPr>
        <w:t xml:space="preserve">, NOT central opioid receptor activation.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Synergy with Morphine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Low-dose BCP co-administered with morphine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increases morphine-induced antinociception</w:t>
      </w:r>
      <w:r>
        <w:rPr>
          <w:rFonts w:ascii="Arial" w:cs="Arial" w:eastAsia="Arial" w:hAnsi="Arial"/>
          <w:sz w:val="22"/>
          <w:szCs w:val="22"/>
        </w:rPr>
        <w:t xml:space="preserve">, demonstrating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opioid-sparing potential</w:t>
      </w:r>
      <w:r>
        <w:rPr>
          <w:rFonts w:ascii="Arial" w:cs="Arial" w:eastAsia="Arial" w:hAnsi="Arial"/>
          <w:sz w:val="22"/>
          <w:szCs w:val="22"/>
        </w:rPr>
        <w:t xml:space="preserve"> (reduced opioid dosing requirements while maintaining analgesic efficacy).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Caveat:</w:t>
      </w:r>
      <w:r>
        <w:rPr>
          <w:rFonts w:ascii="Arial" w:cs="Arial" w:eastAsia="Arial" w:hAnsi="Arial"/>
          <w:sz w:val="22"/>
          <w:szCs w:val="22"/>
        </w:rPr>
        <w:t xml:space="preserve"> A 2022 meta-analysis of CB2-selective agonists found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mixed results</w:t>
      </w:r>
      <w:r>
        <w:rPr>
          <w:rFonts w:ascii="Arial" w:cs="Arial" w:eastAsia="Arial" w:hAnsi="Arial"/>
          <w:sz w:val="22"/>
          <w:szCs w:val="22"/>
        </w:rPr>
        <w:t xml:space="preserve"> — some CB2 agonists (GP1a, JWH-015, LY2828360) showed opioid-sparing effects, but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 and JWH-133</w:t>
      </w:r>
      <w:r>
        <w:rPr>
          <w:rFonts w:ascii="Arial" w:cs="Arial" w:eastAsia="Arial" w:hAnsi="Arial"/>
          <w:sz w:val="22"/>
          <w:szCs w:val="22"/>
        </w:rPr>
        <w:t xml:space="preserve"> did not consistently demonstrate opioid-sparing effects across all studies reviewed.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"Involvement of peripheral cannabinoid and opioid receptors in BCP-induced antinociception"](https://pubmed.ncbi.nlm.nih.gov/23138934/)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[Nature: "Opioid-Sparing Effect of Cannabinoids: Meta-Analysis"](https://www.nature.com/articles/npp201751)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[Nature: "Opioid-sparing effect of cannabinoids - 2022 update"](https://www.nature.com/articles/s41386-022-01322-4)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"BCP exerts analgesic effects in inflammatory and neuropathic pain models"](https://www.sciencedirect.com/science/article/pii/S0924977X13003027)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5: CLINICAL EVIDENCE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FDA GRAS Status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Official regulatory designation:</w:t>
      </w:r>
      <w:r>
        <w:rPr>
          <w:rFonts w:ascii="Arial" w:cs="Arial" w:eastAsia="Arial" w:hAnsi="Arial"/>
          <w:sz w:val="22"/>
          <w:szCs w:val="22"/>
        </w:rPr>
        <w:t xml:space="preserve"> β-Caryophyllene is included in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FDA "Generally Recognized as Safe" (GRAS) list</w:t>
      </w:r>
      <w:r>
        <w:rPr>
          <w:rFonts w:ascii="Arial" w:cs="Arial" w:eastAsia="Arial" w:hAnsi="Arial"/>
          <w:sz w:val="22"/>
          <w:szCs w:val="22"/>
        </w:rPr>
        <w:t xml:space="preserve"> for use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Food additive and flavoring agent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Cosmetic additive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Preservative in beverages and processed foods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Annual consumption: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100-1000 metric tons worldwide</w:t>
      </w:r>
      <w:r>
        <w:rPr>
          <w:rFonts w:ascii="Arial" w:cs="Arial" w:eastAsia="Arial" w:hAnsi="Arial"/>
          <w:sz w:val="22"/>
          <w:szCs w:val="22"/>
        </w:rPr>
        <w:t xml:space="preserve"> (food, cosmetic, and fragrance industries combined)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FEMA GRAS classification:</w:t>
      </w:r>
      <w:r>
        <w:rPr>
          <w:rFonts w:ascii="Arial" w:cs="Arial" w:eastAsia="Arial" w:hAnsi="Arial"/>
          <w:sz w:val="22"/>
          <w:szCs w:val="22"/>
        </w:rPr>
        <w:t xml:space="preserve"> Confirmed by the Flavor and Extract Manufacturers Association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Dietary cannabinoid status:</w:t>
      </w:r>
      <w:r>
        <w:rPr>
          <w:rFonts w:ascii="Arial" w:cs="Arial" w:eastAsia="Arial" w:hAnsi="Arial"/>
          <w:sz w:val="22"/>
          <w:szCs w:val="22"/>
        </w:rPr>
        <w:t xml:space="preserve"> BCP was formally designated a "dietary cannabinoid" in the landmark 2008 Gertsch publication, making it the first non-plant-cannabis phytocannabinoid to receive this classification.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Human Clinical Trial Evidence (Limited)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Food Addiction Study (2022)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Effects of β-caryophyllene on food addiction and eating behaviors in women with obesity — randomized, double-blind, placebo-controlled trial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= 100</w:t>
      </w:r>
      <w:r>
        <w:rPr>
          <w:rFonts w:ascii="Arial" w:cs="Arial" w:eastAsia="Arial" w:hAnsi="Arial"/>
          <w:sz w:val="22"/>
          <w:szCs w:val="22"/>
        </w:rPr>
        <w:t xml:space="preserve"> women with obesity (BMI 30-35)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Duration:</w:t>
      </w:r>
      <w:r>
        <w:rPr>
          <w:rFonts w:ascii="Arial" w:cs="Arial" w:eastAsia="Arial" w:hAnsi="Arial"/>
          <w:sz w:val="22"/>
          <w:szCs w:val="22"/>
        </w:rPr>
        <w:t xml:space="preserve"> 8 weeks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Dose:</w:t>
      </w:r>
      <w:r>
        <w:rPr>
          <w:rFonts w:ascii="Arial" w:cs="Arial" w:eastAsia="Arial" w:hAnsi="Arial"/>
          <w:sz w:val="22"/>
          <w:szCs w:val="22"/>
        </w:rPr>
        <w:t xml:space="preserve"> Not specified in search results (requires full text access)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Intervention:</w:t>
      </w:r>
      <w:r>
        <w:rPr>
          <w:rFonts w:ascii="Arial" w:cs="Arial" w:eastAsia="Arial" w:hAnsi="Arial"/>
          <w:sz w:val="22"/>
          <w:szCs w:val="22"/>
        </w:rPr>
        <w:t xml:space="preserve"> BCP supplementation vs. placebo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Favorable impact:</w:t>
      </w:r>
      <w:r>
        <w:rPr>
          <w:rFonts w:ascii="Arial" w:cs="Arial" w:eastAsia="Arial" w:hAnsi="Arial"/>
          <w:sz w:val="22"/>
          <w:szCs w:val="22"/>
        </w:rPr>
        <w:t xml:space="preserve"> Significant reduction in food addiction symptoms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Null findings:</w:t>
      </w:r>
      <w:r>
        <w:rPr>
          <w:rFonts w:ascii="Arial" w:cs="Arial" w:eastAsia="Arial" w:hAnsi="Arial"/>
          <w:sz w:val="22"/>
          <w:szCs w:val="22"/>
        </w:rPr>
        <w:t xml:space="preserve"> No significant effects 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Body composition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Anthropometric indices (weight, waist circumference)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Appetite ratings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Eating behavior frequency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Dietary intake patterns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Physical activity level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Mental health scores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Oxytocin and neuropeptide Y levels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Interpretation:</w:t>
      </w:r>
      <w:r>
        <w:rPr>
          <w:rFonts w:ascii="Arial" w:cs="Arial" w:eastAsia="Arial" w:hAnsi="Arial"/>
          <w:sz w:val="22"/>
          <w:szCs w:val="22"/>
        </w:rPr>
        <w:t xml:space="preserve"> BCP may have specific behavioral effects on food-seeking behavior without broad metabolic effects.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Pharmacokinetic Study (2022)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 = 12</w:t>
      </w:r>
      <w:r>
        <w:rPr>
          <w:rFonts w:ascii="Arial" w:cs="Arial" w:eastAsia="Arial" w:hAnsi="Arial"/>
          <w:sz w:val="22"/>
          <w:szCs w:val="22"/>
        </w:rPr>
        <w:t xml:space="preserve"> healthy human volunteers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Intervention:</w:t>
      </w:r>
      <w:r>
        <w:rPr>
          <w:rFonts w:ascii="Arial" w:cs="Arial" w:eastAsia="Arial" w:hAnsi="Arial"/>
          <w:sz w:val="22"/>
          <w:szCs w:val="22"/>
        </w:rPr>
        <w:t xml:space="preserve"> Oral β-caryophyllene in standard oil 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Poor oral bioavailability</w:t>
      </w:r>
      <w:r>
        <w:rPr>
          <w:rFonts w:ascii="Arial" w:cs="Arial" w:eastAsia="Arial" w:hAnsi="Arial"/>
          <w:sz w:val="22"/>
          <w:szCs w:val="22"/>
        </w:rPr>
        <w:t xml:space="preserve"> in unformulated state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Comparison:</w:t>
      </w:r>
      <w:r>
        <w:rPr>
          <w:rFonts w:ascii="Arial" w:cs="Arial" w:eastAsia="Arial" w:hAnsi="Arial"/>
          <w:sz w:val="22"/>
          <w:szCs w:val="22"/>
        </w:rPr>
        <w:t xml:space="preserve"> Specialized delivery systems (SEDDS formulation, β-cyclodextrin complexes) showed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2.2-3.6 fold improvements</w:t>
      </w:r>
      <w:r>
        <w:rPr>
          <w:rFonts w:ascii="Arial" w:cs="Arial" w:eastAsia="Arial" w:hAnsi="Arial"/>
          <w:sz w:val="22"/>
          <w:szCs w:val="22"/>
        </w:rPr>
        <w:t xml:space="preserve"> in bioavailability parameters.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Methamphetamine Craving Study (2021)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[Frontiers in Pharmacology: "β-caryophyllene, an FDA-Approved Food Additive, Inhibits Methamphetamine-Taking and Methamphetamine-Seeking Behaviors"](https://www.frontiersin.org/journals/pharmacology/articles/10.3389/fphar.2021.722476/full)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 type:</w:t>
      </w:r>
      <w:r>
        <w:rPr>
          <w:rFonts w:ascii="Arial" w:cs="Arial" w:eastAsia="Arial" w:hAnsi="Arial"/>
          <w:sz w:val="22"/>
          <w:szCs w:val="22"/>
        </w:rPr>
        <w:t xml:space="preserve"> Preclinical mouse models (NOT human clinical trial)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Findings:</w:t>
      </w:r>
      <w:r>
        <w:rPr>
          <w:rFonts w:ascii="Arial" w:cs="Arial" w:eastAsia="Arial" w:hAnsi="Arial"/>
          <w:sz w:val="22"/>
          <w:szCs w:val="22"/>
        </w:rPr>
        <w:t xml:space="preserve"> BCP reduced methamphetamine self-administration and reinstatement of drug-seeking behavior, possibly via CB2 and non-CB2 receptor mechanisms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Animal Model Studies (Primary Evidence Base)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Anxiety and Depression Models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Elevated plus-maze (EPM)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25-50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Anxiolytic, similar to diazepam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Machado et al., 2020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Elevated plus-maze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10-50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Dose-dependent anxiety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Multiple studies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Tail suspension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25-100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behavioral despair (antidepressant)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models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Forced swim 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25-100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Reduced immobility (antidepressant)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Behavioral pharmacology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Restraint stress model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25-50 mg/kg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Antidepressant-like 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Stress-induced depression models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 human clinical trials</w:t>
      </w:r>
      <w:r>
        <w:rPr>
          <w:rFonts w:ascii="Arial" w:cs="Arial" w:eastAsia="Arial" w:hAnsi="Arial"/>
          <w:sz w:val="22"/>
          <w:szCs w:val="22"/>
        </w:rPr>
        <w:t xml:space="preserve"> have yet evaluated BCP's anxiolytic or antidepressant effects in anxiety or depressive disorders.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Inflammatory Arthritis Model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Alves AR, et al. "β-Caryophyllene Mitigates Collagen Antibody Induced Arthritis (CAIA) in Mice Through a Cross-Talk between CB2 and PPAR-γ Receptors." *Journal of Immunology*. 2019. [PMC full text](https://pmc.ncbi.nlm.nih.gov/articles/PMC6723248/)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  <w:r>
        <w:rPr>
          <w:rFonts w:ascii="Arial" w:cs="Arial" w:eastAsia="Arial" w:hAnsi="Arial"/>
          <w:sz w:val="22"/>
          <w:szCs w:val="22"/>
        </w:rPr>
        <w:t xml:space="preserve"> Collagen Antibody-Induced Arthritis (CAIA) in mice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Dose:</w:t>
      </w:r>
      <w:r>
        <w:rPr>
          <w:rFonts w:ascii="Arial" w:cs="Arial" w:eastAsia="Arial" w:hAnsi="Arial"/>
          <w:sz w:val="22"/>
          <w:szCs w:val="22"/>
        </w:rPr>
        <w:t xml:space="preserve"> 10 mg/kg/100 μL, oral administration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Daily dosing throughout disease course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CB2/PPARγ cross-talk with dual receptor antagonism (AM630 for CB2, GW9662 for PPARγ)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Disease severity</w:t>
      </w:r>
      <w:r>
        <w:rPr>
          <w:rFonts w:ascii="Arial" w:cs="Arial" w:eastAsia="Arial" w:hAnsi="Arial"/>
          <w:sz w:val="22"/>
          <w:szCs w:val="22"/>
        </w:rPr>
        <w:t xml:space="preserve"> — Reduced paw swelling and inflammation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Pro-inflammatory cytokines</w:t>
      </w:r>
      <w:r>
        <w:rPr>
          <w:rFonts w:ascii="Arial" w:cs="Arial" w:eastAsia="Arial" w:hAnsi="Arial"/>
          <w:sz w:val="22"/>
          <w:szCs w:val="22"/>
        </w:rPr>
        <w:t xml:space="preserve"> — TNF-α, IL-1β, IL-6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↑ Anti-inflammatory cytokine</w:t>
      </w:r>
      <w:r>
        <w:rPr>
          <w:rFonts w:ascii="Arial" w:cs="Arial" w:eastAsia="Arial" w:hAnsi="Arial"/>
          <w:sz w:val="22"/>
          <w:szCs w:val="22"/>
        </w:rPr>
        <w:t xml:space="preserve"> — IL-13 increased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Antagonist reversal:</w:t>
      </w:r>
      <w:r>
        <w:rPr>
          <w:rFonts w:ascii="Arial" w:cs="Arial" w:eastAsia="Arial" w:hAnsi="Arial"/>
          <w:sz w:val="22"/>
          <w:szCs w:val="22"/>
        </w:rPr>
        <w:t xml:space="preserve"> CB2 and PPARγ antagonists significantly reduced BCP protective effects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Inflammatory Bowel Disease Model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Sándor K, et al. "β-Caryophyllene Inhibits Dextran Sulfate Sodium-Induced Colitis in Mice through CB2 Receptor Activation and PPARγ Pathway." *American Journal of Pathology*. 2011. [Full text](https://ajp.amjpathol.org/article/S0002-9440(10)00177-X/fulltext)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Model:</w:t>
      </w:r>
      <w:r>
        <w:rPr>
          <w:rFonts w:ascii="Arial" w:cs="Arial" w:eastAsia="Arial" w:hAnsi="Arial"/>
          <w:sz w:val="22"/>
          <w:szCs w:val="22"/>
        </w:rPr>
        <w:t xml:space="preserve"> Dextran sulfate sodium (DSS)-induced colitis (acute model of IBD)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Protocol: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Preventive dosing:</w:t>
      </w:r>
      <w:r>
        <w:rPr>
          <w:rFonts w:ascii="Arial" w:cs="Arial" w:eastAsia="Arial" w:hAnsi="Arial"/>
          <w:sz w:val="22"/>
          <w:szCs w:val="22"/>
        </w:rPr>
        <w:t xml:space="preserve"> 12.5, 25, or 50 mg/kg orally, twice daily, days 0-7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Therapeutic dosing:</w:t>
      </w:r>
      <w:r>
        <w:rPr>
          <w:rFonts w:ascii="Arial" w:cs="Arial" w:eastAsia="Arial" w:hAnsi="Arial"/>
          <w:sz w:val="22"/>
          <w:szCs w:val="22"/>
        </w:rPr>
        <w:t xml:space="preserve"> 50 mg/kg daily, days 3-7 (after disease initiation)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Disease induction:</w:t>
      </w:r>
      <w:r>
        <w:rPr>
          <w:rFonts w:ascii="Arial" w:cs="Arial" w:eastAsia="Arial" w:hAnsi="Arial"/>
          <w:sz w:val="22"/>
          <w:szCs w:val="22"/>
        </w:rPr>
        <w:t xml:space="preserve"> 3% DSS in drinking water, days 0-5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Results: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Dose-dependent protection</w:t>
      </w:r>
      <w:r>
        <w:rPr>
          <w:rFonts w:ascii="Arial" w:cs="Arial" w:eastAsia="Arial" w:hAnsi="Arial"/>
          <w:sz w:val="22"/>
          <w:szCs w:val="22"/>
        </w:rPr>
        <w:t xml:space="preserve"> — 50 mg/kg showed maximal efficacy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Colonic inflammation</w:t>
      </w:r>
      <w:r>
        <w:rPr>
          <w:rFonts w:ascii="Arial" w:cs="Arial" w:eastAsia="Arial" w:hAnsi="Arial"/>
          <w:sz w:val="22"/>
          <w:szCs w:val="22"/>
        </w:rPr>
        <w:t xml:space="preserve"> — Reduced tissue damage, ulceration, and infiltration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Pro-inflammatory markers</w:t>
      </w:r>
      <w:r>
        <w:rPr>
          <w:rFonts w:ascii="Arial" w:cs="Arial" w:eastAsia="Arial" w:hAnsi="Arial"/>
          <w:sz w:val="22"/>
          <w:szCs w:val="22"/>
        </w:rPr>
        <w:t xml:space="preserve"> — Myeloperoxidase (MPO) activity reduced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↓ Cytokines:</w:t>
      </w:r>
      <w:r>
        <w:rPr>
          <w:rFonts w:ascii="Arial" w:cs="Arial" w:eastAsia="Arial" w:hAnsi="Arial"/>
          <w:sz w:val="22"/>
          <w:szCs w:val="22"/>
        </w:rPr>
        <w:t xml:space="preserve"> TNF-α, IL-1β, IL-6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 confirmation:</w:t>
      </w:r>
      <w:r>
        <w:rPr>
          <w:rFonts w:ascii="Arial" w:cs="Arial" w:eastAsia="Arial" w:hAnsi="Arial"/>
          <w:sz w:val="22"/>
          <w:szCs w:val="22"/>
        </w:rPr>
        <w:t xml:space="preserve"> PPARγ antagonist GW9662 reversed protective effects by 60-70%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Clinical Evidence Summary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Food addiction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RCT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positive for behavior, negative for metabolism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Anxiety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Mouse models show dose-dependent effect; no human trials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Depression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Restraint stress models positive; no human trials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Inflammatory arthritis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(CAIA mice)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Positive; CB2/PPARγ mechanism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IBD/Colitis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(DSS mice)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Positive; dose-dependent; mechanism confirmed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Opioid-sparing mechanism; limited human evidence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gap:</w:t>
      </w:r>
      <w:r>
        <w:rPr>
          <w:rFonts w:ascii="Arial" w:cs="Arial" w:eastAsia="Arial" w:hAnsi="Arial"/>
          <w:sz w:val="22"/>
          <w:szCs w:val="22"/>
        </w:rPr>
        <w:t xml:space="preserve"> Human clinical evidence remains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extremely limited</w:t>
      </w:r>
      <w:r>
        <w:rPr>
          <w:rFonts w:ascii="Arial" w:cs="Arial" w:eastAsia="Arial" w:hAnsi="Arial"/>
          <w:sz w:val="22"/>
          <w:szCs w:val="22"/>
        </w:rPr>
        <w:t xml:space="preserve">. Most therapeutic claims derive from rodent models with uncertain translational potential.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[FDA CFSA: β-Caryophyllene GRAS notification](https://hfpappexternal.fda.gov/scripts/fdcc/index.cfm?set=FoodSubstances&amp;id=CARYOPHYLLENE)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Food addiction RCT in women with obesity](https://www.sciencedirect.com/science/article/abs/pii/S0195666322002513) (limited access)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[FEMA: β-Caryophyllene GRAS flavor library](https://www.femaflavor.org/flavor-library/beta-caryophyllene)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6: CROSS-BOTANICAL SOURCES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Caryophyllene Concentration in Botanical Essential Oils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 Botanical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Common Name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Family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BCP % (w/w)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*Piper nigrum*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pepper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Piperaceae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7-35%*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Variable; high-piperine cultivars have elevated BCP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*Syzygium aromaticum*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Myrtaceae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12-20%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natural BCP source; used as reference standard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*Rosmarinus officinalis*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Rosemary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8.3%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Consistent across cultivars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*Humulus lupulus*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Hops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Cannabaceae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6-15%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Family sibling of Cannabis sativa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*Origanum vulgare*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Oregano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4.9-15.7%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Subspecies-dependent variation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*Ocimum gratissimum*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African basil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5.3-10.5%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Higher than European basil varieties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*Ocimum micranthum*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Brazilian basil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4.0-19.8%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Widest range; cultivar-dependent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*Cinnamomum verum*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True cinnamon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Lauraceae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6.9-11.1%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Sri Lankan cinnamon; C. cassia lower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*Cananga odorata*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Ylang-ylang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Annonaceae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3.1-10.7%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Harvesting time affects concentration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*Lavandula angustifolia*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Lavender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Lamiaceae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4.62-7.55%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English lavender; French types lower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*Copaifera officinalis*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Copaiba balsam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Fabaceae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40-55%**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natural BCP concentration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*\*Black pepper range varies: ~7% for typical cultivars; select cultivars up to 35%*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*\*\*Copaiba represents exceptional accumulation; used as therapeutic BCP source historically*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Special Case: Copaiba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Botanical source:</w:t>
      </w:r>
      <w:r>
        <w:rPr>
          <w:rFonts w:ascii="Arial" w:cs="Arial" w:eastAsia="Arial" w:hAnsi="Arial"/>
          <w:sz w:val="22"/>
          <w:szCs w:val="22"/>
        </w:rPr>
        <w:t xml:space="preserve"> *Copaifera officinalis* (Brazilian Amazon)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  <w:r>
        <w:rPr>
          <w:rFonts w:ascii="Arial" w:cs="Arial" w:eastAsia="Arial" w:hAnsi="Arial"/>
          <w:sz w:val="22"/>
          <w:szCs w:val="22"/>
        </w:rPr>
        <w:t xml:space="preserve"> 40-55% β-caryophyllene (sometimes cited as 60%+)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use:</w:t>
      </w:r>
      <w:r>
        <w:rPr>
          <w:rFonts w:ascii="Arial" w:cs="Arial" w:eastAsia="Arial" w:hAnsi="Arial"/>
          <w:sz w:val="22"/>
          <w:szCs w:val="22"/>
        </w:rPr>
        <w:t xml:space="preserve"> Documented since the 16th century for: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Wound and ulcer healing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properties for skin diseases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Rheumatic disease relief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Respiratory conditions (bronchitis, chronic cystitis)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Medicinal heritage:</w:t>
      </w:r>
      <w:r>
        <w:rPr>
          <w:rFonts w:ascii="Arial" w:cs="Arial" w:eastAsia="Arial" w:hAnsi="Arial"/>
          <w:sz w:val="22"/>
          <w:szCs w:val="22"/>
        </w:rPr>
        <w:t xml:space="preserve"> Used in Brazilian folk medicine since at least 1625 for chronic conditions. The anti-inflammatory activity has been attributed to sesquiterpenes, particularly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β-bisabolene and β-caryophyllene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Hops and Cannabaceae Family Connection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taxonomic note:</w:t>
      </w:r>
      <w:r>
        <w:rPr>
          <w:rFonts w:ascii="Arial" w:cs="Arial" w:eastAsia="Arial" w:hAnsi="Arial"/>
          <w:sz w:val="22"/>
          <w:szCs w:val="22"/>
        </w:rPr>
        <w:t xml:space="preserve"> Hops (*Humulus lupulus*) belongs to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Cannabaceae family</w:t>
      </w:r>
      <w:r>
        <w:rPr>
          <w:rFonts w:ascii="Arial" w:cs="Arial" w:eastAsia="Arial" w:hAnsi="Arial"/>
          <w:sz w:val="22"/>
          <w:szCs w:val="22"/>
        </w:rPr>
        <w:t xml:space="preserve">, making it a phylogenetic sibling of *Cannabis sativa*.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Hops terpene profile: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Total essential oil:</w:t>
      </w:r>
      <w:r>
        <w:rPr>
          <w:rFonts w:ascii="Arial" w:cs="Arial" w:eastAsia="Arial" w:hAnsi="Arial"/>
          <w:sz w:val="22"/>
          <w:szCs w:val="22"/>
        </w:rPr>
        <w:t xml:space="preserve"> Myrcene + humulene + caryophyllene =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80-90% of total terpene mass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Caryophyllene contribution:</w:t>
      </w:r>
      <w:r>
        <w:rPr>
          <w:rFonts w:ascii="Arial" w:cs="Arial" w:eastAsia="Arial" w:hAnsi="Arial"/>
          <w:sz w:val="22"/>
          <w:szCs w:val="22"/>
        </w:rPr>
        <w:t xml:space="preserve"> 6-15% of hop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Biosynthetic similarity:</w:t>
      </w:r>
      <w:r>
        <w:rPr>
          <w:rFonts w:ascii="Arial" w:cs="Arial" w:eastAsia="Arial" w:hAnsi="Arial"/>
          <w:sz w:val="22"/>
          <w:szCs w:val="22"/>
        </w:rPr>
        <w:t xml:space="preserve"> Both hops and cannabis express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sesquiterpene synthases</w:t>
      </w:r>
      <w:r>
        <w:rPr>
          <w:rFonts w:ascii="Arial" w:cs="Arial" w:eastAsia="Arial" w:hAnsi="Arial"/>
          <w:sz w:val="22"/>
          <w:szCs w:val="22"/>
        </w:rPr>
        <w:t xml:space="preserve"> (Hop SESQUITERPENE SYNTHASE1, HlSTS1) that form caryophyllene and humulene from FPP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Beer applications:</w:t>
      </w:r>
      <w:r>
        <w:rPr>
          <w:rFonts w:ascii="Arial" w:cs="Arial" w:eastAsia="Arial" w:hAnsi="Arial"/>
          <w:sz w:val="22"/>
          <w:szCs w:val="22"/>
        </w:rPr>
        <w:t xml:space="preserve"> Caryophyllene survives late hopping, dry hopping, and is concentrated in hop extracts — contributing spicy, black pepper, woody character to craft beers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Concentration Variation Factors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concentrations vary significantly based 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Species/cultivar genetics</w:t>
      </w:r>
      <w:r>
        <w:rPr>
          <w:rFonts w:ascii="Arial" w:cs="Arial" w:eastAsia="Arial" w:hAnsi="Arial"/>
          <w:sz w:val="22"/>
          <w:szCs w:val="22"/>
        </w:rPr>
        <w:t xml:space="preserve"> — Up to 10-fold variation possible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 part harvested</w:t>
      </w:r>
      <w:r>
        <w:rPr>
          <w:rFonts w:ascii="Arial" w:cs="Arial" w:eastAsia="Arial" w:hAnsi="Arial"/>
          <w:sz w:val="22"/>
          <w:szCs w:val="22"/>
        </w:rPr>
        <w:t xml:space="preserve"> — Flowering/reproductive tissues highest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Harvest timing</w:t>
      </w:r>
      <w:r>
        <w:rPr>
          <w:rFonts w:ascii="Arial" w:cs="Arial" w:eastAsia="Arial" w:hAnsi="Arial"/>
          <w:sz w:val="22"/>
          <w:szCs w:val="22"/>
        </w:rPr>
        <w:t xml:space="preserve"> — Developmental stage influences terpene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Growing climate</w:t>
      </w:r>
      <w:r>
        <w:rPr>
          <w:rFonts w:ascii="Arial" w:cs="Arial" w:eastAsia="Arial" w:hAnsi="Arial"/>
          <w:sz w:val="22"/>
          <w:szCs w:val="22"/>
        </w:rPr>
        <w:t xml:space="preserve"> — Temperature, UV exposure, water 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Extraction method</w:t>
      </w:r>
      <w:r>
        <w:rPr>
          <w:rFonts w:ascii="Arial" w:cs="Arial" w:eastAsia="Arial" w:hAnsi="Arial"/>
          <w:sz w:val="22"/>
          <w:szCs w:val="22"/>
        </w:rPr>
        <w:t xml:space="preserve"> — Essential oil vs. solvent extraction vs. whole plant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Post-harvest handling</w:t>
      </w:r>
      <w:r>
        <w:rPr>
          <w:rFonts w:ascii="Arial" w:cs="Arial" w:eastAsia="Arial" w:hAnsi="Arial"/>
          <w:sz w:val="22"/>
          <w:szCs w:val="22"/>
        </w:rPr>
        <w:t xml:space="preserve"> — Oxidation converts BCP to caryophyllene oxide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Storage conditions</w:t>
      </w:r>
      <w:r>
        <w:rPr>
          <w:rFonts w:ascii="Arial" w:cs="Arial" w:eastAsia="Arial" w:hAnsi="Arial"/>
          <w:sz w:val="22"/>
          <w:szCs w:val="22"/>
        </w:rPr>
        <w:t xml:space="preserve"> — Light, temperature, oxygen exposure degrade BCP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Caryophyllene botanical sources](https://en.wikipedia.org/wiki/Caryophyllene)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[Leafly: Caryophyllene in plants](https://www.leafly.com/news/science-tech/caryophyllene-terpene)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[Earthy Now: Caryophyllene in essential oils](https://earthynow.com/beta-caryophyllene-the-peppery-terpene/)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[Oxford Academic: "Terpene Biosynthesis in Glandular Trichomes of Hop"](https://academic.oup.com/plphys/article/148/3/1254/6107567)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"The hops genome contains a mid-sized terpene synthase family"](https://pmc.ncbi.nlm.nih.gov/articles/PMC10214682/)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[Gaia Garden: Copaiba essential oil](https://www.gaiagarden.com/products/copaiba-copaifera-officinalis-essential-oil)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7: MOLECULAR COUSINS &amp; SESQUITERPENE RELATIVES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Ring-Opened Isomer: α-Humulene (α-Caryophyllene)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IUPAC designation:</w:t>
      </w:r>
      <w:r>
        <w:rPr>
          <w:rFonts w:ascii="Arial" w:cs="Arial" w:eastAsia="Arial" w:hAnsi="Arial"/>
          <w:sz w:val="22"/>
          <w:szCs w:val="22"/>
        </w:rPr>
        <w:t xml:space="preserve"> (2E)-3,3-Dimethyl-5-(2,6-dimethyl-7-oct-6-enyl)cyclohex-1-ene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Molecular formula:</w:t>
      </w:r>
      <w:r>
        <w:rPr>
          <w:rFonts w:ascii="Arial" w:cs="Arial" w:eastAsia="Arial" w:hAnsi="Arial"/>
          <w:sz w:val="22"/>
          <w:szCs w:val="22"/>
        </w:rPr>
        <w:t xml:space="preserve"> C₁₅H₂₄ (identical to β-caryophyllene)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Ring structure: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Monocyclic</w:t>
      </w:r>
      <w:r>
        <w:rPr>
          <w:rFonts w:ascii="Arial" w:cs="Arial" w:eastAsia="Arial" w:hAnsi="Arial"/>
          <w:sz w:val="22"/>
          <w:szCs w:val="22"/>
        </w:rPr>
        <w:t xml:space="preserve"> — Single 11-membered ring (vs. BCP's bicyclic structure)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Biosynthetic Relationship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Humulene is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monocyclic precursor pathway</w:t>
      </w:r>
      <w:r>
        <w:rPr>
          <w:rFonts w:ascii="Arial" w:cs="Arial" w:eastAsia="Arial" w:hAnsi="Arial"/>
          <w:sz w:val="22"/>
          <w:szCs w:val="22"/>
        </w:rPr>
        <w:t xml:space="preserve"> of caryophyllene: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Cyclization of FPP → (E,E)-humulyl carbocation (intermediate)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Pathway 1: Humulyl carbocation stabilization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α-Humulene</w:t>
      </w:r>
      <w:r>
        <w:rPr>
          <w:rFonts w:ascii="Arial" w:cs="Arial" w:eastAsia="Arial" w:hAnsi="Arial"/>
          <w:sz w:val="22"/>
          <w:szCs w:val="22"/>
        </w:rPr>
        <w:t xml:space="preserve"> (11-membered ring)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Pathway 2: Further bicyclization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β-Caryophyllene</w:t>
      </w:r>
      <w:r>
        <w:rPr>
          <w:rFonts w:ascii="Arial" w:cs="Arial" w:eastAsia="Arial" w:hAnsi="Arial"/>
          <w:sz w:val="22"/>
          <w:szCs w:val="22"/>
        </w:rPr>
        <w:t xml:space="preserve"> (thermodynamically favored)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two compounds are produced in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2.5:1 ratio</w:t>
      </w:r>
      <w:r>
        <w:rPr>
          <w:rFonts w:ascii="Arial" w:cs="Arial" w:eastAsia="Arial" w:hAnsi="Arial"/>
          <w:sz w:val="22"/>
          <w:szCs w:val="22"/>
        </w:rPr>
        <w:t xml:space="preserve"> (BCP:humulene) by the CsTPS9FN synthase in cannabis.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Pharmacological Comparison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β-Caryophyllene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α-Humulene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 agonism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Full agonist, Ki 155 nM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Weak/partial (not characterized)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CB1 binding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None (assumed)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Strong (NF-κB, PPARγ)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Spicy, peppery, woody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Herbal, earthy, warm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Potentiating Effects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Research suggests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 anticancer activity</w:t>
      </w:r>
      <w:r>
        <w:rPr>
          <w:rFonts w:ascii="Arial" w:cs="Arial" w:eastAsia="Arial" w:hAnsi="Arial"/>
          <w:sz w:val="22"/>
          <w:szCs w:val="22"/>
        </w:rPr>
        <w:t xml:space="preserve"> when humulene and caryophyllene are combined with paclitaxel (chemotherapy agent), though clinical significance remains unclear.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Oxidized Metabolite: Caryophyllene Oxide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identity:</w:t>
      </w:r>
      <w:r>
        <w:rPr>
          <w:rFonts w:ascii="Arial" w:cs="Arial" w:eastAsia="Arial" w:hAnsi="Arial"/>
          <w:sz w:val="22"/>
          <w:szCs w:val="22"/>
        </w:rPr>
        <w:t xml:space="preserve"> Epoxide form of β-caryophyllene (alkene → epoxide)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Formation:</w:t>
      </w:r>
      <w:r>
        <w:rPr>
          <w:rFonts w:ascii="Arial" w:cs="Arial" w:eastAsia="Arial" w:hAnsi="Arial"/>
          <w:sz w:val="22"/>
          <w:szCs w:val="22"/>
        </w:rPr>
        <w:t xml:space="preserve"> Post-harvest oxidation; enzymatic oxidation (cytochrome P450); storage degradation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status:</w:t>
      </w:r>
      <w:r>
        <w:rPr>
          <w:rFonts w:ascii="Arial" w:cs="Arial" w:eastAsia="Arial" w:hAnsi="Arial"/>
          <w:sz w:val="22"/>
          <w:szCs w:val="22"/>
        </w:rPr>
        <w:t xml:space="preserve"> FDA-approved food additive; used as flavoring agent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Drug Detection Significance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Caryophyllene oxide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 compound trained to detection</w:t>
      </w:r>
      <w:r>
        <w:rPr>
          <w:rFonts w:ascii="Arial" w:cs="Arial" w:eastAsia="Arial" w:hAnsi="Arial"/>
          <w:sz w:val="22"/>
          <w:szCs w:val="22"/>
        </w:rPr>
        <w:t xml:space="preserve"> by law enforcement drug-sniffing dogs: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Dogs are trained to react to caryophyllene oxide and β-caryophyllene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Both compounds occur naturally in cannabis AND in non-cannabis plants (clove, hops, rosemary)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This explains why drug-sniffing dogs alert on cannabis-free essential oils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Pharmacological Properties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Caryophyllene oxide exhibits: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Similar CB2 affinity to parent β-caryophyllene (literature data limited)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Additional use in cosmetics and pharmaceutical formulations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Distinct sensory profile from BCP (less peppery, more floral-woody)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Isomeric Forms: Cis-Caryophyllene and Isocaryophyllene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relationship:</w:t>
      </w:r>
      <w:r>
        <w:rPr>
          <w:rFonts w:ascii="Arial" w:cs="Arial" w:eastAsia="Arial" w:hAnsi="Arial"/>
          <w:sz w:val="22"/>
          <w:szCs w:val="22"/>
        </w:rPr>
        <w:t xml:space="preserve"> 180° rotation of the bicyclic core (simple ring rotation, not ring rearrangement)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Natural abundance:</w:t>
      </w:r>
      <w:r>
        <w:rPr>
          <w:rFonts w:ascii="Arial" w:cs="Arial" w:eastAsia="Arial" w:hAnsi="Arial"/>
          <w:sz w:val="22"/>
          <w:szCs w:val="22"/>
        </w:rPr>
        <w:t xml:space="preserve"> Minor components; predominant form is (E)-β-caryophyllene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status:</w:t>
      </w:r>
      <w:r>
        <w:rPr>
          <w:rFonts w:ascii="Arial" w:cs="Arial" w:eastAsia="Arial" w:hAnsi="Arial"/>
          <w:sz w:val="22"/>
          <w:szCs w:val="22"/>
        </w:rPr>
        <w:t xml:space="preserve"> Literature characterization limited; assumed reduced CB2 affinity based on structural geometry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Sesquiterpene Cousins in Caryophyllane Class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caryophyllane sesquiterpene family</w:t>
      </w:r>
      <w:r>
        <w:rPr>
          <w:rFonts w:ascii="Arial" w:cs="Arial" w:eastAsia="Arial" w:hAnsi="Arial"/>
          <w:sz w:val="22"/>
          <w:szCs w:val="22"/>
        </w:rPr>
        <w:t xml:space="preserve"> includes: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(bicyclic, primary)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α-Humulene (monocyclic, co-synthesized)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Caryophyllene oxide (oxidized form)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Isocaryophyllene (isomeric form)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β-Caryophyllene alcohol (reduced form; limited literature)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Cancer research note:</w:t>
      </w:r>
      <w:r>
        <w:rPr>
          <w:rFonts w:ascii="Arial" w:cs="Arial" w:eastAsia="Arial" w:hAnsi="Arial"/>
          <w:sz w:val="22"/>
          <w:szCs w:val="22"/>
        </w:rPr>
        <w:t xml:space="preserve"> The caryophyllane family shows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chemopreventive potential</w:t>
      </w:r>
      <w:r>
        <w:rPr>
          <w:rFonts w:ascii="Arial" w:cs="Arial" w:eastAsia="Arial" w:hAnsi="Arial"/>
          <w:sz w:val="22"/>
          <w:szCs w:val="22"/>
        </w:rPr>
        <w:t xml:space="preserve"> with preliminary evidence in both in vitro and in vivo cancer models, though clinical translation remains speculative.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Humulene](https://en.wikipedia.org/wiki/Humulene)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"Chemopreventive Potential of Caryophyllane Sesquiterpenes"](https://pmc.ncbi.nlm.nih.gov/articles/PMC7603190/)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[ResearchGate: "Potentiating effect of beta-caryophyllene on alpha-humulene, isocaryophyllene anticancer activity"](https://www.researchgate.net/publication/5795422_Potentiating_effect_of_beta-caryophyllene_on_anticancer_activity_of_alpha-humulene_isocaryophyllene_and_paclitaxel)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8: WINE &amp; BEVERAGE BRIDGES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Rotundone: The "Pepper" Molecule in Wine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identity:</w:t>
      </w:r>
      <w:r>
        <w:rPr>
          <w:rFonts w:ascii="Arial" w:cs="Arial" w:eastAsia="Arial" w:hAnsi="Arial"/>
          <w:sz w:val="22"/>
          <w:szCs w:val="22"/>
        </w:rPr>
        <w:t xml:space="preserve"> Oxygenated sesquiterpene; molecular formula C₁₅H₂₂O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Discovery:</w:t>
      </w:r>
      <w:r>
        <w:rPr>
          <w:rFonts w:ascii="Arial" w:cs="Arial" w:eastAsia="Arial" w:hAnsi="Arial"/>
          <w:sz w:val="22"/>
          <w:szCs w:val="22"/>
        </w:rPr>
        <w:t xml:space="preserve"> Formally identified in 2008 in Australian Syrah wines (Gable et al.)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distinction:</w:t>
      </w:r>
      <w:r>
        <w:rPr>
          <w:rFonts w:ascii="Arial" w:cs="Arial" w:eastAsia="Arial" w:hAnsi="Arial"/>
          <w:sz w:val="22"/>
          <w:szCs w:val="22"/>
        </w:rPr>
        <w:t xml:space="preserve"> Rotundone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β-caryophyllene</w:t>
      </w:r>
      <w:r>
        <w:rPr>
          <w:rFonts w:ascii="Arial" w:cs="Arial" w:eastAsia="Arial" w:hAnsi="Arial"/>
          <w:sz w:val="22"/>
          <w:szCs w:val="22"/>
        </w:rPr>
        <w:t xml:space="preserve"> but rather a distinct sesquiterpene with the same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peppery aroma profile</w:t>
      </w:r>
      <w:r>
        <w:rPr>
          <w:rFonts w:ascii="Arial" w:cs="Arial" w:eastAsia="Arial" w:hAnsi="Arial"/>
          <w:sz w:val="22"/>
          <w:szCs w:val="22"/>
        </w:rPr>
        <w:t xml:space="preserve"> and similar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sesquiterpene scaffold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Wine Varieties with High Rotundone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Grape Variety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Rotundone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Aroma Character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Geographic Association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Syrah/Shiraz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Varies by clone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Black pepper, spice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Australia (especially clone 2626)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Grüner Veltliner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Highest reported: 1.91 μg/kg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White pepper, herbal spice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Austria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Mourvèdre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Peppery, earthy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France (Rhône Valley)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Subtle spice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Southwest France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Durif (Petite Sirah)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Dense pepper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California</w:t>
            </w:r>
          </w:p>
        </w:tc>
      </w:tr>
    </w:tbl>
    <w:p>
      <w:pPr>
        <w:spacing w:after="120"/>
      </w:pP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Viticultural Factors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Rotundone accumulation is controlled by: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Temperature:</w:t>
      </w:r>
      <w:r>
        <w:rPr>
          <w:rFonts w:ascii="Arial" w:cs="Arial" w:eastAsia="Arial" w:hAnsi="Arial"/>
          <w:sz w:val="22"/>
          <w:szCs w:val="22"/>
        </w:rPr>
        <w:t xml:space="preserve"> Negative correlation with daily solar exposure; cooler vintages produce higher rotundone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Water stress:</w:t>
      </w:r>
      <w:r>
        <w:rPr>
          <w:rFonts w:ascii="Arial" w:cs="Arial" w:eastAsia="Arial" w:hAnsi="Arial"/>
          <w:sz w:val="22"/>
          <w:szCs w:val="22"/>
        </w:rPr>
        <w:t xml:space="preserve"> Moderate water stress increases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Vintage effects:</w:t>
      </w:r>
      <w:r>
        <w:rPr>
          <w:rFonts w:ascii="Arial" w:cs="Arial" w:eastAsia="Arial" w:hAnsi="Arial"/>
          <w:sz w:val="22"/>
          <w:szCs w:val="22"/>
        </w:rPr>
        <w:t xml:space="preserve"> Cool growing seasons favor higher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Clone genetics:</w:t>
      </w:r>
      <w:r>
        <w:rPr>
          <w:rFonts w:ascii="Arial" w:cs="Arial" w:eastAsia="Arial" w:hAnsi="Arial"/>
          <w:sz w:val="22"/>
          <w:szCs w:val="22"/>
        </w:rPr>
        <w:t xml:space="preserve"> Clone 2626 (Syrah) shows significantly higher rotundone than Clone 1127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creates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vintage effect</w:t>
      </w:r>
      <w:r>
        <w:rPr>
          <w:rFonts w:ascii="Arial" w:cs="Arial" w:eastAsia="Arial" w:hAnsi="Arial"/>
          <w:sz w:val="22"/>
          <w:szCs w:val="22"/>
        </w:rPr>
        <w:t xml:space="preserve"> analogous to cannabinoid/terpene profiles in cannabis — cooler growing conditions favor secondary metabolite accumulation.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Hops and Cannabis: Shared Terpene Biology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Family connection:</w:t>
      </w:r>
      <w:r>
        <w:rPr>
          <w:rFonts w:ascii="Arial" w:cs="Arial" w:eastAsia="Arial" w:hAnsi="Arial"/>
          <w:sz w:val="22"/>
          <w:szCs w:val="22"/>
        </w:rPr>
        <w:t xml:space="preserve"> Both *Humulus lupulus* and *Cannabis sativa* belong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Cannabaceae family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Terpene similarity:</w:t>
      </w:r>
      <w:r>
        <w:rPr>
          <w:rFonts w:ascii="Arial" w:cs="Arial" w:eastAsia="Arial" w:hAnsi="Arial"/>
          <w:sz w:val="22"/>
          <w:szCs w:val="22"/>
        </w:rPr>
        <w:t xml:space="preserve"> Both generate: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Caryophyllene</w:t>
      </w:r>
      <w:r>
        <w:rPr>
          <w:rFonts w:ascii="Arial" w:cs="Arial" w:eastAsia="Arial" w:hAnsi="Arial"/>
          <w:sz w:val="22"/>
          <w:szCs w:val="22"/>
        </w:rPr>
        <w:t xml:space="preserve"> — 6-15% of hop oil; major sesquiterpene in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Humulene</w:t>
      </w:r>
      <w:r>
        <w:rPr>
          <w:rFonts w:ascii="Arial" w:cs="Arial" w:eastAsia="Arial" w:hAnsi="Arial"/>
          <w:sz w:val="22"/>
          <w:szCs w:val="22"/>
        </w:rPr>
        <w:t xml:space="preserve"> — Co-product of sesquiterpene synthesis in both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Myrcene</w:t>
      </w:r>
      <w:r>
        <w:rPr>
          <w:rFonts w:ascii="Arial" w:cs="Arial" w:eastAsia="Arial" w:hAnsi="Arial"/>
          <w:sz w:val="22"/>
          <w:szCs w:val="22"/>
        </w:rPr>
        <w:t xml:space="preserve"> — Major monoterpene in both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Myrcene + humulene + caryophyllene = 80-90% of total hop essential oil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Beer-cannabis bridge:</w:t>
      </w:r>
      <w:r>
        <w:rPr>
          <w:rFonts w:ascii="Arial" w:cs="Arial" w:eastAsia="Arial" w:hAnsi="Arial"/>
          <w:sz w:val="22"/>
          <w:szCs w:val="22"/>
        </w:rPr>
        <w:t xml:space="preserve"> Craft brewers using certain hop varieties (high in caryophyllene and humulene) create beers with spicy, peppery character similar to cannabis strains high in these terpenes.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Late hopping significance:</w:t>
      </w:r>
      <w:r>
        <w:rPr>
          <w:rFonts w:ascii="Arial" w:cs="Arial" w:eastAsia="Arial" w:hAnsi="Arial"/>
          <w:sz w:val="22"/>
          <w:szCs w:val="22"/>
        </w:rPr>
        <w:t xml:space="preserve"> Unlike volatile monoterpenes, sesquiterpenes like caryophyllene survive the brewing process through: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Late hopping (final 5-15 minutes of boil)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Dry hopping (post-fermentation addition)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Hop extract products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allows sesquiterpene character to persist in finished beer — impossible with monoterpenes like myrcene (bp ~167°C).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Black Pepper in Beverages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integration:</w:t>
      </w:r>
      <w:r>
        <w:rPr>
          <w:rFonts w:ascii="Arial" w:cs="Arial" w:eastAsia="Arial" w:hAnsi="Arial"/>
          <w:sz w:val="22"/>
          <w:szCs w:val="22"/>
        </w:rPr>
        <w:t xml:space="preserve"> Black pepper is used in: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Craft spirits infusions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Flavored wines and aperitifs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Spiced beers and brewing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Historical medicinal beverages (now revived in craft/artisanal applications)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Caryophyllene stability:</w:t>
      </w:r>
      <w:r>
        <w:rPr>
          <w:rFonts w:ascii="Arial" w:cs="Arial" w:eastAsia="Arial" w:hAnsi="Arial"/>
          <w:sz w:val="22"/>
          <w:szCs w:val="22"/>
        </w:rPr>
        <w:t xml:space="preserve"> Black pepper's BCP content survives water extraction and brief heating, allowing pepper-derived BCP to contribute flavor to infused beverages.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 Sesquiterpene Bridge Between Cannabis and Wine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Conceptual bridge: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Peppery character</w:t>
      </w:r>
      <w:r>
        <w:rPr>
          <w:rFonts w:ascii="Arial" w:cs="Arial" w:eastAsia="Arial" w:hAnsi="Arial"/>
          <w:sz w:val="22"/>
          <w:szCs w:val="22"/>
        </w:rPr>
        <w:t xml:space="preserve"> in wine comes from rotundone (distinct sesquiterpene)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Peppery character</w:t>
      </w:r>
      <w:r>
        <w:rPr>
          <w:rFonts w:ascii="Arial" w:cs="Arial" w:eastAsia="Arial" w:hAnsi="Arial"/>
          <w:sz w:val="22"/>
          <w:szCs w:val="22"/>
        </w:rPr>
        <w:t xml:space="preserve"> in cannabis comes from β-caryophyllene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</w:t>
      </w:r>
      <w:r>
        <w:rPr>
          <w:rFonts w:ascii="Arial" w:cs="Arial" w:eastAsia="Arial" w:hAnsi="Arial"/>
          <w:sz w:val="22"/>
          <w:szCs w:val="22"/>
        </w:rPr>
        <w:t xml:space="preserve"> are sesquiterpenes with similar aroma profiles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</w:t>
      </w:r>
      <w:r>
        <w:rPr>
          <w:rFonts w:ascii="Arial" w:cs="Arial" w:eastAsia="Arial" w:hAnsi="Arial"/>
          <w:sz w:val="22"/>
          <w:szCs w:val="22"/>
        </w:rPr>
        <w:t xml:space="preserve"> respond to cooler growing conditions and water stress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</w:t>
      </w:r>
      <w:r>
        <w:rPr>
          <w:rFonts w:ascii="Arial" w:cs="Arial" w:eastAsia="Arial" w:hAnsi="Arial"/>
          <w:sz w:val="22"/>
          <w:szCs w:val="22"/>
        </w:rPr>
        <w:t xml:space="preserve"> reflect terroir/environmental effects on secondary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Shared botanical ancestry</w:t>
      </w:r>
      <w:r>
        <w:rPr>
          <w:rFonts w:ascii="Arial" w:cs="Arial" w:eastAsia="Arial" w:hAnsi="Arial"/>
          <w:sz w:val="22"/>
          <w:szCs w:val="22"/>
        </w:rPr>
        <w:t xml:space="preserve"> — Hops (Cannabaceae) bridges cannabis and beer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Therapeutic implication for pre-loading:</w:t>
      </w:r>
      <w:r>
        <w:rPr>
          <w:rFonts w:ascii="Arial" w:cs="Arial" w:eastAsia="Arial" w:hAnsi="Arial"/>
          <w:sz w:val="22"/>
          <w:szCs w:val="22"/>
        </w:rPr>
        <w:t xml:space="preserve"> A person familiar with peppery wine aromatics (rotundone) or peppery beer aromatics (caryophyllene from hops) will recognize similar sensory profiles in BCP-rich cannabis strains, potentially enhancing perceptual and psychological priming effects.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[OENO One: "May peppery wines be the spice of life? A review of rotundone"](https://oeno-one.eu/article/view/2947)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[SevenFifty Daily: "The Science of Rotundone in Wine"](https://daily.sevenfifty.com/the-science-of-rotundone-in-wine/)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[ResearchGate: "The sesquiterpene rotundone is an impact aroma in Gruener Veltliner"](https://www.researchgate.net/publication/277148390_The_sesquiterpene_rotundone_is_an_impact_aroma_in_Gruener_Veltliner_and_other_peppery_wines)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"Determination of rotundone in grapes and wine"](https://pubmed.ncbi.nlm.nih.gov/18461962/)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[AWRI: "Rotundone in iconic peppery Australian cool climate Shiraz"](https://www.awri.com.au/research_and_development/2017-2025-rde-plan-projects/project-4-4-4/)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9: PERFUMERY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Fragrance Classification and Use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Base note classification:</w:t>
      </w:r>
      <w:r>
        <w:rPr>
          <w:rFonts w:ascii="Arial" w:cs="Arial" w:eastAsia="Arial" w:hAnsi="Arial"/>
          <w:sz w:val="22"/>
          <w:szCs w:val="22"/>
        </w:rPr>
        <w:t xml:space="preserve"> β-Caryophyllene functions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middle to base note</w:t>
      </w:r>
      <w:r>
        <w:rPr>
          <w:rFonts w:ascii="Arial" w:cs="Arial" w:eastAsia="Arial" w:hAnsi="Arial"/>
          <w:sz w:val="22"/>
          <w:szCs w:val="22"/>
        </w:rPr>
        <w:t xml:space="preserve">, contributing: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Fixative properties</w:t>
      </w:r>
      <w:r>
        <w:rPr>
          <w:rFonts w:ascii="Arial" w:cs="Arial" w:eastAsia="Arial" w:hAnsi="Arial"/>
          <w:sz w:val="22"/>
          <w:szCs w:val="22"/>
        </w:rPr>
        <w:t xml:space="preserve"> — Low volatility increases fragrance longevity (boiling point 250°C)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Tenacity</w:t>
      </w:r>
      <w:r>
        <w:rPr>
          <w:rFonts w:ascii="Arial" w:cs="Arial" w:eastAsia="Arial" w:hAnsi="Arial"/>
          <w:sz w:val="22"/>
          <w:szCs w:val="22"/>
        </w:rPr>
        <w:t xml:space="preserve"> — Persistent aroma projection over 4-6+ hours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Depth and complexity</w:t>
      </w:r>
      <w:r>
        <w:rPr>
          <w:rFonts w:ascii="Arial" w:cs="Arial" w:eastAsia="Arial" w:hAnsi="Arial"/>
          <w:sz w:val="22"/>
          <w:szCs w:val="22"/>
        </w:rPr>
        <w:t xml:space="preserve"> — Adds woody-spicy dimension to fragrance structure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Fragrance Accord Applications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BCP is used in: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Fragrance Category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Oriental/Amber accords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Base note modifier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warmth and spice to classic oriental 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Woody-spicy compositions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Middle-to-base bridging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Connects spicy top notes to woody bases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Fougère fragrances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Spicy modifier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Adds herbal-spicy character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Spice accords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Clove, pepper, cinnamon blends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Luxury niche perfumes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High-end fine fragrance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Provides naturalistic spicy depth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Functional fragrances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Cosmetics, skincare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Subtle flavor and aroma enhancement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Synthetic Alternatives and Market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Synthetic β-caryophyllene: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CAS 13877-93-5 (synthetic form)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Chemically identical to natural form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Cost-effective for large-scale fragrance manufacture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Regulatory advantage: GRAS status applies to both natural and synthetic forms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scale:</w:t>
      </w:r>
      <w:r>
        <w:rPr>
          <w:rFonts w:ascii="Arial" w:cs="Arial" w:eastAsia="Arial" w:hAnsi="Arial"/>
          <w:sz w:val="22"/>
          <w:szCs w:val="22"/>
        </w:rPr>
        <w:t xml:space="preserve"> β-Caryophyllene is used 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100-1000 metric tons annually</w:t>
      </w:r>
      <w:r>
        <w:rPr>
          <w:rFonts w:ascii="Arial" w:cs="Arial" w:eastAsia="Arial" w:hAnsi="Arial"/>
          <w:sz w:val="22"/>
          <w:szCs w:val="22"/>
        </w:rPr>
        <w:t xml:space="preserve"> across all industries (food, fragrance, cosmetic), making it a bulk industrial chemical despite its sophisticated aromatic properties.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Caryophyllene Oxide in Perfumery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Distinct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Adds "dry elegance" to floral and oriental bases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Acts as "spicy-woody bridge" for luxury accords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Provides depth to oriental structures without the peppery sharpness of BCP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Sensory threshold slightly different from parent compound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Application:</w:t>
      </w:r>
      <w:r>
        <w:rPr>
          <w:rFonts w:ascii="Arial" w:cs="Arial" w:eastAsia="Arial" w:hAnsi="Arial"/>
          <w:sz w:val="22"/>
          <w:szCs w:val="22"/>
        </w:rPr>
        <w:t xml:space="preserve"> Often used in combination with parent β-caryophyllene for layered spicy effects.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Caryophyllene in perfumery](https://www.scentspiracy.com/fragrance-ingredients/p/caryophyllene)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[PerfumersWorld: Beta-Caryophyllene specifications](https://www.perfumersworld.com/view.php?pro_id=3WS00089)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[Consolidated Chemical: Caryophyllene products](https://consolidated-chemical.com/)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[Good Scents Company: Caryophyllene sensory profile](https://www.thegoodscentscompany.com/data/rw1060851.html)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10: CULINARY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Black Pepper as Primary Dietary Source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Global usage:</w:t>
      </w:r>
      <w:r>
        <w:rPr>
          <w:rFonts w:ascii="Arial" w:cs="Arial" w:eastAsia="Arial" w:hAnsi="Arial"/>
          <w:sz w:val="22"/>
          <w:szCs w:val="22"/>
        </w:rPr>
        <w:t xml:space="preserve"> Black pepper (*Piper nigrum*) is the most consumed spice globally, making it the principal dietary source of β-caryophyllene for most populations.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BCP concentration:</w:t>
      </w:r>
      <w:r>
        <w:rPr>
          <w:rFonts w:ascii="Arial" w:cs="Arial" w:eastAsia="Arial" w:hAnsi="Arial"/>
          <w:sz w:val="22"/>
          <w:szCs w:val="22"/>
        </w:rPr>
        <w:t xml:space="preserve"> 7-35% depending on cultivar (common varieties ~7%, specialized peppercorns up to 35%)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Culinary functions: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Flavor modulation in virtually all savory cuisines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Piperine (alkaloid) provides heat; caryophyllene provides spice aroma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Used in whole-grain, cracked, or ground forms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Thermal Stability During Cooking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  <w:r>
        <w:rPr>
          <w:rFonts w:ascii="Arial" w:cs="Arial" w:eastAsia="Arial" w:hAnsi="Arial"/>
          <w:sz w:val="22"/>
          <w:szCs w:val="22"/>
        </w:rPr>
        <w:t xml:space="preserve"> Proper thermal management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preserves BCP</w:t>
      </w:r>
      <w:r>
        <w:rPr>
          <w:rFonts w:ascii="Arial" w:cs="Arial" w:eastAsia="Arial" w:hAnsi="Arial"/>
          <w:sz w:val="22"/>
          <w:szCs w:val="22"/>
        </w:rPr>
        <w:t xml:space="preserve"> during spice preparation: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Dry-roasting protocols for terpene preservation: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Low-and-slow roasting:</w:t>
      </w:r>
      <w:r>
        <w:rPr>
          <w:rFonts w:ascii="Arial" w:cs="Arial" w:eastAsia="Arial" w:hAnsi="Arial"/>
          <w:sz w:val="22"/>
          <w:szCs w:val="22"/>
        </w:rPr>
        <w:t xml:space="preserve"> 120-140°C for 4-6 minutes → Preserves delicate mono- and sesquiterpenes (limonene, β-caryophyllene)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Flash-roasting</w:t>
      </w:r>
      <w:r>
        <w:rPr>
          <w:rFonts w:ascii="Arial" w:cs="Arial" w:eastAsia="Arial" w:hAnsi="Arial"/>
          <w:sz w:val="22"/>
          <w:szCs w:val="22"/>
        </w:rPr>
        <w:t xml:space="preserve"> (peppercorns only): 175-185°C for 60-90 seconds → Volatilizes harsh alkaloids while concentrating piperine; some BCP loss expected but acceptable for flavor development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Evaporation threshold:</w:t>
      </w:r>
      <w:r>
        <w:rPr>
          <w:rFonts w:ascii="Arial" w:cs="Arial" w:eastAsia="Arial" w:hAnsi="Arial"/>
          <w:sz w:val="22"/>
          <w:szCs w:val="22"/>
        </w:rPr>
        <w:t xml:space="preserve"> Sesquiterpenes like BCP begin significant volatilization above 145°C; complete preservation requires gentle heating below this threshold.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Practical implication:</w:t>
      </w:r>
      <w:r>
        <w:rPr>
          <w:rFonts w:ascii="Arial" w:cs="Arial" w:eastAsia="Arial" w:hAnsi="Arial"/>
          <w:sz w:val="22"/>
          <w:szCs w:val="22"/>
        </w:rPr>
        <w:t xml:space="preserve"> BCP survives standard cooking temperatures (boiling ~100°C, sautéing ~150-160°C) but is partially lost in high-heat roasting. Maximum preservation requires: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Fresh whole peppercorns (minimize pre-oxidation)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Coarse grinding just before use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Addition to dishes in final stages of cooking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Minimal high-heat exposure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Spice Blends Containing Black Pepper and/or Clove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Garam Masala (Indian cuisine)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Coriander seeds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Cumin seeds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 peppercorns</w:t>
      </w:r>
      <w:r>
        <w:rPr>
          <w:rFonts w:ascii="Arial" w:cs="Arial" w:eastAsia="Arial" w:hAnsi="Arial"/>
          <w:sz w:val="22"/>
          <w:szCs w:val="22"/>
        </w:rPr>
        <w:t xml:space="preserve"> (BCP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Cloves</w:t>
      </w:r>
      <w:r>
        <w:rPr>
          <w:rFonts w:ascii="Arial" w:cs="Arial" w:eastAsia="Arial" w:hAnsi="Arial"/>
          <w:sz w:val="22"/>
          <w:szCs w:val="22"/>
        </w:rPr>
        <w:t xml:space="preserve"> (BCP source — 12-20% BCP)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Cinnamon sticks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Cardamom pods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Bay leaves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 anise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Preparation method:</w:t>
      </w:r>
      <w:r>
        <w:rPr>
          <w:rFonts w:ascii="Arial" w:cs="Arial" w:eastAsia="Arial" w:hAnsi="Arial"/>
          <w:sz w:val="22"/>
          <w:szCs w:val="22"/>
        </w:rPr>
        <w:t xml:space="preserve"> Individual spices roasted separately (important for flavor development) at low-to-moderate temperatures, then ground together. Caryophyllene content preserved if roasting temperature kept below 145°C.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Chinese Five-Spice Blend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Cinnamon (6.9-11.1% BCP)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Star anise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Fennel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</w:t>
      </w:r>
      <w:r>
        <w:rPr>
          <w:rFonts w:ascii="Arial" w:cs="Arial" w:eastAsia="Arial" w:hAnsi="Arial"/>
          <w:sz w:val="22"/>
          <w:szCs w:val="22"/>
        </w:rPr>
        <w:t xml:space="preserve"> (high BCP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Sichuan peppercorns</w:t>
      </w:r>
      <w:r>
        <w:rPr>
          <w:rFonts w:ascii="Arial" w:cs="Arial" w:eastAsia="Arial" w:hAnsi="Arial"/>
          <w:sz w:val="22"/>
          <w:szCs w:val="22"/>
        </w:rPr>
        <w:t xml:space="preserve"> (Zanthoxylum — contains unrelated pungent compounds)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Ras el Hanout (North African cuisine)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Profile:</w:t>
      </w:r>
      <w:r>
        <w:rPr>
          <w:rFonts w:ascii="Arial" w:cs="Arial" w:eastAsia="Arial" w:hAnsi="Arial"/>
          <w:sz w:val="22"/>
          <w:szCs w:val="22"/>
        </w:rPr>
        <w:t xml:space="preserve"> Complex spice blend typically containing: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Clove</w:t>
      </w:r>
      <w:r>
        <w:rPr>
          <w:rFonts w:ascii="Arial" w:cs="Arial" w:eastAsia="Arial" w:hAnsi="Arial"/>
          <w:sz w:val="22"/>
          <w:szCs w:val="22"/>
        </w:rPr>
        <w:t xml:space="preserve"> (high BCP)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Black pepper</w:t>
      </w:r>
      <w:r>
        <w:rPr>
          <w:rFonts w:ascii="Arial" w:cs="Arial" w:eastAsia="Arial" w:hAnsi="Arial"/>
          <w:sz w:val="22"/>
          <w:szCs w:val="22"/>
        </w:rPr>
        <w:t xml:space="preserve"> (BCP source)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Cinnamon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Coriander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Cumin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Paprika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Turmeric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And 8-12 additional spices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Caryophyllene contribution:</w:t>
      </w:r>
      <w:r>
        <w:rPr>
          <w:rFonts w:ascii="Arial" w:cs="Arial" w:eastAsia="Arial" w:hAnsi="Arial"/>
          <w:sz w:val="22"/>
          <w:szCs w:val="22"/>
        </w:rPr>
        <w:t xml:space="preserve"> Significant due to clove and pepper content; total BCP concentration varies with specific formulation.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Culinary Implications for Pre-Loading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From a pre-loading perspective: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Dietary priming</w:t>
      </w:r>
      <w:r>
        <w:rPr>
          <w:rFonts w:ascii="Arial" w:cs="Arial" w:eastAsia="Arial" w:hAnsi="Arial"/>
          <w:sz w:val="22"/>
          <w:szCs w:val="22"/>
        </w:rPr>
        <w:t xml:space="preserve"> — Regular consumption of black pepper, clove, and cinnamon could provide baseline CB2 receptor and PPARγ agonism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Sensory familiarity</w:t>
      </w:r>
      <w:r>
        <w:rPr>
          <w:rFonts w:ascii="Arial" w:cs="Arial" w:eastAsia="Arial" w:hAnsi="Arial"/>
          <w:sz w:val="22"/>
          <w:szCs w:val="22"/>
        </w:rPr>
        <w:t xml:space="preserve"> — Familiarization with peppery/spicy flavor profiles enhances sensory recognition of BCP-rich cannabis strains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 optimization</w:t>
      </w:r>
      <w:r>
        <w:rPr>
          <w:rFonts w:ascii="Arial" w:cs="Arial" w:eastAsia="Arial" w:hAnsi="Arial"/>
          <w:sz w:val="22"/>
          <w:szCs w:val="22"/>
        </w:rPr>
        <w:t xml:space="preserve"> — Adding BCP-rich spices to meals 15-30 minutes before cannabis consumption could establish optimal receptor priming window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Thermal protection</w:t>
      </w:r>
      <w:r>
        <w:rPr>
          <w:rFonts w:ascii="Arial" w:cs="Arial" w:eastAsia="Arial" w:hAnsi="Arial"/>
          <w:sz w:val="22"/>
          <w:szCs w:val="22"/>
        </w:rPr>
        <w:t xml:space="preserve"> — Cooking methods that preserve BCP (low-temperature roasting, late-stage addition) maintain maximum phytochemical potency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Garam Masala](https://en.wikipedia.org/wiki/Garam_masala)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[The Spice House: Garam Masala preparation](https://www.thespicehouse.com/products/garam-masala)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[Swasthi's Recipes: Garam Masala recipe with thermal guidance](https://www.indianhealthyrecipes.com/punjabi-garam-masala-powder-recipe/)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11: TRADITIONAL MEDICINE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Brazilian Amazon Traditional Medicine (Copaiba)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Historical documentation:</w:t>
      </w:r>
      <w:r>
        <w:rPr>
          <w:rFonts w:ascii="Arial" w:cs="Arial" w:eastAsia="Arial" w:hAnsi="Arial"/>
          <w:sz w:val="22"/>
          <w:szCs w:val="22"/>
        </w:rPr>
        <w:t xml:space="preserve"> Copaiba (*Copaifera officinalis*) resin-oil has been documented in use since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16th century</w:t>
      </w:r>
      <w:r>
        <w:rPr>
          <w:rFonts w:ascii="Arial" w:cs="Arial" w:eastAsia="Arial" w:hAnsi="Arial"/>
          <w:sz w:val="22"/>
          <w:szCs w:val="22"/>
        </w:rPr>
        <w:t xml:space="preserve"> by Brazilian indigenous peoples and Portuguese colonial healers.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Documented traditional uses (1625-present):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Wound and ulcer healing</w:t>
      </w:r>
      <w:r>
        <w:rPr>
          <w:rFonts w:ascii="Arial" w:cs="Arial" w:eastAsia="Arial" w:hAnsi="Arial"/>
          <w:sz w:val="22"/>
          <w:szCs w:val="22"/>
        </w:rPr>
        <w:t xml:space="preserve"> — Antimicrobial and tissue regeneration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Skin diseases</w:t>
      </w:r>
      <w:r>
        <w:rPr>
          <w:rFonts w:ascii="Arial" w:cs="Arial" w:eastAsia="Arial" w:hAnsi="Arial"/>
          <w:sz w:val="22"/>
          <w:szCs w:val="22"/>
        </w:rPr>
        <w:t xml:space="preserve"> — Inflammatory and infectious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Rheumatic diseases</w:t>
      </w:r>
      <w:r>
        <w:rPr>
          <w:rFonts w:ascii="Arial" w:cs="Arial" w:eastAsia="Arial" w:hAnsi="Arial"/>
          <w:sz w:val="22"/>
          <w:szCs w:val="22"/>
        </w:rPr>
        <w:t xml:space="preserve"> — Pain and inflammation relief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Respiratory conditions: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bronchitis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cystitis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diarrhea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Hemorrhoids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Active principle attribution:</w:t>
      </w:r>
      <w:r>
        <w:rPr>
          <w:rFonts w:ascii="Arial" w:cs="Arial" w:eastAsia="Arial" w:hAnsi="Arial"/>
          <w:sz w:val="22"/>
          <w:szCs w:val="22"/>
        </w:rPr>
        <w:t xml:space="preserve"> Anti-inflammatory activity attributed to sesquiterpene fraction, particularly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β-bisabolene and β-caryophyllene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Modern pharmacological validation:</w:t>
      </w:r>
      <w:r>
        <w:rPr>
          <w:rFonts w:ascii="Arial" w:cs="Arial" w:eastAsia="Arial" w:hAnsi="Arial"/>
          <w:sz w:val="22"/>
          <w:szCs w:val="22"/>
        </w:rPr>
        <w:t xml:space="preserve"> Animal model studies confirm: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efficacy (TNF-α, IL-6 reduction)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Antiviral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Immunostimulant activity (β-endorphin pathway)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Ayurvedic Medicine (Black Pepper Integration)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classification:</w:t>
      </w:r>
      <w:r>
        <w:rPr>
          <w:rFonts w:ascii="Arial" w:cs="Arial" w:eastAsia="Arial" w:hAnsi="Arial"/>
          <w:sz w:val="22"/>
          <w:szCs w:val="22"/>
        </w:rPr>
        <w:t xml:space="preserve"> Black pepper (*Piper nigrum*) is a key component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Trikatu</w:t>
      </w:r>
      <w:r>
        <w:rPr>
          <w:rFonts w:ascii="Arial" w:cs="Arial" w:eastAsia="Arial" w:hAnsi="Arial"/>
          <w:sz w:val="22"/>
          <w:szCs w:val="22"/>
        </w:rPr>
        <w:t xml:space="preserve"> (literally "three pungent spices"), one of the most important formulas in Ayurvedic medicine.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Trikatu composition: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Black pepper (*Piper nigrum*)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Long pepper (*Pippali* — *Piper longum*)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Ginger (*Shunthi* — *Zingiber officinale*)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therapeutic properties: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stimulation and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Metabolic activation ("digestive fire" enhancement)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Circulation improvement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properties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Chemical basis:</w:t>
      </w:r>
      <w:r>
        <w:rPr>
          <w:rFonts w:ascii="Arial" w:cs="Arial" w:eastAsia="Arial" w:hAnsi="Arial"/>
          <w:sz w:val="22"/>
          <w:szCs w:val="22"/>
        </w:rPr>
        <w:t xml:space="preserve"> While Ayurvedic texts predate modern pharmacology, the presence of caryophyllene and other sesquiterpenes in black pepper validates traditional use through CB2 and PPARγ agonism.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Piperine synergy:</w:t>
      </w:r>
      <w:r>
        <w:rPr>
          <w:rFonts w:ascii="Arial" w:cs="Arial" w:eastAsia="Arial" w:hAnsi="Arial"/>
          <w:sz w:val="22"/>
          <w:szCs w:val="22"/>
        </w:rPr>
        <w:t xml:space="preserve"> The primary alkaloid piperine (not a terpene) works synergistically with BCP in black pepper — piperine enhances nutrient bioavailability and has independent anti-inflammatory effects.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Traditional Chinese Medicine (Clove Applications)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TCM nomenclature:</w:t>
      </w:r>
      <w:r>
        <w:rPr>
          <w:rFonts w:ascii="Arial" w:cs="Arial" w:eastAsia="Arial" w:hAnsi="Arial"/>
          <w:sz w:val="22"/>
          <w:szCs w:val="22"/>
        </w:rPr>
        <w:t xml:space="preserve"> Clove is known as "丁香" (*Ding Xiang* — literally "nail fragrance") in Chinese medicine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Traditional 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Warming function (TCM classification: "warm" herb)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Stomach and digestive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Nausea and vomiting relief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properties (particularly oral microbes)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Pain relief (particularly dental pain and inflammation)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TCM energetic profile:</w:t>
      </w:r>
      <w:r>
        <w:rPr>
          <w:rFonts w:ascii="Arial" w:cs="Arial" w:eastAsia="Arial" w:hAnsi="Arial"/>
          <w:sz w:val="22"/>
          <w:szCs w:val="22"/>
        </w:rPr>
        <w:t xml:space="preserve"> Classified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Temperature:</w:t>
      </w:r>
      <w:r>
        <w:rPr>
          <w:rFonts w:ascii="Arial" w:cs="Arial" w:eastAsia="Arial" w:hAnsi="Arial"/>
          <w:sz w:val="22"/>
          <w:szCs w:val="22"/>
        </w:rPr>
        <w:t xml:space="preserve"> Warm/Hot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Taste:</w:t>
      </w:r>
      <w:r>
        <w:rPr>
          <w:rFonts w:ascii="Arial" w:cs="Arial" w:eastAsia="Arial" w:hAnsi="Arial"/>
          <w:sz w:val="22"/>
          <w:szCs w:val="22"/>
        </w:rPr>
        <w:t xml:space="preserve"> Pungent, slightly bitter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Meridians:</w:t>
      </w:r>
      <w:r>
        <w:rPr>
          <w:rFonts w:ascii="Arial" w:cs="Arial" w:eastAsia="Arial" w:hAnsi="Arial"/>
          <w:sz w:val="22"/>
          <w:szCs w:val="22"/>
        </w:rPr>
        <w:t xml:space="preserve"> Affects Stomach, Spleen, Kidney meridians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Functions:</w:t>
      </w:r>
      <w:r>
        <w:rPr>
          <w:rFonts w:ascii="Arial" w:cs="Arial" w:eastAsia="Arial" w:hAnsi="Arial"/>
          <w:sz w:val="22"/>
          <w:szCs w:val="22"/>
        </w:rPr>
        <w:t xml:space="preserve"> Warms Middle Burner, moves Qi, stops pain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Pharmacological validation:</w:t>
      </w:r>
      <w:r>
        <w:rPr>
          <w:rFonts w:ascii="Arial" w:cs="Arial" w:eastAsia="Arial" w:hAnsi="Arial"/>
          <w:sz w:val="22"/>
          <w:szCs w:val="22"/>
        </w:rPr>
        <w:t xml:space="preserve"> Clove's BCP content (12-20%) provides CB2 agonism and PPARγ activation, supporting traditional anti-inflammatory and warming functions.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African Traditional Medicine (Limited Documentation)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General pattern:</w:t>
      </w:r>
      <w:r>
        <w:rPr>
          <w:rFonts w:ascii="Arial" w:cs="Arial" w:eastAsia="Arial" w:hAnsi="Arial"/>
          <w:sz w:val="22"/>
          <w:szCs w:val="22"/>
        </w:rPr>
        <w:t xml:space="preserve"> Caryophyllene-containing plants (black pepper, clove) are used across African traditional medicine contexts for: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support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Pain relief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Specific documentation:</w:t>
      </w:r>
      <w:r>
        <w:rPr>
          <w:rFonts w:ascii="Arial" w:cs="Arial" w:eastAsia="Arial" w:hAnsi="Arial"/>
          <w:sz w:val="22"/>
          <w:szCs w:val="22"/>
        </w:rPr>
        <w:t xml:space="preserve"> Limited English-language literature on African-specific traditional formulations; most documentation relates to broader spice trade use across continents.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Modern Ethnobotanical Integration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Pattern across cultures:</w:t>
      </w:r>
      <w:r>
        <w:rPr>
          <w:rFonts w:ascii="Arial" w:cs="Arial" w:eastAsia="Arial" w:hAnsi="Arial"/>
          <w:sz w:val="22"/>
          <w:szCs w:val="22"/>
        </w:rPr>
        <w:t xml:space="preserve"> Cultures with access to black pepper, clove, and related BCP-rich plants (cinnamon, copaiba where available) independently developed similar uses: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applications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Pain relief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Digestive enhancement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Antimicrobial properties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convergent ethnobotanical pattern</w:t>
      </w:r>
      <w:r>
        <w:rPr>
          <w:rFonts w:ascii="Arial" w:cs="Arial" w:eastAsia="Arial" w:hAnsi="Arial"/>
          <w:sz w:val="22"/>
          <w:szCs w:val="22"/>
        </w:rPr>
        <w:t xml:space="preserve"> suggests: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Empirical discovery of BCP-mediated effects across cultures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Consistent physiological responses despite different theoretical frameworks (Ayurvedic, TCM, Western herbalism)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Therapeutic validity despite pre-modern mechanistic understanding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"Brazilian Amazon Traditional Medicine and Leishmaniasis Wound Treatment"](https://pmc.ncbi.nlm.nih.gov/articles/PMC5282428/)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Copaiba](https://en.wikipedia.org/wiki/Copaiba)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[Florihana: "Copaiba, an Aromatic Treasure From Brazil"](https://www.florihana.com/en/blog/copaiba-an-aromatic-treasure-from-brazil-n58)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[OrganicFacts: Copaiba Essential Oil](https://www.organicfacts.net/health-benefits/essential-oils/copaiba-essential-oil.html)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[FAO: "Copaiba: The 'miracle' medicinal tree in Bolivia"](https://www.fao.org/newsroom/story/Copaiba-The-miracle-medicinal-tree-in-Bolivia/en)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12: FOREST ECOLOGY &amp; PLANT DEFENSE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Caryophyllene as Plant Defense VOC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Classification:</w:t>
      </w:r>
      <w:r>
        <w:rPr>
          <w:rFonts w:ascii="Arial" w:cs="Arial" w:eastAsia="Arial" w:hAnsi="Arial"/>
          <w:sz w:val="22"/>
          <w:szCs w:val="22"/>
        </w:rPr>
        <w:t xml:space="preserve"> β-Caryophyllene is an example of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volatile organic compound (VOC)</w:t>
      </w:r>
      <w:r>
        <w:rPr>
          <w:rFonts w:ascii="Arial" w:cs="Arial" w:eastAsia="Arial" w:hAnsi="Arial"/>
          <w:sz w:val="22"/>
          <w:szCs w:val="22"/>
        </w:rPr>
        <w:t xml:space="preserve"> produced as a plant defense mechanism against herbivores and environmental stress.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Defense function:</w:t>
      </w:r>
      <w:r>
        <w:rPr>
          <w:rFonts w:ascii="Arial" w:cs="Arial" w:eastAsia="Arial" w:hAnsi="Arial"/>
          <w:sz w:val="22"/>
          <w:szCs w:val="22"/>
        </w:rPr>
        <w:t xml:space="preserve"> Acts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chemical signal compound</w:t>
      </w:r>
      <w:r>
        <w:rPr>
          <w:rFonts w:ascii="Arial" w:cs="Arial" w:eastAsia="Arial" w:hAnsi="Arial"/>
          <w:sz w:val="22"/>
          <w:szCs w:val="22"/>
        </w:rPr>
        <w:t xml:space="preserve"> in plant-arthropod interactions and plant-plant signaling.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Coniferous Forest Emissions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Abundance in conifers:</w:t>
      </w:r>
      <w:r>
        <w:rPr>
          <w:rFonts w:ascii="Arial" w:cs="Arial" w:eastAsia="Arial" w:hAnsi="Arial"/>
          <w:sz w:val="22"/>
          <w:szCs w:val="22"/>
        </w:rPr>
        <w:t xml:space="preserve"> In *Pinus* species, β-caryophyllene is identified as one of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most abundant sesquiterpenes</w:t>
      </w:r>
      <w:r>
        <w:rPr>
          <w:rFonts w:ascii="Arial" w:cs="Arial" w:eastAsia="Arial" w:hAnsi="Arial"/>
          <w:sz w:val="22"/>
          <w:szCs w:val="22"/>
        </w:rPr>
        <w:t xml:space="preserve">, reaching concentrations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up to 448 μg·g⁻¹ DW</w:t>
      </w:r>
      <w:r>
        <w:rPr>
          <w:rFonts w:ascii="Arial" w:cs="Arial" w:eastAsia="Arial" w:hAnsi="Arial"/>
          <w:sz w:val="22"/>
          <w:szCs w:val="22"/>
        </w:rPr>
        <w:t xml:space="preserve"> (dry weight) in needle tissue.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Metabolic cost:</w:t>
      </w:r>
      <w:r>
        <w:rPr>
          <w:rFonts w:ascii="Arial" w:cs="Arial" w:eastAsia="Arial" w:hAnsi="Arial"/>
          <w:sz w:val="22"/>
          <w:szCs w:val="22"/>
        </w:rPr>
        <w:t xml:space="preserve"> Terpenoids in coniferous trees represent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among the most expensive forms of chemical defense</w:t>
      </w:r>
      <w:r>
        <w:rPr>
          <w:rFonts w:ascii="Arial" w:cs="Arial" w:eastAsia="Arial" w:hAnsi="Arial"/>
          <w:sz w:val="22"/>
          <w:szCs w:val="22"/>
        </w:rPr>
        <w:t xml:space="preserve"> from a metabolic standpoint — requiring substantial carbon and energy investment.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Adaptive hypothesis:</w:t>
      </w:r>
      <w:r>
        <w:rPr>
          <w:rFonts w:ascii="Arial" w:cs="Arial" w:eastAsia="Arial" w:hAnsi="Arial"/>
          <w:sz w:val="22"/>
          <w:szCs w:val="22"/>
        </w:rPr>
        <w:t xml:space="preserve"> Despite high metabolic cost, conifers maintain high terpenoid levels (including BCP) because: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Competitive interference response</w:t>
      </w:r>
      <w:r>
        <w:rPr>
          <w:rFonts w:ascii="Arial" w:cs="Arial" w:eastAsia="Arial" w:hAnsi="Arial"/>
          <w:sz w:val="22"/>
          <w:szCs w:val="22"/>
        </w:rPr>
        <w:t xml:space="preserve"> — Upregulation in response to plant competition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Herbivore deterrence</w:t>
      </w:r>
      <w:r>
        <w:rPr>
          <w:rFonts w:ascii="Arial" w:cs="Arial" w:eastAsia="Arial" w:hAnsi="Arial"/>
          <w:sz w:val="22"/>
          <w:szCs w:val="22"/>
        </w:rPr>
        <w:t xml:space="preserve"> — Broad-spectrum defense against insect herbivory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Pathogen inhibition</w:t>
      </w:r>
      <w:r>
        <w:rPr>
          <w:rFonts w:ascii="Arial" w:cs="Arial" w:eastAsia="Arial" w:hAnsi="Arial"/>
          <w:sz w:val="22"/>
          <w:szCs w:val="22"/>
        </w:rPr>
        <w:t xml:space="preserve"> — Antimicrobial and antifungal properties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Allelopathic effects</w:t>
      </w:r>
      <w:r>
        <w:rPr>
          <w:rFonts w:ascii="Arial" w:cs="Arial" w:eastAsia="Arial" w:hAnsi="Arial"/>
          <w:sz w:val="22"/>
          <w:szCs w:val="22"/>
        </w:rPr>
        <w:t xml:space="preserve"> — Inhibition of neighboring plants' seed germination and growth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Allelopathy and Plant-Plant Signaling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Allelopathic mechanism:</w:t>
      </w:r>
      <w:r>
        <w:rPr>
          <w:rFonts w:ascii="Arial" w:cs="Arial" w:eastAsia="Arial" w:hAnsi="Arial"/>
          <w:sz w:val="22"/>
          <w:szCs w:val="22"/>
        </w:rPr>
        <w:t xml:space="preserve"> β-Caryophyllene functions as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allelochemical</w:t>
      </w:r>
      <w:r>
        <w:rPr>
          <w:rFonts w:ascii="Arial" w:cs="Arial" w:eastAsia="Arial" w:hAnsi="Arial"/>
          <w:sz w:val="22"/>
          <w:szCs w:val="22"/>
        </w:rPr>
        <w:t xml:space="preserve"> in plant signaling networks: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Jasmonic acid (JA) pathway:</w:t>
      </w:r>
      <w:r>
        <w:rPr>
          <w:rFonts w:ascii="Arial" w:cs="Arial" w:eastAsia="Arial" w:hAnsi="Arial"/>
          <w:sz w:val="22"/>
          <w:szCs w:val="22"/>
        </w:rPr>
        <w:t xml:space="preserve"> BCP-induced resistance operates via JA-dependent signaling, a classical herbivore defense pathway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Cross-plant signaling:</w:t>
      </w:r>
      <w:r>
        <w:rPr>
          <w:rFonts w:ascii="Arial" w:cs="Arial" w:eastAsia="Arial" w:hAnsi="Arial"/>
          <w:sz w:val="22"/>
          <w:szCs w:val="22"/>
        </w:rPr>
        <w:t xml:space="preserve"> BCP volatilized from one plant can be detected and trigger defensive responses in neighboring plants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Rhizospheric effects:</w:t>
      </w:r>
      <w:r>
        <w:rPr>
          <w:rFonts w:ascii="Arial" w:cs="Arial" w:eastAsia="Arial" w:hAnsi="Arial"/>
          <w:sz w:val="22"/>
          <w:szCs w:val="22"/>
        </w:rPr>
        <w:t xml:space="preserve"> BCP and other terpenoids in root exudates can inhibit seed germination and growth of competing plant species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Arthropod Interactions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insect effects: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Repellent to certain herbivorous insects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Attractant to parasitoid wasps (beneficial arthropods that prey on herbivorous insects)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Toxicant at high concentrations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Modulator of insect behavior and reproduction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Mediated effects:</w:t>
      </w:r>
      <w:r>
        <w:rPr>
          <w:rFonts w:ascii="Arial" w:cs="Arial" w:eastAsia="Arial" w:hAnsi="Arial"/>
          <w:sz w:val="22"/>
          <w:szCs w:val="22"/>
        </w:rPr>
        <w:t xml:space="preserve"> Volatile emission triggers plant-plant signaling networks that activate broader herbivore defenses.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Forest Volatile Organic Compounds (VOC) Ecology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Coniferous forest emission characteristics: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Emission patterns:</w:t>
      </w:r>
      <w:r>
        <w:rPr>
          <w:rFonts w:ascii="Arial" w:cs="Arial" w:eastAsia="Arial" w:hAnsi="Arial"/>
          <w:sz w:val="22"/>
          <w:szCs w:val="22"/>
        </w:rPr>
        <w:t xml:space="preserve"> Variable with temperature (following Arrhenius kinetics)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Structure stability:</w:t>
      </w:r>
      <w:r>
        <w:rPr>
          <w:rFonts w:ascii="Arial" w:cs="Arial" w:eastAsia="Arial" w:hAnsi="Arial"/>
          <w:sz w:val="22"/>
          <w:szCs w:val="22"/>
        </w:rPr>
        <w:t xml:space="preserve"> Resin duct storage in conifers reduces temperature sensitivity compared to non-stored VOCs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Damage-induced emissions:</w:t>
      </w:r>
      <w:r>
        <w:rPr>
          <w:rFonts w:ascii="Arial" w:cs="Arial" w:eastAsia="Arial" w:hAnsi="Arial"/>
          <w:sz w:val="22"/>
          <w:szCs w:val="22"/>
        </w:rPr>
        <w:t xml:space="preserve"> Mechanical damage (insect feeding, wind damage, fire) triggers massive terpenoid release, including BCP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olfactory detection:</w:t>
      </w:r>
      <w:r>
        <w:rPr>
          <w:rFonts w:ascii="Arial" w:cs="Arial" w:eastAsia="Arial" w:hAnsi="Arial"/>
          <w:sz w:val="22"/>
          <w:szCs w:val="22"/>
        </w:rPr>
        <w:t xml:space="preserve"> Subtle sesquiterpene odors (earthy, woody tones) contribute to the characteristic forest scent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Ecosystem-level implications:</w:t>
      </w:r>
      <w:r>
        <w:rPr>
          <w:rFonts w:ascii="Arial" w:cs="Arial" w:eastAsia="Arial" w:hAnsi="Arial"/>
          <w:sz w:val="22"/>
          <w:szCs w:val="22"/>
        </w:rPr>
        <w:t xml:space="preserve"> Forest VOC emissions contribute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Secondary organic aerosol (SOA) formation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Atmospheric chemistry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Regional climate regulation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 in Plant Science: "Competition and Allelopathy Trade-Offs"](https://www.frontiersin.org/journals/plant-science/articles/10.3389/fpls.2016.00594/full)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[Wiley: "Isoprene and β-caryophyllene confer plant resistance via different signaling"](https://onlinelibrary.wiley.com/doi/10.1111/pce.14010)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"Multitrophic and Multilevel Interactions Mediated by VOCs"](https://www.mdpi.com/2075-4450/15/8/572)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"Forest VOCs and Human Health: State-of-Art Review"](https://pmc.ncbi.nlm.nih.gov/articles/PMC7559006/)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[Adirondack Council: "Breathe Deep: How Forests and Phytoncides Boost Health"](https://www.adirondackcouncil.org/breathe-deep-how-forests-and-phytoncides-boost-your-health/)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13: INDUSTRIAL APPLICATIONS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Green Solvent Applications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Process:</w:t>
      </w:r>
      <w:r>
        <w:rPr>
          <w:rFonts w:ascii="Arial" w:cs="Arial" w:eastAsia="Arial" w:hAnsi="Arial"/>
          <w:sz w:val="22"/>
          <w:szCs w:val="22"/>
        </w:rPr>
        <w:t xml:space="preserve"> β-Caryophyllene and its chemical derivatives undergo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isomerization and hydration processes</w:t>
      </w:r>
      <w:r>
        <w:rPr>
          <w:rFonts w:ascii="Arial" w:cs="Arial" w:eastAsia="Arial" w:hAnsi="Arial"/>
          <w:sz w:val="22"/>
          <w:szCs w:val="22"/>
        </w:rPr>
        <w:t xml:space="preserve"> under mild reaction conditions to generate value-added products.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Environmental advantage:</w:t>
      </w:r>
      <w:r>
        <w:rPr>
          <w:rFonts w:ascii="Arial" w:cs="Arial" w:eastAsia="Arial" w:hAnsi="Arial"/>
          <w:sz w:val="22"/>
          <w:szCs w:val="22"/>
        </w:rPr>
        <w:t xml:space="preserve"> Use of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green solvents</w:t>
      </w:r>
      <w:r>
        <w:rPr>
          <w:rFonts w:ascii="Arial" w:cs="Arial" w:eastAsia="Arial" w:hAnsi="Arial"/>
          <w:sz w:val="22"/>
          <w:szCs w:val="22"/>
        </w:rPr>
        <w:t xml:space="preserve"> (2-butanone and acetone) instead of traditional petrochemical solvents: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Technologically attractive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Environmentally attractive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Less harmful than halogenated or aromatic solvents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Renewable sourcing possible (acetone/butanone derived from fermentation)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 yield:</w:t>
      </w:r>
      <w:r>
        <w:rPr>
          <w:rFonts w:ascii="Arial" w:cs="Arial" w:eastAsia="Arial" w:hAnsi="Arial"/>
          <w:sz w:val="22"/>
          <w:szCs w:val="22"/>
        </w:rPr>
        <w:t xml:space="preserve"> 70-80% total yield achieved under optimized conditions, making processes economically viable.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High-Density Biofuel Precursor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Strategic importance:</w:t>
      </w:r>
      <w:r>
        <w:rPr>
          <w:rFonts w:ascii="Arial" w:cs="Arial" w:eastAsia="Arial" w:hAnsi="Arial"/>
          <w:sz w:val="22"/>
          <w:szCs w:val="22"/>
        </w:rPr>
        <w:t xml:space="preserve"> β-Caryophyllene is identified 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novel terpene-based high-density biofuel precursor</w:t>
      </w:r>
      <w:r>
        <w:rPr>
          <w:rFonts w:ascii="Arial" w:cs="Arial" w:eastAsia="Arial" w:hAnsi="Arial"/>
          <w:sz w:val="22"/>
          <w:szCs w:val="22"/>
        </w:rPr>
        <w:t xml:space="preserve"> due to: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Structural advantages: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Compact carbon skeleton</w:t>
      </w:r>
      <w:r>
        <w:rPr>
          <w:rFonts w:ascii="Arial" w:cs="Arial" w:eastAsia="Arial" w:hAnsi="Arial"/>
          <w:sz w:val="22"/>
          <w:szCs w:val="22"/>
        </w:rPr>
        <w:t xml:space="preserve"> — 15 carbons in a small, branched bicyclic structure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Reactive olefin functionalities</w:t>
      </w:r>
      <w:r>
        <w:rPr>
          <w:rFonts w:ascii="Arial" w:cs="Arial" w:eastAsia="Arial" w:hAnsi="Arial"/>
          <w:sz w:val="22"/>
          <w:szCs w:val="22"/>
        </w:rPr>
        <w:t xml:space="preserve"> — Multiple sites for chemical modification to jet fuel-like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Energy density</w:t>
      </w:r>
      <w:r>
        <w:rPr>
          <w:rFonts w:ascii="Arial" w:cs="Arial" w:eastAsia="Arial" w:hAnsi="Arial"/>
          <w:sz w:val="22"/>
          <w:szCs w:val="22"/>
        </w:rPr>
        <w:t xml:space="preserve"> — Comparable to or exceeding petroleum-derived jet fuel (specific energy ~46 MJ/kg)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Bioengineering approaches: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**Engineered *Escherichia coli*:** Successful biosynthesis of β-caryophyllene in E. coli BL21(DE3) using heterologous sesquiterpene synthase expression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***Saccharomyces cerevisiae* fermentation:** Metabolic engineering for enhanced sesquiterpene production by switching carbon flux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***Cupriavidus necator* H16:** Production from fructose and CO₂ with sustainability advantages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Cyanobacterial systems:</w:t>
      </w:r>
      <w:r>
        <w:rPr>
          <w:rFonts w:ascii="Arial" w:cs="Arial" w:eastAsia="Arial" w:hAnsi="Arial"/>
          <w:sz w:val="22"/>
          <w:szCs w:val="22"/>
        </w:rPr>
        <w:t xml:space="preserve"> Transgenic *Synechocystis* production (experimental stage)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Yield optimization:</w:t>
      </w:r>
      <w:r>
        <w:rPr>
          <w:rFonts w:ascii="Arial" w:cs="Arial" w:eastAsia="Arial" w:hAnsi="Arial"/>
          <w:sz w:val="22"/>
          <w:szCs w:val="22"/>
        </w:rPr>
        <w:t xml:space="preserve"> Green and sustainable production methods achieve gram-per-liter titers under laboratory conditions; scale-up remains in development phase.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Agricultural Pest Management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Sesquiterpenes like BCP can be extracted or synthesized for use as: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 insecticides</w:t>
      </w:r>
      <w:r>
        <w:rPr>
          <w:rFonts w:ascii="Arial" w:cs="Arial" w:eastAsia="Arial" w:hAnsi="Arial"/>
          <w:sz w:val="22"/>
          <w:szCs w:val="22"/>
        </w:rPr>
        <w:t xml:space="preserve"> — Affecting pest insect nervous systems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Plant growth regulators</w:t>
      </w:r>
      <w:r>
        <w:rPr>
          <w:rFonts w:ascii="Arial" w:cs="Arial" w:eastAsia="Arial" w:hAnsi="Arial"/>
          <w:sz w:val="22"/>
          <w:szCs w:val="22"/>
        </w:rPr>
        <w:t xml:space="preserve"> — Modulating plant development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Biopesticidal agents</w:t>
      </w:r>
      <w:r>
        <w:rPr>
          <w:rFonts w:ascii="Arial" w:cs="Arial" w:eastAsia="Arial" w:hAnsi="Arial"/>
          <w:sz w:val="22"/>
          <w:szCs w:val="22"/>
        </w:rPr>
        <w:t xml:space="preserve"> — Antimicrobial and antifungal activity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Advantage over synthetic pesticides: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Rapid environmental degradation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Low mammalian toxicity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Multiple mechanisms of action (less resistance development)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Cosmetic and Pharmaceutical Industry Use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Market scale:</w:t>
      </w:r>
      <w:r>
        <w:rPr>
          <w:rFonts w:ascii="Arial" w:cs="Arial" w:eastAsia="Arial" w:hAnsi="Arial"/>
          <w:sz w:val="22"/>
          <w:szCs w:val="22"/>
        </w:rPr>
        <w:t xml:space="preserve"> 100-1000 metric tons annually (global combined use across all industries)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Applications: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Fragrance additive</w:t>
      </w:r>
      <w:r>
        <w:rPr>
          <w:rFonts w:ascii="Arial" w:cs="Arial" w:eastAsia="Arial" w:hAnsi="Arial"/>
          <w:sz w:val="22"/>
          <w:szCs w:val="22"/>
        </w:rPr>
        <w:t xml:space="preserve"> — Spicy-woody character in perfumes and colognes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Flavor additive</w:t>
      </w:r>
      <w:r>
        <w:rPr>
          <w:rFonts w:ascii="Arial" w:cs="Arial" w:eastAsia="Arial" w:hAnsi="Arial"/>
          <w:sz w:val="22"/>
          <w:szCs w:val="22"/>
        </w:rPr>
        <w:t xml:space="preserve"> — Spice notes in beverages, candies, and food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antimicrobial</w:t>
      </w:r>
      <w:r>
        <w:rPr>
          <w:rFonts w:ascii="Arial" w:cs="Arial" w:eastAsia="Arial" w:hAnsi="Arial"/>
          <w:sz w:val="22"/>
          <w:szCs w:val="22"/>
        </w:rPr>
        <w:t xml:space="preserve"> — Skin care formulations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Antioxidant</w:t>
      </w:r>
      <w:r>
        <w:rPr>
          <w:rFonts w:ascii="Arial" w:cs="Arial" w:eastAsia="Arial" w:hAnsi="Arial"/>
          <w:sz w:val="22"/>
          <w:szCs w:val="22"/>
        </w:rPr>
        <w:t xml:space="preserve"> — Protecting other ingredients from oxidation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Natural preservative</w:t>
      </w:r>
      <w:r>
        <w:rPr>
          <w:rFonts w:ascii="Arial" w:cs="Arial" w:eastAsia="Arial" w:hAnsi="Arial"/>
          <w:sz w:val="22"/>
          <w:szCs w:val="22"/>
        </w:rPr>
        <w:t xml:space="preserve"> — Antimicrobial properties extending shelf life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Regulatory advantage:</w:t>
      </w:r>
      <w:r>
        <w:rPr>
          <w:rFonts w:ascii="Arial" w:cs="Arial" w:eastAsia="Arial" w:hAnsi="Arial"/>
          <w:sz w:val="22"/>
          <w:szCs w:val="22"/>
        </w:rPr>
        <w:t xml:space="preserve"> FDA GRAS status facilitates commercial integration across industries.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[Biotechnology for Biofuels: "Highly efficient biosynthesis of β-caryophyllene with novel sesquiterpene synthase"](https://biotechnologyforbiofuels.biomedcentral.com/articles/10.1186/s13068-022-02136-8)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"Biosynthesis of β-caryophyllene as high-density biofuel in engineered E. coli"](https://www.sciencedirect.com/science/article/abs/pii/S0960148116305924)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"Sustainable production of β-caryophyllene in Cupriavidus necator"](https://pmc.ncbi.nlm.nih.gov/articles/PMC9040381/)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"Heteropoly acid-catalyzed β-caryophyllene chemical transformations"](https://www.sciencedirect.com/science/article/abs/pii/S2468823123003863)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"Microbial biosynthesis of β-caryophyllene review"](https://www.mdpi.com/2311-5637/10/1/60)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14: CONTRARIAN EVIDENCE &amp; BIOAVAILABILITY CONCERNS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Bioavailability Limitations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finding:</w:t>
      </w:r>
      <w:r>
        <w:rPr>
          <w:rFonts w:ascii="Arial" w:cs="Arial" w:eastAsia="Arial" w:hAnsi="Arial"/>
          <w:sz w:val="22"/>
          <w:szCs w:val="22"/>
        </w:rPr>
        <w:t xml:space="preserve"> Unformulated oral β-caryophyllene exhibits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less than 10% absolute oral bioavailability</w:t>
      </w:r>
      <w:r>
        <w:rPr>
          <w:rFonts w:ascii="Arial" w:cs="Arial" w:eastAsia="Arial" w:hAnsi="Arial"/>
          <w:sz w:val="22"/>
          <w:szCs w:val="22"/>
        </w:rPr>
        <w:t xml:space="preserve"> in humans due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Dissolution-limited absorption</w:t>
      </w:r>
      <w:r>
        <w:rPr>
          <w:rFonts w:ascii="Arial" w:cs="Arial" w:eastAsia="Arial" w:hAnsi="Arial"/>
          <w:sz w:val="22"/>
          <w:szCs w:val="22"/>
        </w:rPr>
        <w:t xml:space="preserve"> — Low aqueous solubility; requires emulsification for efficient GI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Volatility</w:t>
      </w:r>
      <w:r>
        <w:rPr>
          <w:rFonts w:ascii="Arial" w:cs="Arial" w:eastAsia="Arial" w:hAnsi="Arial"/>
          <w:sz w:val="22"/>
          <w:szCs w:val="22"/>
        </w:rPr>
        <w:t xml:space="preserve"> — Evaporates in GI tract at body temperature (37°C); boiling point 250°C but partial pressurization loss at 37°C over time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Acid sensitivity</w:t>
      </w:r>
      <w:r>
        <w:rPr>
          <w:rFonts w:ascii="Arial" w:cs="Arial" w:eastAsia="Arial" w:hAnsi="Arial"/>
          <w:sz w:val="22"/>
          <w:szCs w:val="22"/>
        </w:rPr>
        <w:t xml:space="preserve"> — Partially degraded in acidic stomach environment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Oxidation</w:t>
      </w:r>
      <w:r>
        <w:rPr>
          <w:rFonts w:ascii="Arial" w:cs="Arial" w:eastAsia="Arial" w:hAnsi="Arial"/>
          <w:sz w:val="22"/>
          <w:szCs w:val="22"/>
        </w:rPr>
        <w:t xml:space="preserve"> — Spontaneous air oxidation forms caryophyllene oxide and other inactive metabolites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First-pass metabolism</w:t>
      </w:r>
      <w:r>
        <w:rPr>
          <w:rFonts w:ascii="Arial" w:cs="Arial" w:eastAsia="Arial" w:hAnsi="Arial"/>
          <w:sz w:val="22"/>
          <w:szCs w:val="22"/>
        </w:rPr>
        <w:t xml:space="preserve"> — Extensive hepatic phase I and II metabolism reduces systemic bioavailability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First-Pass Metabolism Effects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Metabolic pathway:</w:t>
      </w:r>
      <w:r>
        <w:rPr>
          <w:rFonts w:ascii="Arial" w:cs="Arial" w:eastAsia="Arial" w:hAnsi="Arial"/>
          <w:sz w:val="22"/>
          <w:szCs w:val="22"/>
        </w:rPr>
        <w:t xml:space="preserve"> BCP is metabolized by hepatic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cytochrome P450 enzymes</w:t>
      </w:r>
      <w:r>
        <w:rPr>
          <w:rFonts w:ascii="Arial" w:cs="Arial" w:eastAsia="Arial" w:hAnsi="Arial"/>
          <w:sz w:val="22"/>
          <w:szCs w:val="22"/>
        </w:rPr>
        <w:t xml:space="preserve"> (particularly CYP3A4, CYP2C9, CYP2B6)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phase II conjugation</w:t>
      </w:r>
      <w:r>
        <w:rPr>
          <w:rFonts w:ascii="Arial" w:cs="Arial" w:eastAsia="Arial" w:hAnsi="Arial"/>
          <w:sz w:val="22"/>
          <w:szCs w:val="22"/>
        </w:rPr>
        <w:t xml:space="preserve"> (UDP-glucuronosyltransferases, sulfotransferases).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Drug interaction potential:</w:t>
      </w:r>
      <w:r>
        <w:rPr>
          <w:rFonts w:ascii="Arial" w:cs="Arial" w:eastAsia="Arial" w:hAnsi="Arial"/>
          <w:sz w:val="22"/>
          <w:szCs w:val="22"/>
        </w:rPr>
        <w:t xml:space="preserve"> BCP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modulates expression of drug-metabolizing enzymes</w:t>
      </w:r>
      <w:r>
        <w:rPr>
          <w:rFonts w:ascii="Arial" w:cs="Arial" w:eastAsia="Arial" w:hAnsi="Arial"/>
          <w:sz w:val="22"/>
          <w:szCs w:val="22"/>
        </w:rPr>
        <w:t xml:space="preserve">, which could: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Alter bioavailability of concomitantly administered drugs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 potential for clinically significant interactions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Require dose adjustment of substrates of affected enzymes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relevance:</w:t>
      </w:r>
      <w:r>
        <w:rPr>
          <w:rFonts w:ascii="Arial" w:cs="Arial" w:eastAsia="Arial" w:hAnsi="Arial"/>
          <w:sz w:val="22"/>
          <w:szCs w:val="22"/>
        </w:rPr>
        <w:t xml:space="preserve"> Limited human pharmacokinetic data available; most conclusions derived from animal studies (rats, beagle dogs) that may not translate to human metabolism.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Enhanced Formulation Strategies (Bioavailability Solutions)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Studies demonstrate that specialized delivery systems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dramatically improve bioavailability: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Self-Emulsifying Drug Delivery System (SEDDS)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Product:</w:t>
      </w:r>
      <w:r>
        <w:rPr>
          <w:rFonts w:ascii="Arial" w:cs="Arial" w:eastAsia="Arial" w:hAnsi="Arial"/>
          <w:sz w:val="22"/>
          <w:szCs w:val="22"/>
        </w:rPr>
        <w:t xml:space="preserve"> VESIsorb® formulation technology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improvement: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AUC₀₋₁₂ₕ:</w:t>
      </w:r>
      <w:r>
        <w:rPr>
          <w:rFonts w:ascii="Arial" w:cs="Arial" w:eastAsia="Arial" w:hAnsi="Arial"/>
          <w:sz w:val="22"/>
          <w:szCs w:val="22"/>
        </w:rPr>
        <w:t xml:space="preserve"> 2.2-fold increase vs. neat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AUC₀₋₂₄ₕ:</w:t>
      </w:r>
      <w:r>
        <w:rPr>
          <w:rFonts w:ascii="Arial" w:cs="Arial" w:eastAsia="Arial" w:hAnsi="Arial"/>
          <w:sz w:val="22"/>
          <w:szCs w:val="22"/>
        </w:rPr>
        <w:t xml:space="preserve"> 2.0-fold increase vs. neat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Cmax:</w:t>
      </w:r>
      <w:r>
        <w:rPr>
          <w:rFonts w:ascii="Arial" w:cs="Arial" w:eastAsia="Arial" w:hAnsi="Arial"/>
          <w:sz w:val="22"/>
          <w:szCs w:val="22"/>
        </w:rPr>
        <w:t xml:space="preserve"> 3.6-fold increase vs. neat oil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Tmax:</w:t>
      </w:r>
      <w:r>
        <w:rPr>
          <w:rFonts w:ascii="Arial" w:cs="Arial" w:eastAsia="Arial" w:hAnsi="Arial"/>
          <w:sz w:val="22"/>
          <w:szCs w:val="22"/>
        </w:rPr>
        <w:t xml:space="preserve"> 1.43 hours (SEDDS) vs. 3.07 hours (neat oil) — Faster absorption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SEDDS forms self-emulsifying microstructures in GI fluid, dramatically increasing dissolution rate and absorption surface area.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β-Cyclodextrin Inclusion Complex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Bioavailability improvement: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AUC₀₋₁₂ₕ:</w:t>
      </w:r>
      <w:r>
        <w:rPr>
          <w:rFonts w:ascii="Arial" w:cs="Arial" w:eastAsia="Arial" w:hAnsi="Arial"/>
          <w:sz w:val="22"/>
          <w:szCs w:val="22"/>
        </w:rPr>
        <w:t xml:space="preserve"> ~2.6-fold increase vs. free BCP (rat studies)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Cmax:</w:t>
      </w:r>
      <w:r>
        <w:rPr>
          <w:rFonts w:ascii="Arial" w:cs="Arial" w:eastAsia="Arial" w:hAnsi="Arial"/>
          <w:sz w:val="22"/>
          <w:szCs w:val="22"/>
        </w:rPr>
        <w:t xml:space="preserve"> Higher peak plasma concentration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Tmax:</w:t>
      </w:r>
      <w:r>
        <w:rPr>
          <w:rFonts w:ascii="Arial" w:cs="Arial" w:eastAsia="Arial" w:hAnsi="Arial"/>
          <w:sz w:val="22"/>
          <w:szCs w:val="22"/>
        </w:rPr>
        <w:t xml:space="preserve"> Earlier time to maximum concentration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Cyclodextrin's hydrophobic cavity encapsulates BCP, protecting it from oxidation and improving solubility.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Human Pharmacokinetic Data (Limited)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Study:</w:t>
      </w:r>
      <w:r>
        <w:rPr>
          <w:rFonts w:ascii="Arial" w:cs="Arial" w:eastAsia="Arial" w:hAnsi="Arial"/>
          <w:sz w:val="22"/>
          <w:szCs w:val="22"/>
        </w:rPr>
        <w:t xml:space="preserve"> 2022 pharmacokinetic trial in 12 healthy volunteers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findings: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Standard oral BCP exhibits poor bioavailability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Specialized formulations significantly improve plasma levels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Tissue distribution: BCP accumulates preferentially in lipophilic tissues (adipose, nervous tissue) rather than remaining in blood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Clinical implication:</w:t>
      </w:r>
      <w:r>
        <w:rPr>
          <w:rFonts w:ascii="Arial" w:cs="Arial" w:eastAsia="Arial" w:hAnsi="Arial"/>
          <w:sz w:val="22"/>
          <w:szCs w:val="22"/>
        </w:rPr>
        <w:t xml:space="preserve"> Inhalation, transdermal, or other delivery routes may be more effective than oral administration for achieving therapeutic effects, though human data remain extremely limited.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Weak CB2 Binding vs. Gertsch's Strong Affinity (Finlay 2020 Debate)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Search note:</w:t>
      </w:r>
      <w:r>
        <w:rPr>
          <w:rFonts w:ascii="Arial" w:cs="Arial" w:eastAsia="Arial" w:hAnsi="Arial"/>
          <w:sz w:val="22"/>
          <w:szCs w:val="22"/>
        </w:rPr>
        <w:t xml:space="preserve"> Direct access to a "Finlay 2020" publication specifically challenging Gertsch's CB2 affinity data was not located in the web search results. However, the broader literature contains: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perspectives on CB2 affinity: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Some researchers note that 155 nM affinity, while nanomolar,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weaker than classical CB1/CB2-selective drugs</w:t>
      </w:r>
      <w:r>
        <w:rPr>
          <w:rFonts w:ascii="Arial" w:cs="Arial" w:eastAsia="Arial" w:hAnsi="Arial"/>
          <w:sz w:val="22"/>
          <w:szCs w:val="22"/>
        </w:rPr>
        <w:t xml:space="preserve"> (e.g., AM630 has pM-level CB2 affinity)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 studies show that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supra-physiological concentrations</w:t>
      </w:r>
      <w:r>
        <w:rPr>
          <w:rFonts w:ascii="Arial" w:cs="Arial" w:eastAsia="Arial" w:hAnsi="Arial"/>
          <w:sz w:val="22"/>
          <w:szCs w:val="22"/>
        </w:rPr>
        <w:t xml:space="preserve"> of BCP are often required to achieve CB2-mediated effects in some systems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Off-target receptor activity</w:t>
      </w:r>
      <w:r>
        <w:rPr>
          <w:rFonts w:ascii="Arial" w:cs="Arial" w:eastAsia="Arial" w:hAnsi="Arial"/>
          <w:sz w:val="22"/>
          <w:szCs w:val="22"/>
        </w:rPr>
        <w:t xml:space="preserve"> increases at high doses, complicating mechanism-of-action interpretation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Resolution:</w:t>
      </w:r>
      <w:r>
        <w:rPr>
          <w:rFonts w:ascii="Arial" w:cs="Arial" w:eastAsia="Arial" w:hAnsi="Arial"/>
          <w:sz w:val="22"/>
          <w:szCs w:val="22"/>
        </w:rPr>
        <w:t xml:space="preserve"> The 155 nM Ki value from Gertsch et al. (2008) remains the most cited binding affinity; no major contradiction was located. The apparent discrepancy may relate to: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Different cell lines and assay methodologies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Agonist vs. antagonist binding modes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Context-dependent efficacy (may depend on tissue type, receptor density, coupling to G-proteins)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Limited Human Clinical Evidence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Major gap:</w:t>
      </w:r>
      <w:r>
        <w:rPr>
          <w:rFonts w:ascii="Arial" w:cs="Arial" w:eastAsia="Arial" w:hAnsi="Arial"/>
          <w:sz w:val="22"/>
          <w:szCs w:val="22"/>
        </w:rPr>
        <w:t xml:space="preserve"> Despite decades of traditional use and extensive preclinical research,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clinical trials for BCP are remarkably limited: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Anxiety/depression:</w:t>
      </w:r>
      <w:r>
        <w:rPr>
          <w:rFonts w:ascii="Arial" w:cs="Arial" w:eastAsia="Arial" w:hAnsi="Arial"/>
          <w:sz w:val="22"/>
          <w:szCs w:val="22"/>
        </w:rPr>
        <w:t xml:space="preserve"> ZERO published human RCTs (only animal models)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Pain:</w:t>
      </w:r>
      <w:r>
        <w:rPr>
          <w:rFonts w:ascii="Arial" w:cs="Arial" w:eastAsia="Arial" w:hAnsi="Arial"/>
          <w:sz w:val="22"/>
          <w:szCs w:val="22"/>
        </w:rPr>
        <w:t xml:space="preserve"> ZERO published human RCTs for BCP monotherapy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Inflammation (arthritis, IBD):</w:t>
      </w:r>
      <w:r>
        <w:rPr>
          <w:rFonts w:ascii="Arial" w:cs="Arial" w:eastAsia="Arial" w:hAnsi="Arial"/>
          <w:sz w:val="22"/>
          <w:szCs w:val="22"/>
        </w:rPr>
        <w:t xml:space="preserve"> ZERO published human RCTs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addiction:</w:t>
      </w:r>
      <w:r>
        <w:rPr>
          <w:rFonts w:ascii="Arial" w:cs="Arial" w:eastAsia="Arial" w:hAnsi="Arial"/>
          <w:sz w:val="22"/>
          <w:szCs w:val="22"/>
        </w:rPr>
        <w:t xml:space="preserve"> One small RCT (N=100) with mixed results (behavior reduction but no metabolic effect)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Implications for pre-loading:</w:t>
      </w:r>
      <w:r>
        <w:rPr>
          <w:rFonts w:ascii="Arial" w:cs="Arial" w:eastAsia="Arial" w:hAnsi="Arial"/>
          <w:sz w:val="22"/>
          <w:szCs w:val="22"/>
        </w:rPr>
        <w:t xml:space="preserve"> Any "pre-loading" protocol remains speculative because: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Human optimal dosing unknown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Human absorption/pharmacokinetics poorly characterized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 parameters not established in humans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Synergistic effects with THC/CBD not formally studied in humans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"Enhanced Oral Bioavailability of β-Caryophyllene with VESIsorb® SEDDS"](https://pmc.ncbi.nlm.nih.gov/articles/PMC9104399/)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"Physicochemical characterization and pharmacokinetics of BCP/β-cyclodextrin complex"](https://pubmed.ncbi.nlm.nih.gov/23598076/)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"Enhanced bioavailability via SEDDS technology"](https://www.sciencedirect.com/science/article/abs/pii/S0360355221000234)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[Springer: "Pharmacokinetic and toxicological profile via computational biology"](https://link.springer.com/article/10.1007/s40203-025-00392-8)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SECTION 15: PRE-LOADING IMPLICATIONS FOR CANNABIS USE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CB2 Receptor Priming Window Concept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Hypothesis:</w:t>
      </w:r>
      <w:r>
        <w:rPr>
          <w:rFonts w:ascii="Arial" w:cs="Arial" w:eastAsia="Arial" w:hAnsi="Arial"/>
          <w:sz w:val="22"/>
          <w:szCs w:val="22"/>
        </w:rPr>
        <w:t xml:space="preserve"> Prior activation of CB2 receptors (and PPARγ) via BCP-rich aromatherapy could "prime" receptor systems 15-30 minutes before THC/CBD consumption, potentially: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Enhancing endogenous tone</w:t>
      </w:r>
      <w:r>
        <w:rPr>
          <w:rFonts w:ascii="Arial" w:cs="Arial" w:eastAsia="Arial" w:hAnsi="Arial"/>
          <w:sz w:val="22"/>
          <w:szCs w:val="22"/>
        </w:rPr>
        <w:t xml:space="preserve"> — Increasing baseline CB2 agonism and responsiveness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Modulating THC interpretation</w:t>
      </w:r>
      <w:r>
        <w:rPr>
          <w:rFonts w:ascii="Arial" w:cs="Arial" w:eastAsia="Arial" w:hAnsi="Arial"/>
          <w:sz w:val="22"/>
          <w:szCs w:val="22"/>
        </w:rPr>
        <w:t xml:space="preserve"> — Shifting psychoactive response toward physical anchoring (via CB2-mediated peripheral effects) vs. central psychoactivity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Anti-inflammatory priming</w:t>
      </w:r>
      <w:r>
        <w:rPr>
          <w:rFonts w:ascii="Arial" w:cs="Arial" w:eastAsia="Arial" w:hAnsi="Arial"/>
          <w:sz w:val="22"/>
          <w:szCs w:val="22"/>
        </w:rPr>
        <w:t xml:space="preserve"> — Pre-activating NF-κB suppression pathways before cannabis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Anxiety modulation</w:t>
      </w:r>
      <w:r>
        <w:rPr>
          <w:rFonts w:ascii="Arial" w:cs="Arial" w:eastAsia="Arial" w:hAnsi="Arial"/>
          <w:sz w:val="22"/>
          <w:szCs w:val="22"/>
        </w:rPr>
        <w:t xml:space="preserve"> — TRPA1 indirect modulation could reduce anxiety potentiation from THC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Scientific basis:</w:t>
      </w:r>
      <w:r>
        <w:rPr>
          <w:rFonts w:ascii="Arial" w:cs="Arial" w:eastAsia="Arial" w:hAnsi="Arial"/>
          <w:sz w:val="22"/>
          <w:szCs w:val="22"/>
        </w:rPr>
        <w:t xml:space="preserve"> Weak; largely theoretical. No human studies document this specific phenomenon.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Aromatic Delivery Routes for Pre-Loading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Options for 15-30 minute pre-loading window: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of vaporized BCP-rich oils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Optimal temperature:</w:t>
      </w:r>
      <w:r>
        <w:rPr>
          <w:rFonts w:ascii="Arial" w:cs="Arial" w:eastAsia="Arial" w:hAnsi="Arial"/>
          <w:sz w:val="22"/>
          <w:szCs w:val="22"/>
        </w:rPr>
        <w:t xml:space="preserve"> ~165°C (320°F) for β-caryophyllene vaporization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Rapid absorption; direct bioavailability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Few human data on optimal dose; volatility concerns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Sources available:</w:t>
      </w:r>
      <w:r>
        <w:rPr>
          <w:rFonts w:ascii="Arial" w:cs="Arial" w:eastAsia="Arial" w:hAnsi="Arial"/>
          <w:sz w:val="22"/>
          <w:szCs w:val="22"/>
        </w:rPr>
        <w:t xml:space="preserve"> Clove oil, black pepper oil, rosemary oil, copaiba oil vaporizers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Topical application (transdermal patch)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Sustained absorption; avoids GI/first-pass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Slower onset; may not achieve therapeutic levels in 15-30 minutes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Research gap:</w:t>
      </w:r>
      <w:r>
        <w:rPr>
          <w:rFonts w:ascii="Arial" w:cs="Arial" w:eastAsia="Arial" w:hAnsi="Arial"/>
          <w:sz w:val="22"/>
          <w:szCs w:val="22"/>
        </w:rPr>
        <w:t xml:space="preserve"> Human transdermal BCP pharmacokinetics not published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Oral consumption (with enhanced bioavailability formulation)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Optimal timing:</w:t>
      </w:r>
      <w:r>
        <w:rPr>
          <w:rFonts w:ascii="Arial" w:cs="Arial" w:eastAsia="Arial" w:hAnsi="Arial"/>
          <w:sz w:val="22"/>
          <w:szCs w:val="22"/>
        </w:rPr>
        <w:t xml:space="preserve"> 20-30 minutes before cannabis (based on SEDDS Tmax data: 1.43 hours)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Delivery system:</w:t>
      </w:r>
      <w:r>
        <w:rPr>
          <w:rFonts w:ascii="Arial" w:cs="Arial" w:eastAsia="Arial" w:hAnsi="Arial"/>
          <w:sz w:val="22"/>
          <w:szCs w:val="22"/>
        </w:rPr>
        <w:t xml:space="preserve"> SEDDS formulation (VESIsorb®) or β-cyclodextrin complex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Still slower than inhalation; standard oral oil unsuitable (&lt;10% bioavailability)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Food interactions:</w:t>
      </w:r>
      <w:r>
        <w:rPr>
          <w:rFonts w:ascii="Arial" w:cs="Arial" w:eastAsia="Arial" w:hAnsi="Arial"/>
          <w:sz w:val="22"/>
          <w:szCs w:val="22"/>
        </w:rPr>
        <w:t xml:space="preserve"> Fat-rich meals enhance lipophilic compound absorption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Dietary consumption of BCP-rich foods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  <w:r>
        <w:rPr>
          <w:rFonts w:ascii="Arial" w:cs="Arial" w:eastAsia="Arial" w:hAnsi="Arial"/>
          <w:sz w:val="22"/>
          <w:szCs w:val="22"/>
        </w:rPr>
        <w:t xml:space="preserve"> Black pepper (7-35%), clove (12-20%), copaiba oil (40-55%), hops products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Timing:</w:t>
      </w:r>
      <w:r>
        <w:rPr>
          <w:rFonts w:ascii="Arial" w:cs="Arial" w:eastAsia="Arial" w:hAnsi="Arial"/>
          <w:sz w:val="22"/>
          <w:szCs w:val="22"/>
        </w:rPr>
        <w:t xml:space="preserve"> 20-30 minutes before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Advantage:</w:t>
      </w:r>
      <w:r>
        <w:rPr>
          <w:rFonts w:ascii="Arial" w:cs="Arial" w:eastAsia="Arial" w:hAnsi="Arial"/>
          <w:sz w:val="22"/>
          <w:szCs w:val="22"/>
        </w:rPr>
        <w:t xml:space="preserve"> Food-grade safety; convenient integration into pre-use meal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Concentration variable; thermal degradation during cooking; first-pass metabolism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Culinary strategy:</w:t>
      </w:r>
      <w:r>
        <w:rPr>
          <w:rFonts w:ascii="Arial" w:cs="Arial" w:eastAsia="Arial" w:hAnsi="Arial"/>
          <w:sz w:val="22"/>
          <w:szCs w:val="22"/>
        </w:rPr>
        <w:t xml:space="preserve"> Add fresh black pepper, clove, cinnamon to meal in final stage to minimize thermal loss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Synergistic Effects with THC and CBD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THC-Caryophyllene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Observed effect:</w:t>
      </w:r>
      <w:r>
        <w:rPr>
          <w:rFonts w:ascii="Arial" w:cs="Arial" w:eastAsia="Arial" w:hAnsi="Arial"/>
          <w:sz w:val="22"/>
          <w:szCs w:val="22"/>
        </w:rPr>
        <w:t xml:space="preserve"> BCP does NOT increase THC intoxication but may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modulate the subjective character</w:t>
      </w:r>
      <w:r>
        <w:rPr>
          <w:rFonts w:ascii="Arial" w:cs="Arial" w:eastAsia="Arial" w:hAnsi="Arial"/>
          <w:sz w:val="22"/>
          <w:szCs w:val="22"/>
        </w:rPr>
        <w:t xml:space="preserve"> of the experience: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THC-dominant experience</w:t>
      </w:r>
      <w:r>
        <w:rPr>
          <w:rFonts w:ascii="Arial" w:cs="Arial" w:eastAsia="Arial" w:hAnsi="Arial"/>
          <w:sz w:val="22"/>
          <w:szCs w:val="22"/>
        </w:rPr>
        <w:t xml:space="preserve"> (low BCP): More purely psychoactive, potentially more mental/cerebral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THC + BCP experience:</w:t>
      </w:r>
      <w:r>
        <w:rPr>
          <w:rFonts w:ascii="Arial" w:cs="Arial" w:eastAsia="Arial" w:hAnsi="Arial"/>
          <w:sz w:val="22"/>
          <w:szCs w:val="22"/>
        </w:rPr>
        <w:t xml:space="preserve"> More physically anchored, reduced "mental chaos," increased body awareness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Speculative; possibly CB2-mediated peripheral pain/inflammation suppression masks some psychoactive effects, or PPARγ modulation affects mood interpretation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context:</w:t>
      </w:r>
      <w:r>
        <w:rPr>
          <w:rFonts w:ascii="Arial" w:cs="Arial" w:eastAsia="Arial" w:hAnsi="Arial"/>
          <w:sz w:val="22"/>
          <w:szCs w:val="22"/>
        </w:rPr>
        <w:t xml:space="preserve"> The "entourage effect" remains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unproven at molecular level</w:t>
      </w:r>
      <w:r>
        <w:rPr>
          <w:rFonts w:ascii="Arial" w:cs="Arial" w:eastAsia="Arial" w:hAnsi="Arial"/>
          <w:sz w:val="22"/>
          <w:szCs w:val="22"/>
        </w:rPr>
        <w:t xml:space="preserve">. Recent research shows: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Terpenes do NOT directly enhance cannabinoid binding to CB1/CB2 (no positive allosteric modulation found)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pharmacokinetic interactions (affecting cannabinoid metabolism)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Possible synergistic effects at non-cannabinoid targets (PPARγ, TRP channels)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CBD-Caryophyllene Interaction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Research:</w:t>
      </w:r>
      <w:r>
        <w:rPr>
          <w:rFonts w:ascii="Arial" w:cs="Arial" w:eastAsia="Arial" w:hAnsi="Arial"/>
          <w:sz w:val="22"/>
          <w:szCs w:val="22"/>
        </w:rPr>
        <w:t xml:space="preserve"> Specifically documented synergistic analgesia: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Citation:</w:t>
      </w:r>
      <w:r>
        <w:rPr>
          <w:rFonts w:ascii="Arial" w:cs="Arial" w:eastAsia="Arial" w:hAnsi="Arial"/>
          <w:sz w:val="22"/>
          <w:szCs w:val="22"/>
        </w:rPr>
        <w:t xml:space="preserve"> [PMC: "Cannabidiol and Beta-Caryophyllene in Combination: A Therapeutic Functional Interaction"](https://pmc.ncbi.nlm.nih.gov/articles/PMC9779834/)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Finding:</w:t>
      </w:r>
      <w:r>
        <w:rPr>
          <w:rFonts w:ascii="Arial" w:cs="Arial" w:eastAsia="Arial" w:hAnsi="Arial"/>
          <w:sz w:val="22"/>
          <w:szCs w:val="22"/>
        </w:rPr>
        <w:t xml:space="preserve"> The analgesic effect of CBD and BCP in combination is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synergistic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ED₅₀ for combined therapy:</w:t>
      </w:r>
      <w:r>
        <w:rPr>
          <w:rFonts w:ascii="Arial" w:cs="Arial" w:eastAsia="Arial" w:hAnsi="Arial"/>
          <w:sz w:val="22"/>
          <w:szCs w:val="22"/>
        </w:rPr>
        <w:t xml:space="preserve"> Lower than individual compounds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Implication:</w:t>
      </w:r>
      <w:r>
        <w:rPr>
          <w:rFonts w:ascii="Arial" w:cs="Arial" w:eastAsia="Arial" w:hAnsi="Arial"/>
          <w:sz w:val="22"/>
          <w:szCs w:val="22"/>
        </w:rPr>
        <w:t xml:space="preserve"> Smaller doses of CBD + BCP together produce same pain relief as larger individual doses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Mechanism:</w:t>
      </w:r>
      <w:r>
        <w:rPr>
          <w:rFonts w:ascii="Arial" w:cs="Arial" w:eastAsia="Arial" w:hAnsi="Arial"/>
          <w:sz w:val="22"/>
          <w:szCs w:val="22"/>
        </w:rPr>
        <w:t xml:space="preserve"> Possibly convergent receptor targeting (CBD affects multiple targets including 5-HT1A, TRPV1, PPAR-γ; BCP affects CB2, PPAR-γ, indirect TRPA1)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Anti-inflammatory Cascade Timing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Proposed mechanism for pre-loading: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T-30 min:</w:t>
      </w:r>
      <w:r>
        <w:rPr>
          <w:rFonts w:ascii="Arial" w:cs="Arial" w:eastAsia="Arial" w:hAnsi="Arial"/>
          <w:sz w:val="22"/>
          <w:szCs w:val="22"/>
        </w:rPr>
        <w:t xml:space="preserve"> BCP-rich aerosol or dietary intake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T-25 to T-0 min:</w:t>
      </w:r>
      <w:r>
        <w:rPr>
          <w:rFonts w:ascii="Arial" w:cs="Arial" w:eastAsia="Arial" w:hAnsi="Arial"/>
          <w:sz w:val="22"/>
          <w:szCs w:val="22"/>
        </w:rPr>
        <w:t xml:space="preserve"> BCP absorption and CB2/PPARγ activation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NF-κB pathway suppression initiated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IL-10 and anti-inflammatory mediators upregulated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TRPA1 indirect modulation begins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T-0 min:</w:t>
      </w:r>
      <w:r>
        <w:rPr>
          <w:rFonts w:ascii="Arial" w:cs="Arial" w:eastAsia="Arial" w:hAnsi="Arial"/>
          <w:sz w:val="22"/>
          <w:szCs w:val="22"/>
        </w:rPr>
        <w:t xml:space="preserve"> THC/CBD consumption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CB1 (THC) and CB2 (THC, CBD, BCP) receptors simultaneously activated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Anti-inflammatory cascade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already primed</w:t>
      </w:r>
      <w:r>
        <w:rPr>
          <w:rFonts w:ascii="Arial" w:cs="Arial" w:eastAsia="Arial" w:hAnsi="Arial"/>
          <w:sz w:val="22"/>
          <w:szCs w:val="22"/>
        </w:rPr>
        <w:t xml:space="preserve"> by BCP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Hypothetical result: Reduced inflammatory response to cannabinoid-induced cytokine changes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Validation status:</w:t>
      </w:r>
      <w:r>
        <w:rPr>
          <w:rFonts w:ascii="Arial" w:cs="Arial" w:eastAsia="Arial" w:hAnsi="Arial"/>
          <w:sz w:val="22"/>
          <w:szCs w:val="22"/>
        </w:rPr>
        <w:t xml:space="preserve"> Entirely speculative; no human studies document this temporal dynamics.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Bioavailability-Absorption Timing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Critical constraint:</w:t>
      </w:r>
      <w:r>
        <w:rPr>
          <w:rFonts w:ascii="Arial" w:cs="Arial" w:eastAsia="Arial" w:hAnsi="Arial"/>
          <w:sz w:val="22"/>
          <w:szCs w:val="22"/>
        </w:rPr>
        <w:t xml:space="preserve"> For pre-loading to work, BCP must be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absorbed and active before cannabis is consumed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Delivery Route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Absorption Time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Peak Activity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Pre-Load Window Feasibility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Inhalation (vaporized)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5-15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✓ Optimal (15-30 min window sufficient)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Oral (SEDDS formulation)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hours (Tmax 1.43h)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Too slow for 15-30 min window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Oral (standard oil)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3+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3-4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Too slow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Transdermal (patch)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30-60 minutes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1-4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Borderline (possible but uncertain)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Dietary (whole food)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1-2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1.5-3 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 Too slow for standard timing</w:t>
            </w:r>
          </w:p>
        </w:tc>
      </w:tr>
    </w:tbl>
    <w:p>
      <w:pPr>
        <w:spacing w:after="120"/>
      </w:pP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Conclusion:</w:t>
      </w:r>
      <w:r>
        <w:rPr>
          <w:rFonts w:ascii="Arial" w:cs="Arial" w:eastAsia="Arial" w:hAnsi="Arial"/>
          <w:sz w:val="22"/>
          <w:szCs w:val="22"/>
        </w:rPr>
        <w:t xml:space="preserve">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Inhalation of vaporized BCP oils</w:t>
      </w:r>
      <w:r>
        <w:rPr>
          <w:rFonts w:ascii="Arial" w:cs="Arial" w:eastAsia="Arial" w:hAnsi="Arial"/>
          <w:sz w:val="22"/>
          <w:szCs w:val="22"/>
        </w:rPr>
        <w:t xml:space="preserve"> is the only delivery route compatible with a 15-30 minute pre-loading window based on current pharmacokinetic data.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Interaction with THC/CBD Timing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Hypothetical optimal protocol: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T-30 to T-20 min:</w:t>
      </w:r>
      <w:r>
        <w:rPr>
          <w:rFonts w:ascii="Arial" w:cs="Arial" w:eastAsia="Arial" w:hAnsi="Arial"/>
          <w:sz w:val="22"/>
          <w:szCs w:val="22"/>
        </w:rPr>
        <w:t xml:space="preserve"> Inhale vaporized BCP-rich oil (165°C)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T-15 min:</w:t>
      </w:r>
      <w:r>
        <w:rPr>
          <w:rFonts w:ascii="Arial" w:cs="Arial" w:eastAsia="Arial" w:hAnsi="Arial"/>
          <w:sz w:val="22"/>
          <w:szCs w:val="22"/>
        </w:rPr>
        <w:t xml:space="preserve"> Allow absorption; receptor activation initiated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T-0 min:</w:t>
      </w:r>
      <w:r>
        <w:rPr>
          <w:rFonts w:ascii="Arial" w:cs="Arial" w:eastAsia="Arial" w:hAnsi="Arial"/>
          <w:sz w:val="22"/>
          <w:szCs w:val="22"/>
        </w:rPr>
        <w:t xml:space="preserve"> Consume cannabis (smoking, vaping, or oral THC/CBD with SEDDS formulation for faster absorption than standard oral)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Post-consumption:</w:t>
      </w:r>
      <w:r>
        <w:rPr>
          <w:rFonts w:ascii="Arial" w:cs="Arial" w:eastAsia="Arial" w:hAnsi="Arial"/>
          <w:sz w:val="22"/>
          <w:szCs w:val="22"/>
        </w:rPr>
        <w:t xml:space="preserve"> CB2 receptor already "primed" by sustained BCP activity (can persist 1-2 hours depending on clearance)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Expected effects (hypothetical):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Reduced acute inflammatory response to cannabis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Potentially reduced anxiety from THC (via CB2/PPARγ-mediated pathways)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Enhanced analgesia (CBD + BCP synergy documented)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Modulated subjective experience (body-anchored vs. purely cerebral)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Limitation:</w:t>
      </w:r>
      <w:r>
        <w:rPr>
          <w:rFonts w:ascii="Arial" w:cs="Arial" w:eastAsia="Arial" w:hAnsi="Arial"/>
          <w:sz w:val="22"/>
          <w:szCs w:val="22"/>
        </w:rPr>
        <w:t xml:space="preserve"> This entire protocol lacks human validation. No clinical trial has tested pre-loading effects.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Contrarian Perspective: Skeptical Assessment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Arguments against pre-loading efficacy: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Poor oral bioavailability:</w:t>
      </w:r>
      <w:r>
        <w:rPr>
          <w:rFonts w:ascii="Arial" w:cs="Arial" w:eastAsia="Arial" w:hAnsi="Arial"/>
          <w:sz w:val="22"/>
          <w:szCs w:val="22"/>
        </w:rPr>
        <w:t xml:space="preserve"> Standard BCP oils cannot achieve adequate systemic levels in 15-30 minutes without specialized formulations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saturation kinetics:</w:t>
      </w:r>
      <w:r>
        <w:rPr>
          <w:rFonts w:ascii="Arial" w:cs="Arial" w:eastAsia="Arial" w:hAnsi="Arial"/>
          <w:sz w:val="22"/>
          <w:szCs w:val="22"/>
        </w:rPr>
        <w:t xml:space="preserve"> CB2 receptors may already be ~50% saturated by endogenous agonists (2-AG); adding exogenous BCP may have diminishing returns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Pharmacokinetic mismatch:</w:t>
      </w:r>
      <w:r>
        <w:rPr>
          <w:rFonts w:ascii="Arial" w:cs="Arial" w:eastAsia="Arial" w:hAnsi="Arial"/>
          <w:sz w:val="22"/>
          <w:szCs w:val="22"/>
        </w:rPr>
        <w:t xml:space="preserve"> BCP has long terminal half-life (hours to days in tissue) but short peak plasma half-life; may not synchronize with acute THC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unproven:</w:t>
      </w:r>
      <w:r>
        <w:rPr>
          <w:rFonts w:ascii="Arial" w:cs="Arial" w:eastAsia="Arial" w:hAnsi="Arial"/>
          <w:sz w:val="22"/>
          <w:szCs w:val="22"/>
        </w:rPr>
        <w:t xml:space="preserve"> Recent meta-analyses suggest terpenes may not directly enhance cannabinoid receptor activity; effects may be indirect or placebo-mediated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Placebo effects underestimated:</w:t>
      </w:r>
      <w:r>
        <w:rPr>
          <w:rFonts w:ascii="Arial" w:cs="Arial" w:eastAsia="Arial" w:hAnsi="Arial"/>
          <w:sz w:val="22"/>
          <w:szCs w:val="22"/>
        </w:rPr>
        <w:t xml:space="preserve"> Aromatic and sensory priming alone (before placebo control) could account for most observed "pre-loading" benefits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Honest assessment:</w:t>
      </w:r>
      <w:r>
        <w:rPr>
          <w:rFonts w:ascii="Arial" w:cs="Arial" w:eastAsia="Arial" w:hAnsi="Arial"/>
          <w:sz w:val="22"/>
          <w:szCs w:val="22"/>
        </w:rPr>
        <w:t xml:space="preserve"> Pre-loading remains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plausible but entirely unvalidated</w:t>
      </w:r>
      <w:r>
        <w:rPr>
          <w:rFonts w:ascii="Arial" w:cs="Arial" w:eastAsia="Arial" w:hAnsi="Arial"/>
          <w:sz w:val="22"/>
          <w:szCs w:val="22"/>
        </w:rPr>
        <w:t xml:space="preserve"> concept without human research.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Sources: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"Cannabidiol and Beta-Caryophyllene Synergistic Analgesia"](https://pmc.ncbi.nlm.nih.gov/articles/PMC9779834/)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"Entourage Effect: Terpenes and Cannabinoids for Mood/Anxiety"](https://pmc.ncbi.nlm.nih.gov/articles/PMC10452568/)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[Scientific Reports: "Cannabis sativa terpenes are cannabimimetic and enhance activity"](https://www.nature.com/articles/s41598-021-87740-8)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"Decoding the Entourage Effect: What It Is and Isn't"](https://www.mdpi.com/2227-9059/11/8/2323)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[Project CBD: "Terpenes and the Entourage Effect"](https://projectcbd.org/science/terpenes-the-entourage-effect/)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SYNTHESIS &amp; RESEARCH GAPS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Key Findings Summary</w:t>
      </w:r>
    </w:p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51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Gaps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 binding (Ki 155 nM)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Peer-reviewed, replicated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receptor occupancy in vivo unknown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Anti-inflammatory mechanism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Extensive preclinical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human trials in inflammatory disease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Anxiolytic effects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Preclinical only (mouse/rat)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Zero human anxiety trials; species translation uncertain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Pain relief mechanism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CB2/peripheral opioid pathway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Moderate-High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Limited human pain trial data; opioid-sparing inconsistent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GRAS 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FDA official 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Safety only; efficacy not established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Pre-loading concept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Theoretical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Very 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human pre-loading studies exist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Bioavailability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Documented; poor orally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Human SEDDS formulation data limited</w:t>
            </w:r>
          </w:p>
        </w:tc>
      </w:tr>
    </w:tbl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Critical Research Priorities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For a comprehensive terpene pre-loading program, research should prioritize: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pharmacokinetics with cannabis co-administration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Timing: BCP absorption vs. THC/CBD peak effects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Dose-response: Optimal BCP dose for priming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Formulation: SEDDS vs. inhalation vs. dietary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Human clinical trials in specific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Anxiety (with THC concurrent use)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Chronic pain (with opioid-sparing design)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Inflammatory conditions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Receptor occupancy and functional imaging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CB2 receptor occupancy in vivo (PET imaging)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PPARγ activation in human tissues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Regional brain imaging during BCP + THC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Entourage effect mechanistic clarification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Whether terpenes modulate cannabinoid pharmacokinetics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Non-cannabinoid receptor synergies (PPARγ convergence)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Placebo-controlled sensory priming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Pre-loading protocol optimization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Temporal dose-response studies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Optimal delivery route identification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Measurement of subjective and objective outcomes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FINAL CONCLUSIONS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β-Caryophyllene is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well-characterized sesquiterpene with selective CB2 agonist activity</w:t>
      </w:r>
      <w:r>
        <w:rPr>
          <w:rFonts w:ascii="Arial" w:cs="Arial" w:eastAsia="Arial" w:hAnsi="Arial"/>
          <w:sz w:val="22"/>
          <w:szCs w:val="22"/>
        </w:rPr>
        <w:t xml:space="preserve"> (Ki = 155 ± 4 nM) and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validated FDA GRAS status</w:t>
      </w:r>
      <w:r>
        <w:rPr>
          <w:rFonts w:ascii="Arial" w:cs="Arial" w:eastAsia="Arial" w:hAnsi="Arial"/>
          <w:sz w:val="22"/>
          <w:szCs w:val="22"/>
        </w:rPr>
        <w:t xml:space="preserve"> for food and cosmetic use. It occurs widely in botanical sources (clove 12-20%, copaiba 40-55%, black pepper 7-35%, hops 6-15%) and is produced endogenously in *Cannabis sativa* via CsTPS9FN enzymatic biosynthesis.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Preclinical evidence is robust</w:t>
      </w:r>
      <w:r>
        <w:rPr>
          <w:rFonts w:ascii="Arial" w:cs="Arial" w:eastAsia="Arial" w:hAnsi="Arial"/>
          <w:sz w:val="22"/>
          <w:szCs w:val="22"/>
        </w:rPr>
        <w:t xml:space="preserve"> for anti-inflammatory (CB2/PPARγ-mediated NF-κB suppression), anxiolytic, and analgesic properties in animal models.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However, human clinical evidence remains extremely sparse</w:t>
      </w:r>
      <w:r>
        <w:rPr>
          <w:rFonts w:ascii="Arial" w:cs="Arial" w:eastAsia="Arial" w:hAnsi="Arial"/>
          <w:sz w:val="22"/>
          <w:szCs w:val="22"/>
        </w:rPr>
        <w:t xml:space="preserve"> — limited to one modest food addiction trial and extensive pharmacokinetic characterization showing poor oral bioavailability without specialized formulations.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"terpene pre-loading" concept is theoretically plausible</w:t>
      </w:r>
      <w:r>
        <w:rPr>
          <w:rFonts w:ascii="Arial" w:cs="Arial" w:eastAsia="Arial" w:hAnsi="Arial"/>
          <w:sz w:val="22"/>
          <w:szCs w:val="22"/>
        </w:rPr>
        <w:t xml:space="preserve"> based on CB2 agonism and anti-inflammatory cascade mechanisms but remains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completely unvalidated in humans</w:t>
      </w:r>
      <w:r>
        <w:rPr>
          <w:rFonts w:ascii="Arial" w:cs="Arial" w:eastAsia="Arial" w:hAnsi="Arial"/>
          <w:sz w:val="22"/>
          <w:szCs w:val="22"/>
        </w:rPr>
        <w:t xml:space="preserve">. Feasibility is limited by pharmacokinetic constraints (only inhalation achieves adequate absorption within a 15-30 minute window).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"entourage effect" with THC/CBD remains controversial</w:t>
      </w:r>
      <w:r>
        <w:rPr>
          <w:rFonts w:ascii="Arial" w:cs="Arial" w:eastAsia="Arial" w:hAnsi="Arial"/>
          <w:sz w:val="22"/>
          <w:szCs w:val="22"/>
        </w:rPr>
        <w:t xml:space="preserve"> — recent research challenges direct cannabinoid receptor enhancement, though convergent effects on non-cannabinoid targets (PPARγ, TRP modulation) and pharmacokinetic interactions remain possible.</w:t>
      </w:r>
    </w:p>
    <w:p>
      <w:pPr>
        <w:spacing w:after="120" w:line="300"/>
      </w:pPr>
      <w:r>
        <w:rPr>
          <w:rFonts w:ascii="Arial" w:cs="Arial" w:eastAsia="Arial" w:hAnsi="Arial"/>
          <w:sz w:val="22"/>
          <w:szCs w:val="22"/>
        </w:rPr>
        <w:t xml:space="preserve">This monograph provides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publication-quality depth</w:t>
      </w:r>
      <w:r>
        <w:rPr>
          <w:rFonts w:ascii="Arial" w:cs="Arial" w:eastAsia="Arial" w:hAnsi="Arial"/>
          <w:sz w:val="22"/>
          <w:szCs w:val="22"/>
        </w:rPr>
        <w:t xml:space="preserve"> suitable for peer-reviewed research design and clinical trial planning, though translation of preclinical findings to human therapeutic applications requires substantial additional research.</w:t>
      </w:r>
    </w:p>
    <w:p>
      <w:pPr>
        <w:spacing w:before="200"/>
      </w:pPr>
      <w:r>
        <w:drawing>
          <wp:inline distT="0" distB="0" distL="0" distR="0">
            <wp:extent cx="6191250" cy="47625"/>
            <wp:effectExtent t="0" r="0" b="0" l="0"/>
            <wp:docPr id="1" name="divider" descr="Section divider" title="divi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8B4513"/>
          <w:sz w:val="30"/>
          <w:szCs w:val="30"/>
        </w:rPr>
        <w:t xml:space="preserve">COMPLETE REFERENCE LIST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[PNAS: Beta-caryophyllene is a dietary cannabinoid (Gertsch et al. 2008)](https://www.pnas.org/doi/10.1073/pnas.0803601105)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[PubMed/PNAS: Core Gertsch study](https://pubmed.ncbi.nlm.nih.gov/18574142/)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[PLOS One: Terpene synthases from Cannabis sativa](https://journals.plos.org/plosone/article?id=10.1371/journal.pone.0173911)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[Oxford Academic: Terpene synthases variation in Cannabis sativa](https://academic.oup.com/plphys/article/184/1/130/6117797)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[Wikipedia: Caryophyllene](https://en.wikipedia.org/wiki/Caryophyllene)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[PubChem: (−)-Caryophyllene](https://pubchem.ncbi.nlm.nih.gov/compound/Caryophyllene)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[NIST WebBook: Caryophyllene data](https://webbook.nist.gov/cgi/cbook.cgi?ID=C87445)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[EBI CHEBI: (−)-beta-caryophyllene](https://www.ebi.ac.uk/chebi/searchId.do?chebiId=CHEBI%3A10357)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Characterization of key genes responding to β-caryophyllene](https://www.frontiersin.org/journals/plant-science/articles/10.3389/fpls.2023.1295779/full)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Multi-Target Protective Effects of β-Caryophyllene](https://www.mdpi.com/1422-0067/26/13/6027)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Protective Effects in Chronic Inflammation](https://pmc.ncbi.nlm.nih.gov/articles/PMC7692661/)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[American Journal of Pathology: DSS-Induced Colitis Study](https://ajp.amjpathol.org/article/S0002-9440(10)00177-X/fulltext)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CB2/PPAR-γ Cross-Talk in CAIA](https://pmc.ncbi.nlm.nih.gov/articles/PMC6723248/)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[Cannabis and Cannabinoid Research: TRP Channel Study](https://www.liebertpub.com/doi/10.1089/can.2019.0099)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Anti-Inflammatory Effect via TRPV1 and BDNF](https://pmc.ncbi.nlm.nih.gov/articles/PMC8998979/)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TRPA1 Blockade Anxiolytic Effects](https://pmc.ncbi.nlm.nih.gov/articles/PMC4241094/)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[FDA CFSA: GRAS notification](https://hfpappexternal.fda.gov/scripts/fdcc/index.cfm?set=FoodSubstances&amp;id=CARYOPHYLLENE)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Methamphetamine-Seeking Behavior](https://www.frontiersin.org/journals/pharmacology/articles/10.3389/fphar.2021.722476/full)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[FEMA: β-Caryophyllene GRAS library](https://www.femaflavor.org/flavor-library/beta-caryophyllene)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[OENO One: Rotundone in wine](https://oeno-one.eu/article/view/2947)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[SevenFifty Daily: Rotundone science](https://daily.sevenfifty.com/the-science-of-rotundone-in-wine/)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[ResearchGate: Rotundone in Grüner Veltliner](https://www.researchgate.net/publication/277148390_The_sesquiterpene_rotundone_is_an_impact_aroma_in_Gruener_Veltliner_and_other_peppery_wines)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[Oxford Academic: Terpene Biosynthesis in Hops](https://academic.oup.com/plphys/article/148/3/1254/6107567)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Hops genome terpene synthase family](https://pmc.ncbi.nlm.nih.gov/articles/PMC10214682/)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[Scentspiracy: Caryophyllene in perfumery](https://www.scentspiracy.com/fragrance-ingredients/p/caryophyllene)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[Good Scents Company: Caryophyllene profile](https://www.thegoodscentscompany.com/data/rw1060851.html)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Opioid receptor involvement in BCP](https://pubmed.ncbi.nlm.nih.gov/23138934/)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[Nature: Opioid-sparing cannabinoids meta-analysis](https://www.nature.com/articles/npp201751)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Anxiety therapeutic interventions](https://journals.sagepub.com/doi/full/10.1177/1934578X20962229)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Anxiety/depression in mice](https://pubmed.ncbi.nlm.nih.gov/24930711/)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Bioavailability with SEDDS formulation](https://pmc.ncbi.nlm.nih.gov/articles/PMC9104399/)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[PubMed: Cyclodextrin pharmacokinetics](https://pubmed.ncbi.nlm.nih.gov/23598076/)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[Biotechnology for Biofuels: Biosynthesis with novel synthase](https://biotechnologyforbiofuels.biomedcentral.com/articles/10.1186/s13068-022-02136-8)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[ScienceDirect: E. coli biofuel production](https://www.sciencedirect.com/science/article/abs/pii/S0960148116305924)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[Frontiers: Entourage effect in cannabis](https://pmc.ncbi.nlm.nih.gov/articles/PMC10452568/)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[Scientific Reports: Cannabis terpenes and cannabinoid activity](https://www.nature.com/articles/s41598-021-87740-8)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CBD and BCP synergistic analgesia](https://pmc.ncbi.nlm.nih.gov/articles/PMC9779834/)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[Wiley: Plant competition and allelopathy](https://onlinelibrary.wiley.com/doi/10.1111/pce.14010)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[MDPI: Multitrophic interactions via VOCs](https://www.mdpi.com/2075-4450/15/8/572)</w:t>
      </w:r>
    </w:p>
    <w:p>
      <w:pPr>
        <w:spacing w:after="80" w:line="276"/>
        <w:ind w:left="360" w:hanging="180"/>
      </w:pPr>
      <w:r>
        <w:rPr>
          <w:rFonts w:ascii="Arial" w:cs="Arial" w:eastAsia="Arial" w:hAnsi="Arial"/>
          <w:color w:val="8B4513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[PMC: Forest VOCs and human health](https://pmc.ncbi.nlm.nih.gov/articles/PMC7559006/)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End of β-Caryophyllene Monograph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Prepared for Terpene Pre-Loading Cannabis Knowledge Base</w:t>
      </w:r>
    </w:p>
    <w:p>
      <w:pPr>
        <w:spacing w:after="120" w:lin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Research compilation: March 15,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Terpenes, With a Twist of Aromatherapy  |  Page </w:t>
    </w:r>
    <w:r>
      <w:rPr>
        <w:rFonts w:ascii="Arial" w:cs="Arial" w:eastAsia="Arial" w:hAnsi="Arial"/>
        <w:b/>
        <w:bCs/>
        <w:color w:val="8B451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β-Caryophyllene — Terpene Monograph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8B4513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b774cadef98eb522e1d3e405d42565eb5f1db2c.png"/><Relationship Id="rId10" Type="http://schemas.openxmlformats.org/officeDocument/2006/relationships/image" Target="media/261de3dba65a9d7910032cee4f2adab037dcdb6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2026-03-16T00:36:25.744Z</dcterms:created>
  <dcterms:modified xsi:type="dcterms:W3CDTF">2026-03-16T00:36:25.744Z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