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drawing>
          <wp:inline distT="0" distB="0" distL="0" distR="0">
            <wp:extent cx="6191250" cy="2324100"/>
            <wp:effectExtent t="0" r="0" b="0" l="0"/>
            <wp:docPr id="1" name="cover" descr="Cover image for Terpinolene monograph" title="Terpinole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91250" cy="2324100"/>
                    </a:xfrm>
                    <a:prstGeom prst="rect">
                      <a:avLst/>
                    </a:prstGeom>
                  </pic:spPr>
                </pic:pic>
              </a:graphicData>
            </a:graphic>
          </wp:inline>
        </w:drawing>
      </w:r>
    </w:p>
    <w:p>
      <w:pPr>
        <w:spacing w:before="600"/>
      </w:pPr>
    </w:p>
    <w:p>
      <w:pPr>
        <w:spacing w:after="200"/>
        <w:jc w:val="center"/>
      </w:pPr>
      <w:r>
        <w:rPr>
          <w:rFonts w:ascii="Arial" w:cs="Arial" w:eastAsia="Arial" w:hAnsi="Arial"/>
          <w:b/>
          <w:bCs/>
          <w:color w:val="00695C"/>
          <w:spacing w:val="200"/>
          <w:sz w:val="28"/>
          <w:szCs w:val="28"/>
        </w:rPr>
        <w:t xml:space="preserve">TERPENE MONOGRAPH</w:t>
      </w:r>
    </w:p>
    <w:p>
      <w:pPr>
        <w:spacing w:after="100"/>
        <w:jc w:val="center"/>
      </w:pPr>
      <w:r>
        <w:rPr>
          <w:rFonts w:ascii="Arial" w:cs="Arial" w:eastAsia="Arial" w:hAnsi="Arial"/>
          <w:i/>
          <w:iCs/>
          <w:color w:val="666666"/>
          <w:sz w:val="22"/>
          <w:szCs w:val="22"/>
        </w:rPr>
        <w:t xml:space="preserve">Terpenes, With a Twist of Aromatherapy</w:t>
      </w:r>
    </w:p>
    <w:p>
      <w:pPr>
        <w:spacing w:after="100"/>
        <w:jc w:val="center"/>
      </w:pPr>
      <w:r>
        <w:rPr>
          <w:rFonts w:ascii="Arial" w:cs="Arial" w:eastAsia="Arial" w:hAnsi="Arial"/>
          <w:color w:val="888888"/>
          <w:sz w:val="20"/>
          <w:szCs w:val="20"/>
        </w:rPr>
        <w:t xml:space="preserve">Terpene Pre-Loading Knowledge Base</w:t>
      </w:r>
    </w:p>
    <w:p>
      <w:pPr>
        <w:spacing w:before="1200"/>
        <w:jc w:val="center"/>
      </w:pPr>
      <w:r>
        <w:rPr>
          <w:rFonts w:ascii="Arial" w:cs="Arial" w:eastAsia="Arial" w:hAnsi="Arial"/>
          <w:color w:val="999999"/>
          <w:sz w:val="20"/>
          <w:szCs w:val="20"/>
        </w:rPr>
        <w:t xml:space="preserve">March 2026</w:t>
      </w:r>
    </w:p>
    <w:p>
      <w:r>
        <w:br w:type="page"/>
      </w:r>
    </w:p>
    <w:p>
      <w:pPr>
        <w:pStyle w:val="Heading1"/>
      </w:pPr>
      <w:r>
        <w:rPr>
          <w:rFonts w:ascii="Arial" w:cs="Arial" w:eastAsia="Arial" w:hAnsi="Arial"/>
          <w:b/>
          <w:bCs/>
          <w:color w:val="00695C"/>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spacing w:before="200"/>
      </w:pPr>
      <w:r>
        <w:drawing>
          <wp:inline distT="0" distB="0" distL="0" distR="0">
            <wp:extent cx="6191250" cy="47625"/>
            <wp:effectExtent t="0" r="0" b="0" l="0"/>
            <wp:docPr id="1" name="divider" descr="Section divider" title="div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47625"/>
                    </a:xfrm>
                    <a:prstGeom prst="rect">
                      <a:avLst/>
                    </a:prstGeom>
                  </pic:spPr>
                </pic:pic>
              </a:graphicData>
            </a:graphic>
          </wp:inline>
        </w:drawing>
      </w:r>
    </w:p>
    <w:p>
      <w:pPr>
        <w:pStyle w:val="Heading1"/>
        <w:spacing w:after="200" w:before="360"/>
      </w:pPr>
      <w:r>
        <w:rPr>
          <w:rFonts w:ascii="Arial" w:cs="Arial" w:eastAsia="Arial" w:hAnsi="Arial"/>
          <w:b/>
          <w:bCs/>
          <w:color w:val="00695C"/>
          <w:sz w:val="30"/>
          <w:szCs w:val="30"/>
        </w:rPr>
        <w:t xml:space="preserve">A Comprehensive Guide for Cannabis Terpene Pre-Loading</w:t>
      </w:r>
    </w:p>
    <w:p>
      <w:pPr>
        <w:spacing w:after="120" w:line="300"/>
      </w:pPr>
      <w:r>
        <w:rPr>
          <w:rFonts w:ascii="Arial" w:cs="Arial" w:eastAsia="Arial" w:hAnsi="Arial"/>
          <w:b/>
          <w:bCs/>
          <w:sz w:val="22"/>
          <w:szCs w:val="22"/>
        </w:rPr>
        <w:t xml:space="preserve">Version 1.0 | March 2026</w:t>
      </w:r>
    </w:p>
    <w:p>
      <w:pPr>
        <w:spacing w:before="200"/>
      </w:pPr>
      <w:r>
        <w:drawing>
          <wp:inline distT="0" distB="0" distL="0" distR="0">
            <wp:extent cx="6191250" cy="47625"/>
            <wp:effectExtent t="0" r="0" b="0" l="0"/>
            <wp:docPr id="1" name="divider" descr="Section divider" title="div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47625"/>
                    </a:xfrm>
                    <a:prstGeom prst="rect">
                      <a:avLst/>
                    </a:prstGeom>
                  </pic:spPr>
                </pic:pic>
              </a:graphicData>
            </a:graphic>
          </wp:inline>
        </w:drawing>
      </w:r>
    </w:p>
    <w:p>
      <w:pPr>
        <w:pStyle w:val="Heading1"/>
        <w:spacing w:after="200" w:before="360"/>
      </w:pPr>
      <w:r>
        <w:rPr>
          <w:rFonts w:ascii="Arial" w:cs="Arial" w:eastAsia="Arial" w:hAnsi="Arial"/>
          <w:b/>
          <w:bCs/>
          <w:color w:val="00695C"/>
          <w:sz w:val="30"/>
          <w:szCs w:val="30"/>
        </w:rPr>
        <w:t xml:space="preserve">Table of Contents</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[Executive Summary](#executive-summary)</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[Chemical Identity](#chemical-identity)</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[Biosynthesis](#biosynthesis)</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[Sensory Profile](#sensory-profile)</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[Pharmacology &amp; Biological Activity](#pharmacology--biological-activity)</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[Clinical Evidence](#clinical-evidence)</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[Cross-Botanical Sources](#cross-botanical-sources)</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[Molecular Cousins](#molecular-cousins)</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[Wine &amp; Beverage Bridges](#wine--beverage-bridges)</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[Perfumery &amp; Cosmetics](#perfumery--cosmetics)</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[Culinary Applications](#culinary-applications)</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[Traditional Medicine](#traditional-medicine)</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[Forest Ecology](#forest-ecology)</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[Industrial Applications](#industrial-applications)</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[Contrarian Evidence &amp; The Sativa Paradox](#contrarian-evidence--the-sativa-paradox)</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[Pre-Loading Implications](#pre-loading-implications)</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[Research Gaps &amp; Future Directions](#research-gaps--future-directions)</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[References](#references)</w:t>
      </w:r>
    </w:p>
    <w:p>
      <w:pPr>
        <w:spacing w:before="200"/>
      </w:pPr>
      <w:r>
        <w:drawing>
          <wp:inline distT="0" distB="0" distL="0" distR="0">
            <wp:extent cx="6191250" cy="47625"/>
            <wp:effectExtent t="0" r="0" b="0" l="0"/>
            <wp:docPr id="1" name="divider" descr="Section divider" title="div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47625"/>
                    </a:xfrm>
                    <a:prstGeom prst="rect">
                      <a:avLst/>
                    </a:prstGeom>
                  </pic:spPr>
                </pic:pic>
              </a:graphicData>
            </a:graphic>
          </wp:inline>
        </w:drawing>
      </w:r>
    </w:p>
    <w:p>
      <w:pPr>
        <w:pStyle w:val="Heading1"/>
        <w:spacing w:after="200" w:before="360"/>
      </w:pPr>
      <w:r>
        <w:rPr>
          <w:rFonts w:ascii="Arial" w:cs="Arial" w:eastAsia="Arial" w:hAnsi="Arial"/>
          <w:b/>
          <w:bCs/>
          <w:color w:val="00695C"/>
          <w:sz w:val="30"/>
          <w:szCs w:val="30"/>
        </w:rPr>
        <w:t xml:space="preserve">Executive Summary</w:t>
      </w:r>
    </w:p>
    <w:p>
      <w:pPr>
        <w:spacing w:after="120" w:line="300"/>
      </w:pPr>
      <w:r>
        <w:rPr>
          <w:rFonts w:ascii="Arial" w:cs="Arial" w:eastAsia="Arial" w:hAnsi="Arial"/>
          <w:sz w:val="22"/>
          <w:szCs w:val="22"/>
        </w:rPr>
        <w:t xml:space="preserve">Terpinolene (2,6-dimethylocta-2,6-diene-1,8-diol; CAS 586-62-9) is a cyclic, monocyclic monoterpene (C₁₀H₁₆) present in cannabis, tea tree, nutmeg, cumin, allspice, apples, parsnip, pine, juniper, rosemary, and lilac. With a molecular weight of 136.23 g/mol and boiling point of 184–185°C, it represents one of the least-studied major cannabis terpenes despite exhibiting robust pharmacological activity across multiple assays (antioxidant, anti-inflammatory, anti-proliferative, sedative, and acetylcholinesterase inhibitory).</w:t>
      </w:r>
    </w:p>
    <w:p>
      <w:pPr>
        <w:spacing w:after="120" w:line="300"/>
      </w:pPr>
      <w:r>
        <w:rPr>
          <w:rFonts w:ascii="Arial" w:cs="Arial" w:eastAsia="Arial" w:hAnsi="Arial"/>
          <w:sz w:val="22"/>
          <w:szCs w:val="22"/>
        </w:rPr>
        <w:t xml:space="preserve">Terpinolene's fresh, piney, herbal, and slightly citrus sensory profile makes it an enigmatic compound in cannabis—frequently encountered in energizing "sativa" strains (e.g., Jack Herer, 34–36% terpinolene) despite preclinical evidence supporting sedative effects via nasal absorption. This </w:t>
      </w:r>
      <w:r>
        <w:rPr>
          <w:rFonts w:ascii="Arial" w:cs="Arial" w:eastAsia="Arial" w:hAnsi="Arial"/>
          <w:b/>
          <w:bCs/>
          <w:sz w:val="22"/>
          <w:szCs w:val="22"/>
        </w:rPr>
        <w:t xml:space="preserve">terpinolene paradox</w:t>
      </w:r>
      <w:r>
        <w:rPr>
          <w:rFonts w:ascii="Arial" w:cs="Arial" w:eastAsia="Arial" w:hAnsi="Arial"/>
          <w:sz w:val="22"/>
          <w:szCs w:val="22"/>
        </w:rPr>
        <w:t xml:space="preserve"> remains unresolved and suggests that in vivo cannabis effects are modulated by cannabinoid context, delivery method, and entourage effects rather than terpinolene's isolated pharmacology.</w:t>
      </w:r>
    </w:p>
    <w:p>
      <w:pPr>
        <w:spacing w:after="120" w:line="300"/>
      </w:pPr>
      <w:r>
        <w:rPr>
          <w:rFonts w:ascii="Arial" w:cs="Arial" w:eastAsia="Arial" w:hAnsi="Arial"/>
          <w:sz w:val="22"/>
          <w:szCs w:val="22"/>
        </w:rPr>
        <w:t xml:space="preserve">For </w:t>
      </w:r>
      <w:r>
        <w:rPr>
          <w:rFonts w:ascii="Arial" w:cs="Arial" w:eastAsia="Arial" w:hAnsi="Arial"/>
          <w:b/>
          <w:bCs/>
          <w:sz w:val="22"/>
          <w:szCs w:val="22"/>
        </w:rPr>
        <w:t xml:space="preserve">terpene pre-loading</w:t>
      </w:r>
      <w:r>
        <w:rPr>
          <w:rFonts w:ascii="Arial" w:cs="Arial" w:eastAsia="Arial" w:hAnsi="Arial"/>
          <w:sz w:val="22"/>
          <w:szCs w:val="22"/>
        </w:rPr>
        <w:t xml:space="preserve"> (inhaling strain-matched botanical oils 15–30 minutes before cannabis consumption), terpinolene offers dual therapeutic promise: (1) sedative priming for relaxation-focused strains via tea tree oil inhalation, and (2) antioxidant protection against combustion byproducts. The evidence base, however, remains preliminary, with fewer than 60 scientific publications meeting quality inclusion criteria.</w:t>
      </w:r>
    </w:p>
    <w:p>
      <w:pPr>
        <w:spacing w:before="200"/>
      </w:pPr>
      <w:r>
        <w:drawing>
          <wp:inline distT="0" distB="0" distL="0" distR="0">
            <wp:extent cx="6191250" cy="47625"/>
            <wp:effectExtent t="0" r="0" b="0" l="0"/>
            <wp:docPr id="1" name="divider" descr="Section divider" title="div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47625"/>
                    </a:xfrm>
                    <a:prstGeom prst="rect">
                      <a:avLst/>
                    </a:prstGeom>
                  </pic:spPr>
                </pic:pic>
              </a:graphicData>
            </a:graphic>
          </wp:inline>
        </w:drawing>
      </w:r>
    </w:p>
    <w:p>
      <w:pPr>
        <w:pStyle w:val="Heading1"/>
        <w:spacing w:after="200" w:before="360"/>
      </w:pPr>
      <w:r>
        <w:rPr>
          <w:rFonts w:ascii="Arial" w:cs="Arial" w:eastAsia="Arial" w:hAnsi="Arial"/>
          <w:b/>
          <w:bCs/>
          <w:color w:val="00695C"/>
          <w:sz w:val="30"/>
          <w:szCs w:val="30"/>
        </w:rPr>
        <w:t xml:space="preserve">Chemical Identity</w:t>
      </w:r>
    </w:p>
    <w:p>
      <w:pPr>
        <w:pStyle w:val="Heading2"/>
        <w:spacing w:after="120" w:before="240"/>
      </w:pPr>
      <w:r>
        <w:rPr>
          <w:rFonts w:ascii="Arial" w:cs="Arial" w:eastAsia="Arial" w:hAnsi="Arial"/>
          <w:b/>
          <w:bCs/>
          <w:color w:val="333333"/>
          <w:sz w:val="26"/>
          <w:szCs w:val="26"/>
        </w:rPr>
        <w:t xml:space="preserve">Molecular Formula &amp; Structure</w:t>
      </w:r>
    </w:p>
    <w:p>
      <w:pPr>
        <w:spacing w:after="120" w:line="300"/>
      </w:pPr>
      <w:r>
        <w:rPr>
          <w:rFonts w:ascii="Arial" w:cs="Arial" w:eastAsia="Arial" w:hAnsi="Arial"/>
          <w:b/>
          <w:bCs/>
          <w:sz w:val="22"/>
          <w:szCs w:val="22"/>
        </w:rPr>
        <w:t xml:space="preserve">Molecular Formula:</w:t>
      </w:r>
      <w:r>
        <w:rPr>
          <w:rFonts w:ascii="Arial" w:cs="Arial" w:eastAsia="Arial" w:hAnsi="Arial"/>
          <w:sz w:val="22"/>
          <w:szCs w:val="22"/>
        </w:rPr>
        <w:t xml:space="preserve"> C₁₀H₁₆</w:t>
      </w:r>
    </w:p>
    <w:p>
      <w:pPr>
        <w:spacing w:after="120" w:line="300"/>
      </w:pPr>
      <w:r>
        <w:rPr>
          <w:rFonts w:ascii="Arial" w:cs="Arial" w:eastAsia="Arial" w:hAnsi="Arial"/>
          <w:b/>
          <w:bCs/>
          <w:sz w:val="22"/>
          <w:szCs w:val="22"/>
        </w:rPr>
        <w:t xml:space="preserve">Molecular Weight:</w:t>
      </w:r>
      <w:r>
        <w:rPr>
          <w:rFonts w:ascii="Arial" w:cs="Arial" w:eastAsia="Arial" w:hAnsi="Arial"/>
          <w:sz w:val="22"/>
          <w:szCs w:val="22"/>
        </w:rPr>
        <w:t xml:space="preserve"> 136.23 g/mol</w:t>
      </w:r>
    </w:p>
    <w:p>
      <w:pPr>
        <w:spacing w:after="120" w:line="300"/>
      </w:pPr>
      <w:r>
        <w:rPr>
          <w:rFonts w:ascii="Arial" w:cs="Arial" w:eastAsia="Arial" w:hAnsi="Arial"/>
          <w:b/>
          <w:bCs/>
          <w:sz w:val="22"/>
          <w:szCs w:val="22"/>
        </w:rPr>
        <w:t xml:space="preserve">IUPAC Name:</w:t>
      </w:r>
      <w:r>
        <w:rPr>
          <w:rFonts w:ascii="Arial" w:cs="Arial" w:eastAsia="Arial" w:hAnsi="Arial"/>
          <w:sz w:val="22"/>
          <w:szCs w:val="22"/>
        </w:rPr>
        <w:t xml:space="preserve"> 4-isopropylidene-1-methylcyclohexene</w:t>
      </w:r>
    </w:p>
    <w:p>
      <w:pPr>
        <w:spacing w:after="120" w:line="300"/>
      </w:pPr>
      <w:r>
        <w:rPr>
          <w:rFonts w:ascii="Arial" w:cs="Arial" w:eastAsia="Arial" w:hAnsi="Arial"/>
          <w:b/>
          <w:bCs/>
          <w:sz w:val="22"/>
          <w:szCs w:val="22"/>
        </w:rPr>
        <w:t xml:space="preserve">CAS Number:</w:t>
      </w:r>
      <w:r>
        <w:rPr>
          <w:rFonts w:ascii="Arial" w:cs="Arial" w:eastAsia="Arial" w:hAnsi="Arial"/>
          <w:sz w:val="22"/>
          <w:szCs w:val="22"/>
        </w:rPr>
        <w:t xml:space="preserve"> 586-62-9</w:t>
      </w:r>
    </w:p>
    <w:p>
      <w:pPr>
        <w:spacing w:after="120" w:line="300"/>
      </w:pPr>
      <w:r>
        <w:rPr>
          <w:rFonts w:ascii="Arial" w:cs="Arial" w:eastAsia="Arial" w:hAnsi="Arial"/>
          <w:b/>
          <w:bCs/>
          <w:sz w:val="22"/>
          <w:szCs w:val="22"/>
        </w:rPr>
        <w:t xml:space="preserve">InChI:</w:t>
      </w:r>
      <w:r>
        <w:rPr>
          <w:rFonts w:ascii="Arial" w:cs="Arial" w:eastAsia="Arial" w:hAnsi="Arial"/>
          <w:sz w:val="22"/>
          <w:szCs w:val="22"/>
        </w:rPr>
        <w:t xml:space="preserve"> InChI=1S/C10H16/c1-8(2)10-6-4-9(3)5-7-10/h4H,5-7H2,1-3H3</w:t>
      </w:r>
    </w:p>
    <w:p>
      <w:pPr>
        <w:pStyle w:val="Heading2"/>
        <w:spacing w:after="120" w:before="240"/>
      </w:pPr>
      <w:r>
        <w:rPr>
          <w:rFonts w:ascii="Arial" w:cs="Arial" w:eastAsia="Arial" w:hAnsi="Arial"/>
          <w:b/>
          <w:bCs/>
          <w:color w:val="333333"/>
          <w:sz w:val="26"/>
          <w:szCs w:val="26"/>
        </w:rPr>
        <w:t xml:space="preserve">Physical Properties</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0695C" w:val="clear"/>
            <w:tcMar>
              <w:top w:type="dxa" w:w="60"/>
              <w:left w:type="dxa" w:w="100"/>
              <w:bottom w:type="dxa" w:w="60"/>
              <w:right w:type="dxa" w:w="100"/>
            </w:tcMar>
          </w:tcPr>
          <w:p>
            <w:r>
              <w:rPr>
                <w:rFonts w:ascii="Arial" w:cs="Arial" w:eastAsia="Arial" w:hAnsi="Arial"/>
                <w:b/>
                <w:bCs/>
                <w:color w:val="FFFFFF"/>
                <w:sz w:val="20"/>
                <w:szCs w:val="20"/>
              </w:rPr>
              <w:t xml:space="preserve">Property</w:t>
            </w:r>
          </w:p>
        </w:tc>
        <w:tc>
          <w:tcPr>
            <w:tcW w:type="dxa" w:w="4680"/>
            <w:tcBorders>
              <w:top w:val="single" w:color="CCCCCC" w:sz="1"/>
              <w:left w:val="single" w:color="CCCCCC" w:sz="1"/>
              <w:bottom w:val="single" w:color="CCCCCC" w:sz="1"/>
              <w:right w:val="single" w:color="CCCCCC" w:sz="1"/>
            </w:tcBorders>
            <w:shd w:fill="00695C" w:val="clear"/>
            <w:tcMar>
              <w:top w:type="dxa" w:w="60"/>
              <w:left w:type="dxa" w:w="100"/>
              <w:bottom w:type="dxa" w:w="60"/>
              <w:right w:type="dxa" w:w="10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Appearance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Colorless to pale yellow liquid</w:t>
            </w:r>
          </w:p>
        </w:tc>
      </w:tr>
      <w:tr>
        <w:tc>
          <w:tcPr>
            <w:tcW w:type="dxa" w:w="4680"/>
            <w:tcBorders>
              <w:top w:val="single" w:color="CCCCCC" w:sz="1"/>
              <w:left w:val="single" w:color="CCCCCC" w:sz="1"/>
              <w:bottom w:val="single" w:color="CCCCCC" w:sz="1"/>
              <w:right w:val="single" w:color="CCCCCC" w:sz="1"/>
            </w:tcBorders>
            <w:shd w:fill="E0F2F1" w:val="clear"/>
            <w:tcMar>
              <w:top w:type="dxa" w:w="60"/>
              <w:left w:type="dxa" w:w="100"/>
              <w:bottom w:type="dxa" w:w="60"/>
              <w:right w:type="dxa" w:w="100"/>
            </w:tcMar>
          </w:tcPr>
          <w:p>
            <w:r>
              <w:rPr>
                <w:rFonts w:ascii="Arial" w:cs="Arial" w:eastAsia="Arial" w:hAnsi="Arial"/>
                <w:b w:val="false"/>
                <w:bCs w:val="false"/>
                <w:color w:val="333333"/>
                <w:sz w:val="20"/>
                <w:szCs w:val="20"/>
              </w:rPr>
              <w:t xml:space="preserve">Boiling Point</w:t>
            </w:r>
          </w:p>
        </w:tc>
        <w:tc>
          <w:tcPr>
            <w:tcW w:type="dxa" w:w="4680"/>
            <w:tcBorders>
              <w:top w:val="single" w:color="CCCCCC" w:sz="1"/>
              <w:left w:val="single" w:color="CCCCCC" w:sz="1"/>
              <w:bottom w:val="single" w:color="CCCCCC" w:sz="1"/>
              <w:right w:val="single" w:color="CCCCCC" w:sz="1"/>
            </w:tcBorders>
            <w:shd w:fill="E0F2F1" w:val="clear"/>
            <w:tcMar>
              <w:top w:type="dxa" w:w="60"/>
              <w:left w:type="dxa" w:w="100"/>
              <w:bottom w:type="dxa" w:w="60"/>
              <w:right w:type="dxa" w:w="100"/>
            </w:tcMar>
          </w:tcPr>
          <w:p>
            <w:r>
              <w:rPr>
                <w:rFonts w:ascii="Arial" w:cs="Arial" w:eastAsia="Arial" w:hAnsi="Arial"/>
                <w:b w:val="false"/>
                <w:bCs w:val="false"/>
                <w:color w:val="333333"/>
                <w:sz w:val="20"/>
                <w:szCs w:val="20"/>
              </w:rPr>
              <w:t xml:space="preserve">184–185°C</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Density</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0.86 g/mL @ 25°C</w:t>
            </w:r>
          </w:p>
        </w:tc>
      </w:tr>
      <w:tr>
        <w:tc>
          <w:tcPr>
            <w:tcW w:type="dxa" w:w="4680"/>
            <w:tcBorders>
              <w:top w:val="single" w:color="CCCCCC" w:sz="1"/>
              <w:left w:val="single" w:color="CCCCCC" w:sz="1"/>
              <w:bottom w:val="single" w:color="CCCCCC" w:sz="1"/>
              <w:right w:val="single" w:color="CCCCCC" w:sz="1"/>
            </w:tcBorders>
            <w:shd w:fill="E0F2F1" w:val="clear"/>
            <w:tcMar>
              <w:top w:type="dxa" w:w="60"/>
              <w:left w:type="dxa" w:w="100"/>
              <w:bottom w:type="dxa" w:w="60"/>
              <w:right w:type="dxa" w:w="100"/>
            </w:tcMar>
          </w:tcPr>
          <w:p>
            <w:r>
              <w:rPr>
                <w:rFonts w:ascii="Arial" w:cs="Arial" w:eastAsia="Arial" w:hAnsi="Arial"/>
                <w:b w:val="false"/>
                <w:bCs w:val="false"/>
                <w:color w:val="333333"/>
                <w:sz w:val="20"/>
                <w:szCs w:val="20"/>
              </w:rPr>
              <w:t xml:space="preserve">Flash Point</w:t>
            </w:r>
          </w:p>
        </w:tc>
        <w:tc>
          <w:tcPr>
            <w:tcW w:type="dxa" w:w="4680"/>
            <w:tcBorders>
              <w:top w:val="single" w:color="CCCCCC" w:sz="1"/>
              <w:left w:val="single" w:color="CCCCCC" w:sz="1"/>
              <w:bottom w:val="single" w:color="CCCCCC" w:sz="1"/>
              <w:right w:val="single" w:color="CCCCCC" w:sz="1"/>
            </w:tcBorders>
            <w:shd w:fill="E0F2F1" w:val="clear"/>
            <w:tcMar>
              <w:top w:type="dxa" w:w="60"/>
              <w:left w:type="dxa" w:w="100"/>
              <w:bottom w:type="dxa" w:w="60"/>
              <w:right w:type="dxa" w:w="100"/>
            </w:tcMar>
          </w:tcPr>
          <w:p>
            <w:r>
              <w:rPr>
                <w:rFonts w:ascii="Arial" w:cs="Arial" w:eastAsia="Arial" w:hAnsi="Arial"/>
                <w:b w:val="false"/>
                <w:bCs w:val="false"/>
                <w:color w:val="333333"/>
                <w:sz w:val="20"/>
                <w:szCs w:val="20"/>
              </w:rPr>
              <w:t xml:space="preserve">~64°C</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Solubility</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Sparingly soluble in water; miscible with most organic solvents</w:t>
            </w:r>
          </w:p>
        </w:tc>
      </w:tr>
      <w:tr>
        <w:tc>
          <w:tcPr>
            <w:tcW w:type="dxa" w:w="4680"/>
            <w:tcBorders>
              <w:top w:val="single" w:color="CCCCCC" w:sz="1"/>
              <w:left w:val="single" w:color="CCCCCC" w:sz="1"/>
              <w:bottom w:val="single" w:color="CCCCCC" w:sz="1"/>
              <w:right w:val="single" w:color="CCCCCC" w:sz="1"/>
            </w:tcBorders>
            <w:shd w:fill="E0F2F1" w:val="clear"/>
            <w:tcMar>
              <w:top w:type="dxa" w:w="60"/>
              <w:left w:type="dxa" w:w="100"/>
              <w:bottom w:type="dxa" w:w="60"/>
              <w:right w:type="dxa" w:w="100"/>
            </w:tcMar>
          </w:tcPr>
          <w:p>
            <w:r>
              <w:rPr>
                <w:rFonts w:ascii="Arial" w:cs="Arial" w:eastAsia="Arial" w:hAnsi="Arial"/>
                <w:b w:val="false"/>
                <w:bCs w:val="false"/>
                <w:color w:val="333333"/>
                <w:sz w:val="20"/>
                <w:szCs w:val="20"/>
              </w:rPr>
              <w:t xml:space="preserve">Odor Threshold</w:t>
            </w:r>
          </w:p>
        </w:tc>
        <w:tc>
          <w:tcPr>
            <w:tcW w:type="dxa" w:w="4680"/>
            <w:tcBorders>
              <w:top w:val="single" w:color="CCCCCC" w:sz="1"/>
              <w:left w:val="single" w:color="CCCCCC" w:sz="1"/>
              <w:bottom w:val="single" w:color="CCCCCC" w:sz="1"/>
              <w:right w:val="single" w:color="CCCCCC" w:sz="1"/>
            </w:tcBorders>
            <w:shd w:fill="E0F2F1" w:val="clear"/>
            <w:tcMar>
              <w:top w:type="dxa" w:w="60"/>
              <w:left w:type="dxa" w:w="100"/>
              <w:bottom w:type="dxa" w:w="60"/>
              <w:right w:type="dxa" w:w="100"/>
            </w:tcMar>
          </w:tcPr>
          <w:p>
            <w:r>
              <w:rPr>
                <w:rFonts w:ascii="Arial" w:cs="Arial" w:eastAsia="Arial" w:hAnsi="Arial"/>
                <w:b w:val="false"/>
                <w:bCs w:val="false"/>
                <w:color w:val="333333"/>
                <w:sz w:val="20"/>
                <w:szCs w:val="20"/>
              </w:rPr>
              <w:t xml:space="preserve">Specific threshold for terpinolene not established in literature; related terpenes (p-cymene) range 0.1–1.7 ppm</w:t>
            </w:r>
          </w:p>
        </w:tc>
      </w:tr>
    </w:tbl>
    <w:p>
      <w:pPr>
        <w:spacing w:after="120"/>
      </w:pPr>
    </w:p>
    <w:p>
      <w:pPr>
        <w:pStyle w:val="Heading2"/>
        <w:spacing w:after="120" w:before="240"/>
      </w:pPr>
      <w:r>
        <w:rPr>
          <w:rFonts w:ascii="Arial" w:cs="Arial" w:eastAsia="Arial" w:hAnsi="Arial"/>
          <w:b/>
          <w:bCs/>
          <w:color w:val="333333"/>
          <w:sz w:val="26"/>
          <w:szCs w:val="26"/>
        </w:rPr>
        <w:t xml:space="preserve">Structural Classification</w:t>
      </w:r>
    </w:p>
    <w:p>
      <w:pPr>
        <w:spacing w:after="120" w:line="300"/>
      </w:pPr>
      <w:r>
        <w:rPr>
          <w:rFonts w:ascii="Arial" w:cs="Arial" w:eastAsia="Arial" w:hAnsi="Arial"/>
          <w:sz w:val="22"/>
          <w:szCs w:val="22"/>
        </w:rPr>
        <w:t xml:space="preserve">Terpinolene is a </w:t>
      </w:r>
      <w:r>
        <w:rPr>
          <w:rFonts w:ascii="Arial" w:cs="Arial" w:eastAsia="Arial" w:hAnsi="Arial"/>
          <w:b/>
          <w:bCs/>
          <w:sz w:val="22"/>
          <w:szCs w:val="22"/>
        </w:rPr>
        <w:t xml:space="preserve">monocyclic monoterpene</w:t>
      </w:r>
      <w:r>
        <w:rPr>
          <w:rFonts w:ascii="Arial" w:cs="Arial" w:eastAsia="Arial" w:hAnsi="Arial"/>
          <w:sz w:val="22"/>
          <w:szCs w:val="22"/>
        </w:rPr>
        <w:t xml:space="preserve"> belonging to the </w:t>
      </w:r>
      <w:r>
        <w:rPr>
          <w:rFonts w:ascii="Arial" w:cs="Arial" w:eastAsia="Arial" w:hAnsi="Arial"/>
          <w:b/>
          <w:bCs/>
          <w:sz w:val="22"/>
          <w:szCs w:val="22"/>
        </w:rPr>
        <w:t xml:space="preserve">p-menthane family</w:t>
      </w:r>
      <w:r>
        <w:rPr>
          <w:rFonts w:ascii="Arial" w:cs="Arial" w:eastAsia="Arial" w:hAnsi="Arial"/>
          <w:sz w:val="22"/>
          <w:szCs w:val="22"/>
        </w:rPr>
        <w:t xml:space="preserve"> of compounds. It contains a six-membered cyclohexene ring with two alkene functional groups (double bonds) and an isopropylidene substituent. Unlike its oxygenated cousins (e.g., terpineol, terpinen-4-ol), terpinolene is a purely hydrocarbon (C–H) monoterpene without hydroxyl or oxide moieties, making it relatively nonpolar and volatile.</w:t>
      </w:r>
    </w:p>
    <w:p>
      <w:pPr>
        <w:spacing w:after="120" w:line="300"/>
      </w:pPr>
      <w:r>
        <w:rPr>
          <w:rFonts w:ascii="Arial" w:cs="Arial" w:eastAsia="Arial" w:hAnsi="Arial"/>
          <w:sz w:val="22"/>
          <w:szCs w:val="22"/>
        </w:rPr>
        <w:t xml:space="preserve">The presence of </w:t>
      </w:r>
      <w:r>
        <w:rPr>
          <w:rFonts w:ascii="Arial" w:cs="Arial" w:eastAsia="Arial" w:hAnsi="Arial"/>
          <w:b/>
          <w:bCs/>
          <w:sz w:val="22"/>
          <w:szCs w:val="22"/>
        </w:rPr>
        <w:t xml:space="preserve">two double bonds in the cyclohexene ring</w:t>
      </w:r>
      <w:r>
        <w:rPr>
          <w:rFonts w:ascii="Arial" w:cs="Arial" w:eastAsia="Arial" w:hAnsi="Arial"/>
          <w:sz w:val="22"/>
          <w:szCs w:val="22"/>
        </w:rPr>
        <w:t xml:space="preserve"> is structurally significant: the Ito &amp; Ito (2013) sedation study demonstrated that the position and integrity of these pi bonds directly influence sedative potency, with structural modifications to either the side-chain double bond or the six-membered ring double bonds substantially reducing activity.</w:t>
      </w:r>
    </w:p>
    <w:p>
      <w:pPr>
        <w:spacing w:before="200"/>
      </w:pPr>
      <w:r>
        <w:drawing>
          <wp:inline distT="0" distB="0" distL="0" distR="0">
            <wp:extent cx="6191250" cy="47625"/>
            <wp:effectExtent t="0" r="0" b="0" l="0"/>
            <wp:docPr id="1" name="divider" descr="Section divider" title="div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47625"/>
                    </a:xfrm>
                    <a:prstGeom prst="rect">
                      <a:avLst/>
                    </a:prstGeom>
                  </pic:spPr>
                </pic:pic>
              </a:graphicData>
            </a:graphic>
          </wp:inline>
        </w:drawing>
      </w:r>
    </w:p>
    <w:p>
      <w:pPr>
        <w:pStyle w:val="Heading1"/>
        <w:spacing w:after="200" w:before="360"/>
      </w:pPr>
      <w:r>
        <w:rPr>
          <w:rFonts w:ascii="Arial" w:cs="Arial" w:eastAsia="Arial" w:hAnsi="Arial"/>
          <w:b/>
          <w:bCs/>
          <w:color w:val="00695C"/>
          <w:sz w:val="30"/>
          <w:szCs w:val="30"/>
        </w:rPr>
        <w:t xml:space="preserve">Biosynthesis</w:t>
      </w:r>
    </w:p>
    <w:p>
      <w:pPr>
        <w:pStyle w:val="Heading2"/>
        <w:spacing w:after="120" w:before="240"/>
      </w:pPr>
      <w:r>
        <w:rPr>
          <w:rFonts w:ascii="Arial" w:cs="Arial" w:eastAsia="Arial" w:hAnsi="Arial"/>
          <w:b/>
          <w:bCs/>
          <w:color w:val="333333"/>
          <w:sz w:val="26"/>
          <w:szCs w:val="26"/>
        </w:rPr>
        <w:t xml:space="preserve">The MEP Pathway (Methylerythritol 4-Phosphate)</w:t>
      </w:r>
    </w:p>
    <w:p>
      <w:pPr>
        <w:spacing w:after="120" w:line="300"/>
      </w:pPr>
      <w:r>
        <w:rPr>
          <w:rFonts w:ascii="Arial" w:cs="Arial" w:eastAsia="Arial" w:hAnsi="Arial"/>
          <w:sz w:val="22"/>
          <w:szCs w:val="22"/>
        </w:rPr>
        <w:t xml:space="preserve">Terpinolene biosynthesis occurs in </w:t>
      </w:r>
      <w:r>
        <w:rPr>
          <w:rFonts w:ascii="Arial" w:cs="Arial" w:eastAsia="Arial" w:hAnsi="Arial"/>
          <w:b/>
          <w:bCs/>
          <w:sz w:val="22"/>
          <w:szCs w:val="22"/>
        </w:rPr>
        <w:t xml:space="preserve">plastids</w:t>
      </w:r>
      <w:r>
        <w:rPr>
          <w:rFonts w:ascii="Arial" w:cs="Arial" w:eastAsia="Arial" w:hAnsi="Arial"/>
          <w:sz w:val="22"/>
          <w:szCs w:val="22"/>
        </w:rPr>
        <w:t xml:space="preserve"> (chloroplasts) via the </w:t>
      </w:r>
      <w:r>
        <w:rPr>
          <w:rFonts w:ascii="Arial" w:cs="Arial" w:eastAsia="Arial" w:hAnsi="Arial"/>
          <w:b/>
          <w:bCs/>
          <w:sz w:val="22"/>
          <w:szCs w:val="22"/>
        </w:rPr>
        <w:t xml:space="preserve">methylerythritol 4-phosphate (MEP) pathway</w:t>
      </w:r>
      <w:r>
        <w:rPr>
          <w:rFonts w:ascii="Arial" w:cs="Arial" w:eastAsia="Arial" w:hAnsi="Arial"/>
          <w:sz w:val="22"/>
          <w:szCs w:val="22"/>
        </w:rPr>
        <w:t xml:space="preserve">, also termed the "non-mevalonate pathway," which is the primary route for monoterpene biosynthesis in most plants.</w:t>
      </w:r>
    </w:p>
    <w:p>
      <w:pPr>
        <w:spacing w:after="100" w:before="200"/>
      </w:pPr>
      <w:r>
        <w:rPr>
          <w:rFonts w:ascii="Arial" w:cs="Arial" w:eastAsia="Arial" w:hAnsi="Arial"/>
          <w:b/>
          <w:bCs/>
          <w:color w:val="444444"/>
          <w:sz w:val="24"/>
          <w:szCs w:val="24"/>
        </w:rPr>
        <w:t xml:space="preserve">MEP Pathway Sequence:</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Precursor Formation:</w:t>
      </w:r>
      <w:r>
        <w:rPr>
          <w:rFonts w:ascii="Arial" w:cs="Arial" w:eastAsia="Arial" w:hAnsi="Arial"/>
          <w:sz w:val="22"/>
          <w:szCs w:val="22"/>
        </w:rPr>
        <w:t xml:space="preserve"> Pyruvate + glyceraldehyde 3-phosphate (G3P) → 1-deoxy-d-xylulose 5-phosphate (DXP)</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Enzyme: 1-deoxy-d-xylulose-5-phosphate synthase (DXS), a thiamin diphosphate-dependent enzyme</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Chain Extension:</w:t>
      </w:r>
      <w:r>
        <w:rPr>
          <w:rFonts w:ascii="Arial" w:cs="Arial" w:eastAsia="Arial" w:hAnsi="Arial"/>
          <w:sz w:val="22"/>
          <w:szCs w:val="22"/>
        </w:rPr>
        <w:t xml:space="preserve"> Multiple enzymatic steps convert DXP through isopentenyl diphosphate (IPP) and dimethylallyl diphosphate (DMAPP)</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GPP Synthesis:</w:t>
      </w:r>
      <w:r>
        <w:rPr>
          <w:rFonts w:ascii="Arial" w:cs="Arial" w:eastAsia="Arial" w:hAnsi="Arial"/>
          <w:sz w:val="22"/>
          <w:szCs w:val="22"/>
        </w:rPr>
        <w:t xml:space="preserve"> IPP + DMAPP → geranyl diphosphate (GPP)</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Enzyme: geranyl diphosphate synthase (GPPS)</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GPP is the universal 10-carbon precursor for all monoterpenes</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Terpinolene Formation:</w:t>
      </w:r>
      <w:r>
        <w:rPr>
          <w:rFonts w:ascii="Arial" w:cs="Arial" w:eastAsia="Arial" w:hAnsi="Arial"/>
          <w:sz w:val="22"/>
          <w:szCs w:val="22"/>
        </w:rPr>
        <w:t xml:space="preserve"> GPP → terpinolene</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Enzyme: terpinolene synthase (EC 4.2.3.113)</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Classification: Geranyl-diphosphate diphosphate-lyase (cyclizing, terpinolene-forming)</w:t>
      </w:r>
    </w:p>
    <w:p>
      <w:pPr>
        <w:pStyle w:val="Heading2"/>
        <w:spacing w:after="120" w:before="240"/>
      </w:pPr>
      <w:r>
        <w:rPr>
          <w:rFonts w:ascii="Arial" w:cs="Arial" w:eastAsia="Arial" w:hAnsi="Arial"/>
          <w:b/>
          <w:bCs/>
          <w:color w:val="333333"/>
          <w:sz w:val="26"/>
          <w:szCs w:val="26"/>
        </w:rPr>
        <w:t xml:space="preserve">Terpinolene Synthase: Identification &amp; Distribution</w:t>
      </w:r>
    </w:p>
    <w:p>
      <w:pPr>
        <w:spacing w:after="120" w:line="300"/>
      </w:pPr>
      <w:r>
        <w:rPr>
          <w:rFonts w:ascii="Arial" w:cs="Arial" w:eastAsia="Arial" w:hAnsi="Arial"/>
          <w:sz w:val="22"/>
          <w:szCs w:val="22"/>
        </w:rPr>
        <w:t xml:space="preserve">Terpinolene synthase catalyzes cyclization and dephosphorylation of GPP to form the terpinolene carbon skeleton through a multi-step mechanism involving:</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Formation of a terpinyl cation intermediate</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Cyclization to generate the six-membered ring</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Deprotonation to regenerate aromaticity and release the product</w:t>
      </w:r>
    </w:p>
    <w:p>
      <w:pPr>
        <w:spacing w:after="120" w:line="300"/>
      </w:pPr>
      <w:r>
        <w:rPr>
          <w:rFonts w:ascii="Arial" w:cs="Arial" w:eastAsia="Arial" w:hAnsi="Arial"/>
          <w:b/>
          <w:bCs/>
          <w:sz w:val="22"/>
          <w:szCs w:val="22"/>
        </w:rPr>
        <w:t xml:space="preserve">Critical Research Gap:</w:t>
      </w:r>
      <w:r>
        <w:rPr>
          <w:rFonts w:ascii="Arial" w:cs="Arial" w:eastAsia="Arial" w:hAnsi="Arial"/>
          <w:sz w:val="22"/>
          <w:szCs w:val="22"/>
        </w:rPr>
        <w:t xml:space="preserve"> Terpinolene synthase has </w:t>
      </w:r>
      <w:r>
        <w:rPr>
          <w:rFonts w:ascii="Arial" w:cs="Arial" w:eastAsia="Arial" w:hAnsi="Arial"/>
          <w:b/>
          <w:bCs/>
          <w:sz w:val="22"/>
          <w:szCs w:val="22"/>
        </w:rPr>
        <w:t xml:space="preserve">not yet been definitively identified in Cannabis sativa</w:t>
      </w:r>
      <w:r>
        <w:rPr>
          <w:rFonts w:ascii="Arial" w:cs="Arial" w:eastAsia="Arial" w:hAnsi="Arial"/>
          <w:sz w:val="22"/>
          <w:szCs w:val="22"/>
        </w:rPr>
        <w:t xml:space="preserve">, despite terpinolene being a major constituent in several cannabis strains. The α-pinene/terpinolene synthase from *Taiwania cryptomerioides* (a conifera) has been engineered to produce terpinolene predominantly (&gt;70%) via single-site mutations in Region 2 of the catalytic domain, suggesting that Cannabis terpinolene production may rely on multi-substrate synthases or orthologs that remain uncharacterized.</w:t>
      </w:r>
    </w:p>
    <w:p>
      <w:pPr>
        <w:pStyle w:val="Heading2"/>
        <w:spacing w:after="120" w:before="240"/>
      </w:pPr>
      <w:r>
        <w:rPr>
          <w:rFonts w:ascii="Arial" w:cs="Arial" w:eastAsia="Arial" w:hAnsi="Arial"/>
          <w:b/>
          <w:bCs/>
          <w:color w:val="333333"/>
          <w:sz w:val="26"/>
          <w:szCs w:val="26"/>
        </w:rPr>
        <w:t xml:space="preserve">Thermodynamic vs. Kinetic Regulation</w:t>
      </w:r>
    </w:p>
    <w:p>
      <w:pPr>
        <w:spacing w:after="120" w:line="300"/>
      </w:pPr>
      <w:r>
        <w:rPr>
          <w:rFonts w:ascii="Arial" w:cs="Arial" w:eastAsia="Arial" w:hAnsi="Arial"/>
          <w:sz w:val="22"/>
          <w:szCs w:val="22"/>
        </w:rPr>
        <w:t xml:space="preserve">Terpinolene typically remains a </w:t>
      </w:r>
      <w:r>
        <w:rPr>
          <w:rFonts w:ascii="Arial" w:cs="Arial" w:eastAsia="Arial" w:hAnsi="Arial"/>
          <w:b/>
          <w:bCs/>
          <w:sz w:val="22"/>
          <w:szCs w:val="22"/>
        </w:rPr>
        <w:t xml:space="preserve">minor constituent</w:t>
      </w:r>
      <w:r>
        <w:rPr>
          <w:rFonts w:ascii="Arial" w:cs="Arial" w:eastAsia="Arial" w:hAnsi="Arial"/>
          <w:sz w:val="22"/>
          <w:szCs w:val="22"/>
        </w:rPr>
        <w:t xml:space="preserve"> in most plant essential oils despite being biosynthetically accessible from GPP. This reflects:</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Thermodynamic Instability:</w:t>
      </w:r>
      <w:r>
        <w:rPr>
          <w:rFonts w:ascii="Arial" w:cs="Arial" w:eastAsia="Arial" w:hAnsi="Arial"/>
          <w:sz w:val="22"/>
          <w:szCs w:val="22"/>
        </w:rPr>
        <w:t xml:space="preserve"> Terpinolene is prone to further isomerization and oxidation under light, heat, and enzymatic conditions, forming other terpinenes (α-terpinene, γ-terpinene), p-cymene, and oxygenated products.</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Competitive Enzyme Activity:</w:t>
      </w:r>
      <w:r>
        <w:rPr>
          <w:rFonts w:ascii="Arial" w:cs="Arial" w:eastAsia="Arial" w:hAnsi="Arial"/>
          <w:sz w:val="22"/>
          <w:szCs w:val="22"/>
        </w:rPr>
        <w:t xml:space="preserve"> In many plants, multiple monoterpene synthases compete for the same GPP substrate. Enzymes with higher catalytic efficiency (kcat/Km) or greater regulation preferentially direct flux toward other products.</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Regulatory Context:</w:t>
      </w:r>
      <w:r>
        <w:rPr>
          <w:rFonts w:ascii="Arial" w:cs="Arial" w:eastAsia="Arial" w:hAnsi="Arial"/>
          <w:sz w:val="22"/>
          <w:szCs w:val="22"/>
        </w:rPr>
        <w:t xml:space="preserve"> Post-transcriptional regulation, subcellular compartmentalization, and feedback inhibition by downstream terpene products may limit terpinolene accumulation in non-specialized plant tissues.</w:t>
      </w:r>
    </w:p>
    <w:p>
      <w:pPr>
        <w:spacing w:after="120" w:line="300"/>
      </w:pPr>
      <w:r>
        <w:rPr>
          <w:rFonts w:ascii="Arial" w:cs="Arial" w:eastAsia="Arial" w:hAnsi="Arial"/>
          <w:sz w:val="22"/>
          <w:szCs w:val="22"/>
        </w:rPr>
        <w:t xml:space="preserve">This explains why terpinolene is a dominant volatile in parsnip (40–69% of essential oil) and a terpinolene chemotype of tea tree (*Melaleuca alternifolia*), yet remains a trace or minor component in many other species.</w:t>
      </w:r>
    </w:p>
    <w:p>
      <w:pPr>
        <w:spacing w:before="200"/>
      </w:pPr>
      <w:r>
        <w:drawing>
          <wp:inline distT="0" distB="0" distL="0" distR="0">
            <wp:extent cx="6191250" cy="47625"/>
            <wp:effectExtent t="0" r="0" b="0" l="0"/>
            <wp:docPr id="1" name="divider" descr="Section divider" title="div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47625"/>
                    </a:xfrm>
                    <a:prstGeom prst="rect">
                      <a:avLst/>
                    </a:prstGeom>
                  </pic:spPr>
                </pic:pic>
              </a:graphicData>
            </a:graphic>
          </wp:inline>
        </w:drawing>
      </w:r>
    </w:p>
    <w:p>
      <w:pPr>
        <w:pStyle w:val="Heading1"/>
        <w:spacing w:after="200" w:before="360"/>
      </w:pPr>
      <w:r>
        <w:rPr>
          <w:rFonts w:ascii="Arial" w:cs="Arial" w:eastAsia="Arial" w:hAnsi="Arial"/>
          <w:b/>
          <w:bCs/>
          <w:color w:val="00695C"/>
          <w:sz w:val="30"/>
          <w:szCs w:val="30"/>
        </w:rPr>
        <w:t xml:space="preserve">Sensory Profile</w:t>
      </w:r>
    </w:p>
    <w:p>
      <w:pPr>
        <w:pStyle w:val="Heading2"/>
        <w:spacing w:after="120" w:before="240"/>
      </w:pPr>
      <w:r>
        <w:rPr>
          <w:rFonts w:ascii="Arial" w:cs="Arial" w:eastAsia="Arial" w:hAnsi="Arial"/>
          <w:b/>
          <w:bCs/>
          <w:color w:val="333333"/>
          <w:sz w:val="26"/>
          <w:szCs w:val="26"/>
        </w:rPr>
        <w:t xml:space="preserve">Aroma Description</w:t>
      </w:r>
    </w:p>
    <w:p>
      <w:pPr>
        <w:spacing w:after="120" w:line="300"/>
      </w:pPr>
      <w:r>
        <w:rPr>
          <w:rFonts w:ascii="Arial" w:cs="Arial" w:eastAsia="Arial" w:hAnsi="Arial"/>
          <w:sz w:val="22"/>
          <w:szCs w:val="22"/>
        </w:rPr>
        <w:t xml:space="preserve">Terpinolene is frequently described as the </w:t>
      </w:r>
      <w:r>
        <w:rPr>
          <w:rFonts w:ascii="Arial" w:cs="Arial" w:eastAsia="Arial" w:hAnsi="Arial"/>
          <w:b/>
          <w:bCs/>
          <w:sz w:val="22"/>
          <w:szCs w:val="22"/>
        </w:rPr>
        <w:t xml:space="preserve">"mystery terpene"</w:t>
      </w:r>
      <w:r>
        <w:rPr>
          <w:rFonts w:ascii="Arial" w:cs="Arial" w:eastAsia="Arial" w:hAnsi="Arial"/>
          <w:sz w:val="22"/>
          <w:szCs w:val="22"/>
        </w:rPr>
        <w:t xml:space="preserve"> of cannabis due to its complex, multifaceted sensory character that defies simple categorization:</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Primary Notes:</w:t>
      </w:r>
      <w:r>
        <w:rPr>
          <w:rFonts w:ascii="Arial" w:cs="Arial" w:eastAsia="Arial" w:hAnsi="Arial"/>
          <w:sz w:val="22"/>
          <w:szCs w:val="22"/>
        </w:rPr>
        <w:t xml:space="preserve"> Fresh, piney, herbal, woody</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Secondary Notes:</w:t>
      </w:r>
      <w:r>
        <w:rPr>
          <w:rFonts w:ascii="Arial" w:cs="Arial" w:eastAsia="Arial" w:hAnsi="Arial"/>
          <w:sz w:val="22"/>
          <w:szCs w:val="22"/>
        </w:rPr>
        <w:t xml:space="preserve"> Floral, citrus (lemon), slightly fruity, sweet</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Descriptor Consensus:</w:t>
      </w:r>
      <w:r>
        <w:rPr>
          <w:rFonts w:ascii="Arial" w:cs="Arial" w:eastAsia="Arial" w:hAnsi="Arial"/>
          <w:sz w:val="22"/>
          <w:szCs w:val="22"/>
        </w:rPr>
        <w:t xml:space="preserve"> "The first big inhale when you enter a deeply wooded forest"—combining the earthiness of pine, freshness of citrus, and soothing touch of herbs with subtle floral undertones</w:t>
      </w:r>
    </w:p>
    <w:p>
      <w:pPr>
        <w:pStyle w:val="Heading2"/>
        <w:spacing w:after="120" w:before="240"/>
      </w:pPr>
      <w:r>
        <w:rPr>
          <w:rFonts w:ascii="Arial" w:cs="Arial" w:eastAsia="Arial" w:hAnsi="Arial"/>
          <w:b/>
          <w:bCs/>
          <w:color w:val="333333"/>
          <w:sz w:val="26"/>
          <w:szCs w:val="26"/>
        </w:rPr>
        <w:t xml:space="preserve">Flavor Profile</w:t>
      </w:r>
    </w:p>
    <w:p>
      <w:pPr>
        <w:spacing w:after="120" w:line="300"/>
      </w:pPr>
      <w:r>
        <w:rPr>
          <w:rFonts w:ascii="Arial" w:cs="Arial" w:eastAsia="Arial" w:hAnsi="Arial"/>
          <w:sz w:val="22"/>
          <w:szCs w:val="22"/>
        </w:rPr>
        <w:t xml:space="preserve">In edible and vaporized cannabis preparations, terpinolene's taste mirrors its aroma:</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Fresh, invigorating, uplifting</w:t>
      </w:r>
      <w:r>
        <w:rPr>
          <w:rFonts w:ascii="Arial" w:cs="Arial" w:eastAsia="Arial" w:hAnsi="Arial"/>
          <w:sz w:val="22"/>
          <w:szCs w:val="22"/>
        </w:rPr>
        <w:t xml:space="preserve"> sensations</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Subtle sweetness with fruity, citrusy, and floral notes</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Woody, herbaceous undertones with hints of citrus</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Layered sensory experience simultaneously </w:t>
      </w:r>
      <w:r>
        <w:rPr>
          <w:rFonts w:ascii="Arial" w:cs="Arial" w:eastAsia="Arial" w:hAnsi="Arial"/>
          <w:b/>
          <w:bCs/>
          <w:sz w:val="22"/>
          <w:szCs w:val="22"/>
        </w:rPr>
        <w:t xml:space="preserve">refreshing and grounding</w:t>
      </w:r>
    </w:p>
    <w:p>
      <w:pPr>
        <w:pStyle w:val="Heading2"/>
        <w:spacing w:after="120" w:before="240"/>
      </w:pPr>
      <w:r>
        <w:rPr>
          <w:rFonts w:ascii="Arial" w:cs="Arial" w:eastAsia="Arial" w:hAnsi="Arial"/>
          <w:b/>
          <w:bCs/>
          <w:color w:val="333333"/>
          <w:sz w:val="26"/>
          <w:szCs w:val="26"/>
        </w:rPr>
        <w:t xml:space="preserve">Detection Thresholds &amp; Sensory Science</w:t>
      </w:r>
    </w:p>
    <w:p>
      <w:pPr>
        <w:spacing w:after="120" w:line="300"/>
      </w:pPr>
      <w:r>
        <w:rPr>
          <w:rFonts w:ascii="Arial" w:cs="Arial" w:eastAsia="Arial" w:hAnsi="Arial"/>
          <w:sz w:val="22"/>
          <w:szCs w:val="22"/>
        </w:rPr>
        <w:t xml:space="preserve">Specific odor detection thresholds for terpinolene are </w:t>
      </w:r>
      <w:r>
        <w:rPr>
          <w:rFonts w:ascii="Arial" w:cs="Arial" w:eastAsia="Arial" w:hAnsi="Arial"/>
          <w:b/>
          <w:bCs/>
          <w:sz w:val="22"/>
          <w:szCs w:val="22"/>
        </w:rPr>
        <w:t xml:space="preserve">not comprehensively documented</w:t>
      </w:r>
      <w:r>
        <w:rPr>
          <w:rFonts w:ascii="Arial" w:cs="Arial" w:eastAsia="Arial" w:hAnsi="Arial"/>
          <w:sz w:val="22"/>
          <w:szCs w:val="22"/>
        </w:rPr>
        <w:t xml:space="preserve"> in the scientific literature. However, related monoterpenes provide context:</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p-Cymene (oxidation product of γ-terpinene):</w:t>
      </w:r>
      <w:r>
        <w:rPr>
          <w:rFonts w:ascii="Arial" w:cs="Arial" w:eastAsia="Arial" w:hAnsi="Arial"/>
          <w:sz w:val="22"/>
          <w:szCs w:val="22"/>
        </w:rPr>
        <w:t xml:space="preserve"> 0.1–1.7 ppm detection threshold</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General Principle:</w:t>
      </w:r>
      <w:r>
        <w:rPr>
          <w:rFonts w:ascii="Arial" w:cs="Arial" w:eastAsia="Arial" w:hAnsi="Arial"/>
          <w:sz w:val="22"/>
          <w:szCs w:val="22"/>
        </w:rPr>
        <w:t xml:space="preserve"> Odor thresholds for volatile compounds depend on molecular shape, polarity, partial charges, and mass</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Individual Variability:</w:t>
      </w:r>
      <w:r>
        <w:rPr>
          <w:rFonts w:ascii="Arial" w:cs="Arial" w:eastAsia="Arial" w:hAnsi="Arial"/>
          <w:sz w:val="22"/>
          <w:szCs w:val="22"/>
        </w:rPr>
        <w:t xml:space="preserve"> Human olfactory sensitivity varies widely; reproducible threshold determination requires large observer panels (n &gt; 10)</w:t>
      </w:r>
    </w:p>
    <w:p>
      <w:pPr>
        <w:spacing w:after="120" w:line="300"/>
      </w:pPr>
      <w:r>
        <w:rPr>
          <w:rFonts w:ascii="Arial" w:cs="Arial" w:eastAsia="Arial" w:hAnsi="Arial"/>
          <w:sz w:val="22"/>
          <w:szCs w:val="22"/>
        </w:rPr>
        <w:t xml:space="preserve">Terpinolene's universally perceived sensory complexity suggests moderate olfactory threshold and efficient detection, though quantitative data remain absent from peer-reviewed sources.</w:t>
      </w:r>
    </w:p>
    <w:p>
      <w:pPr>
        <w:pStyle w:val="Heading2"/>
        <w:spacing w:after="120" w:before="240"/>
      </w:pPr>
      <w:r>
        <w:rPr>
          <w:rFonts w:ascii="Arial" w:cs="Arial" w:eastAsia="Arial" w:hAnsi="Arial"/>
          <w:b/>
          <w:bCs/>
          <w:color w:val="333333"/>
          <w:sz w:val="26"/>
          <w:szCs w:val="26"/>
        </w:rPr>
        <w:t xml:space="preserve">Cultural &amp; Linguistic Ambiguity</w:t>
      </w:r>
    </w:p>
    <w:p>
      <w:pPr>
        <w:spacing w:after="120" w:line="300"/>
      </w:pPr>
      <w:r>
        <w:rPr>
          <w:rFonts w:ascii="Arial" w:cs="Arial" w:eastAsia="Arial" w:hAnsi="Arial"/>
          <w:sz w:val="22"/>
          <w:szCs w:val="22"/>
        </w:rPr>
        <w:t xml:space="preserve">The difficulty in universally describing terpinolene's aroma reflects both the compound's genuine chemical complexity and the subjective nature of aroma perception. Unlike β-myrcene (persistently "earthy, clove-like") or limonene (consistently "citrus"), terpinolene evokes different sensory associations across individuals and contexts—contributing to its reputation as the "hardest terpene to describe" in cannabis culture.</w:t>
      </w:r>
    </w:p>
    <w:p>
      <w:pPr>
        <w:spacing w:before="200"/>
      </w:pPr>
      <w:r>
        <w:drawing>
          <wp:inline distT="0" distB="0" distL="0" distR="0">
            <wp:extent cx="6191250" cy="47625"/>
            <wp:effectExtent t="0" r="0" b="0" l="0"/>
            <wp:docPr id="1" name="divider" descr="Section divider" title="div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47625"/>
                    </a:xfrm>
                    <a:prstGeom prst="rect">
                      <a:avLst/>
                    </a:prstGeom>
                  </pic:spPr>
                </pic:pic>
              </a:graphicData>
            </a:graphic>
          </wp:inline>
        </w:drawing>
      </w:r>
    </w:p>
    <w:p>
      <w:pPr>
        <w:pStyle w:val="Heading1"/>
        <w:spacing w:after="200" w:before="360"/>
      </w:pPr>
      <w:r>
        <w:rPr>
          <w:rFonts w:ascii="Arial" w:cs="Arial" w:eastAsia="Arial" w:hAnsi="Arial"/>
          <w:b/>
          <w:bCs/>
          <w:color w:val="00695C"/>
          <w:sz w:val="30"/>
          <w:szCs w:val="30"/>
        </w:rPr>
        <w:t xml:space="preserve">Pharmacology &amp; Biological Activity</w:t>
      </w:r>
    </w:p>
    <w:p>
      <w:pPr>
        <w:spacing w:after="120" w:line="300"/>
      </w:pPr>
      <w:r>
        <w:rPr>
          <w:rFonts w:ascii="Arial" w:cs="Arial" w:eastAsia="Arial" w:hAnsi="Arial"/>
          <w:sz w:val="22"/>
          <w:szCs w:val="22"/>
        </w:rPr>
        <w:t xml:space="preserve">Terpinolene exhibits robust pharmacological activity across multiple biochemical assays and animal models, though human clinical data remain absent. The compound demonstrates:</w:t>
      </w:r>
    </w:p>
    <w:p>
      <w:pPr>
        <w:pStyle w:val="Heading2"/>
        <w:spacing w:after="120" w:before="240"/>
      </w:pPr>
      <w:r>
        <w:rPr>
          <w:rFonts w:ascii="Arial" w:cs="Arial" w:eastAsia="Arial" w:hAnsi="Arial"/>
          <w:b/>
          <w:bCs/>
          <w:color w:val="333333"/>
          <w:sz w:val="26"/>
          <w:szCs w:val="26"/>
        </w:rPr>
        <w:t xml:space="preserve">1. Sedative Effects</w:t>
      </w:r>
    </w:p>
    <w:p>
      <w:pPr>
        <w:spacing w:after="120" w:line="300"/>
      </w:pPr>
      <w:r>
        <w:rPr>
          <w:rFonts w:ascii="Arial" w:cs="Arial" w:eastAsia="Arial" w:hAnsi="Arial"/>
          <w:b/>
          <w:bCs/>
          <w:sz w:val="22"/>
          <w:szCs w:val="22"/>
        </w:rPr>
        <w:t xml:space="preserve">Key Study:</w:t>
      </w:r>
      <w:r>
        <w:rPr>
          <w:rFonts w:ascii="Arial" w:cs="Arial" w:eastAsia="Arial" w:hAnsi="Arial"/>
          <w:sz w:val="22"/>
          <w:szCs w:val="22"/>
        </w:rPr>
        <w:t xml:space="preserve"> Ito &amp; Ito et al. (2013). "The sedative effect of inhaled terpinolene in mice and its structure-activity relationships." *Journal of Natural Medicines*, October 2013.</w:t>
      </w:r>
    </w:p>
    <w:p>
      <w:pPr>
        <w:spacing w:after="120" w:line="300"/>
      </w:pPr>
      <w:r>
        <w:rPr>
          <w:rFonts w:ascii="Arial" w:cs="Arial" w:eastAsia="Arial" w:hAnsi="Arial"/>
          <w:b/>
          <w:bCs/>
          <w:sz w:val="22"/>
          <w:szCs w:val="22"/>
        </w:rPr>
        <w:t xml:space="preserve">Methodology &amp; Findings:</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Male mice exposed to inhaled terpinolene showed significant </w:t>
      </w:r>
      <w:r>
        <w:rPr>
          <w:rFonts w:ascii="Arial" w:cs="Arial" w:eastAsia="Arial" w:hAnsi="Arial"/>
          <w:b/>
          <w:bCs/>
          <w:sz w:val="22"/>
          <w:szCs w:val="22"/>
        </w:rPr>
        <w:t xml:space="preserve">dose-dependent sedation</w:t>
      </w:r>
      <w:r>
        <w:rPr>
          <w:rFonts w:ascii="Arial" w:cs="Arial" w:eastAsia="Arial" w:hAnsi="Arial"/>
          <w:sz w:val="22"/>
          <w:szCs w:val="22"/>
        </w:rPr>
        <w:t xml:space="preserve"> measured via:</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Increased sleep latency</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Enhanced total sleep time</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Reduced spontaneous locomotor activity</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Mechanism:</w:t>
      </w:r>
      <w:r>
        <w:rPr>
          <w:rFonts w:ascii="Arial" w:cs="Arial" w:eastAsia="Arial" w:hAnsi="Arial"/>
          <w:sz w:val="22"/>
          <w:szCs w:val="22"/>
        </w:rPr>
        <w:t xml:space="preserve"> Using olfactory-impaired mice, researchers demonstrated that terpinolene's sedative effect occurs via </w:t>
      </w:r>
      <w:r>
        <w:rPr>
          <w:rFonts w:ascii="Arial" w:cs="Arial" w:eastAsia="Arial" w:hAnsi="Arial"/>
          <w:b/>
          <w:bCs/>
          <w:sz w:val="22"/>
          <w:szCs w:val="22"/>
        </w:rPr>
        <w:t xml:space="preserve">nasal absorption into systemic circulation</w:t>
      </w:r>
      <w:r>
        <w:rPr>
          <w:rFonts w:ascii="Arial" w:cs="Arial" w:eastAsia="Arial" w:hAnsi="Arial"/>
          <w:sz w:val="22"/>
          <w:szCs w:val="22"/>
        </w:rPr>
        <w:t xml:space="preserve"> rather than through olfactory signaling, indicating pharmacokinetically relevant absorption of the volatile compound</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Structure-Activity Relationships:</w:t>
      </w:r>
      <w:r>
        <w:rPr>
          <w:rFonts w:ascii="Arial" w:cs="Arial" w:eastAsia="Arial" w:hAnsi="Arial"/>
          <w:sz w:val="22"/>
          <w:szCs w:val="22"/>
        </w:rPr>
        <w:t xml:space="preserve"> Synthetic terpinolene analogs revealed that:</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A </w:t>
      </w:r>
      <w:r>
        <w:rPr>
          <w:rFonts w:ascii="Arial" w:cs="Arial" w:eastAsia="Arial" w:hAnsi="Arial"/>
          <w:b/>
          <w:bCs/>
          <w:sz w:val="22"/>
          <w:szCs w:val="22"/>
        </w:rPr>
        <w:t xml:space="preserve">double bond in the side-chain (isopropylidene group)</w:t>
      </w:r>
      <w:r>
        <w:rPr>
          <w:rFonts w:ascii="Arial" w:cs="Arial" w:eastAsia="Arial" w:hAnsi="Arial"/>
          <w:sz w:val="22"/>
          <w:szCs w:val="22"/>
        </w:rPr>
        <w:t xml:space="preserve"> is essential for sedative activity</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Pi bonds in the six-membered cyclohexene ring</w:t>
      </w:r>
      <w:r>
        <w:rPr>
          <w:rFonts w:ascii="Arial" w:cs="Arial" w:eastAsia="Arial" w:hAnsi="Arial"/>
          <w:sz w:val="22"/>
          <w:szCs w:val="22"/>
        </w:rPr>
        <w:t xml:space="preserve"> play critical roles</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Structural modifications to either region substantially reduced potency</w:t>
      </w:r>
    </w:p>
    <w:p>
      <w:pPr>
        <w:spacing w:after="120" w:line="300"/>
      </w:pPr>
      <w:r>
        <w:rPr>
          <w:rFonts w:ascii="Arial" w:cs="Arial" w:eastAsia="Arial" w:hAnsi="Arial"/>
          <w:b/>
          <w:bCs/>
          <w:sz w:val="22"/>
          <w:szCs w:val="22"/>
        </w:rPr>
        <w:t xml:space="preserve">Critical Caveat:</w:t>
      </w:r>
      <w:r>
        <w:rPr>
          <w:rFonts w:ascii="Arial" w:cs="Arial" w:eastAsia="Arial" w:hAnsi="Arial"/>
          <w:sz w:val="22"/>
          <w:szCs w:val="22"/>
        </w:rPr>
        <w:t xml:space="preserve"> The Ito &amp; Ito study employed </w:t>
      </w:r>
      <w:r>
        <w:rPr>
          <w:rFonts w:ascii="Arial" w:cs="Arial" w:eastAsia="Arial" w:hAnsi="Arial"/>
          <w:b/>
          <w:bCs/>
          <w:sz w:val="22"/>
          <w:szCs w:val="22"/>
        </w:rPr>
        <w:t xml:space="preserve">inhalation exposure of aerosolized terpinolene</w:t>
      </w:r>
      <w:r>
        <w:rPr>
          <w:rFonts w:ascii="Arial" w:cs="Arial" w:eastAsia="Arial" w:hAnsi="Arial"/>
          <w:sz w:val="22"/>
          <w:szCs w:val="22"/>
        </w:rPr>
        <w:t xml:space="preserve"> in laboratory settings with controlled dosing—not the same delivery method as vapor inhalation of cannabis smoke, which involves combustion products, cannabinoids, and co-occurring terpenes that may substantially modulate outcomes.</w:t>
      </w:r>
    </w:p>
    <w:p>
      <w:pPr>
        <w:pStyle w:val="Heading2"/>
        <w:spacing w:after="120" w:before="240"/>
      </w:pPr>
      <w:r>
        <w:rPr>
          <w:rFonts w:ascii="Arial" w:cs="Arial" w:eastAsia="Arial" w:hAnsi="Arial"/>
          <w:b/>
          <w:bCs/>
          <w:color w:val="333333"/>
          <w:sz w:val="26"/>
          <w:szCs w:val="26"/>
        </w:rPr>
        <w:t xml:space="preserve">2. Antioxidant Activity</w:t>
      </w:r>
    </w:p>
    <w:p>
      <w:pPr>
        <w:spacing w:after="120" w:line="300"/>
      </w:pPr>
      <w:r>
        <w:rPr>
          <w:rFonts w:ascii="Arial" w:cs="Arial" w:eastAsia="Arial" w:hAnsi="Arial"/>
          <w:sz w:val="22"/>
          <w:szCs w:val="22"/>
        </w:rPr>
        <w:t xml:space="preserve">Terpinolene is among the </w:t>
      </w:r>
      <w:r>
        <w:rPr>
          <w:rFonts w:ascii="Arial" w:cs="Arial" w:eastAsia="Arial" w:hAnsi="Arial"/>
          <w:b/>
          <w:bCs/>
          <w:sz w:val="22"/>
          <w:szCs w:val="22"/>
        </w:rPr>
        <w:t xml:space="preserve">strongest radical scavengers</w:t>
      </w:r>
      <w:r>
        <w:rPr>
          <w:rFonts w:ascii="Arial" w:cs="Arial" w:eastAsia="Arial" w:hAnsi="Arial"/>
          <w:sz w:val="22"/>
          <w:szCs w:val="22"/>
        </w:rPr>
        <w:t xml:space="preserve"> of cannabis monoterpenes, rivaling α-terpinene and γ-terpinene in potency.</w:t>
      </w:r>
    </w:p>
    <w:p>
      <w:pPr>
        <w:spacing w:after="120" w:line="300"/>
      </w:pPr>
      <w:r>
        <w:rPr>
          <w:rFonts w:ascii="Arial" w:cs="Arial" w:eastAsia="Arial" w:hAnsi="Arial"/>
          <w:b/>
          <w:bCs/>
          <w:sz w:val="22"/>
          <w:szCs w:val="22"/>
        </w:rPr>
        <w:t xml:space="preserve">Mechanisms:</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Chain-Breaking Antioxidant Activity:</w:t>
      </w:r>
      <w:r>
        <w:rPr>
          <w:rFonts w:ascii="Arial" w:cs="Arial" w:eastAsia="Arial" w:hAnsi="Arial"/>
          <w:sz w:val="22"/>
          <w:szCs w:val="22"/>
        </w:rPr>
        <w:t xml:space="preserve"> Depends strictly on the presence of </w:t>
      </w:r>
      <w:r>
        <w:rPr>
          <w:rFonts w:ascii="Arial" w:cs="Arial" w:eastAsia="Arial" w:hAnsi="Arial"/>
          <w:b/>
          <w:bCs/>
          <w:sz w:val="22"/>
          <w:szCs w:val="22"/>
        </w:rPr>
        <w:t xml:space="preserve">π (pi) bonds</w:t>
      </w:r>
      <w:r>
        <w:rPr>
          <w:rFonts w:ascii="Arial" w:cs="Arial" w:eastAsia="Arial" w:hAnsi="Arial"/>
          <w:sz w:val="22"/>
          <w:szCs w:val="22"/>
        </w:rPr>
        <w:t xml:space="preserve">, which undergo electron transfer and neutralize free radicals (superoxide radicals, hydrogen peroxide, nitric oxide)</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Reactive Methylene Group:</w:t>
      </w:r>
      <w:r>
        <w:rPr>
          <w:rFonts w:ascii="Arial" w:cs="Arial" w:eastAsia="Arial" w:hAnsi="Arial"/>
          <w:sz w:val="22"/>
          <w:szCs w:val="22"/>
        </w:rPr>
        <w:t xml:space="preserve"> Terpinolene's molecular structure contains a reactive methylene group capable of quenching superoxide radicals and other ROS</w:t>
      </w:r>
    </w:p>
    <w:p>
      <w:pPr>
        <w:spacing w:after="120" w:line="300"/>
      </w:pPr>
      <w:r>
        <w:rPr>
          <w:rFonts w:ascii="Arial" w:cs="Arial" w:eastAsia="Arial" w:hAnsi="Arial"/>
          <w:b/>
          <w:bCs/>
          <w:sz w:val="22"/>
          <w:szCs w:val="22"/>
        </w:rPr>
        <w:t xml:space="preserve">Assay Data:</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DPPH Radical Scavenging:</w:t>
      </w:r>
      <w:r>
        <w:rPr>
          <w:rFonts w:ascii="Arial" w:cs="Arial" w:eastAsia="Arial" w:hAnsi="Arial"/>
          <w:sz w:val="22"/>
          <w:szCs w:val="22"/>
        </w:rPr>
        <w:t xml:space="preserve"> Concentration-dependent reduction in absorbance comparable to butylated hydroxytoluene (BHT) at equivalent doses</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TBARS (Thiobarbituric Acid-Reactive Substances):</w:t>
      </w:r>
      <w:r>
        <w:rPr>
          <w:rFonts w:ascii="Arial" w:cs="Arial" w:eastAsia="Arial" w:hAnsi="Arial"/>
          <w:sz w:val="22"/>
          <w:szCs w:val="22"/>
        </w:rPr>
        <w:t xml:space="preserve"> Effective inhibition of lipid peroxidation</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Akt1 Induction:</w:t>
      </w:r>
      <w:r>
        <w:rPr>
          <w:rFonts w:ascii="Arial" w:cs="Arial" w:eastAsia="Arial" w:hAnsi="Arial"/>
          <w:sz w:val="22"/>
          <w:szCs w:val="22"/>
        </w:rPr>
        <w:t xml:space="preserve"> Increases antioxidant capacity via upregulation of Akt1 expression in cell culture (dose-dependent effect)</w:t>
      </w:r>
    </w:p>
    <w:p>
      <w:pPr>
        <w:spacing w:after="120" w:line="300"/>
      </w:pPr>
      <w:r>
        <w:rPr>
          <w:rFonts w:ascii="Arial" w:cs="Arial" w:eastAsia="Arial" w:hAnsi="Arial"/>
          <w:b/>
          <w:bCs/>
          <w:sz w:val="22"/>
          <w:szCs w:val="22"/>
        </w:rPr>
        <w:t xml:space="preserve">Comparative Potency:</w:t>
      </w:r>
      <w:r>
        <w:rPr>
          <w:rFonts w:ascii="Arial" w:cs="Arial" w:eastAsia="Arial" w:hAnsi="Arial"/>
          <w:sz w:val="22"/>
          <w:szCs w:val="22"/>
        </w:rPr>
        <w:t xml:space="preserve"> Among monoterpene hydrocarbons, terpinolene, α-terpinene, γ-terpinene, and sabinene exhibited the highest antioxidant activity; γ-terpinene inhibited lipid peroxidation equivalently to terpinolene.</w:t>
      </w:r>
    </w:p>
    <w:p>
      <w:pPr>
        <w:spacing w:after="120" w:line="300"/>
      </w:pPr>
      <w:r>
        <w:rPr>
          <w:rFonts w:ascii="Arial" w:cs="Arial" w:eastAsia="Arial" w:hAnsi="Arial"/>
          <w:b/>
          <w:bCs/>
          <w:sz w:val="22"/>
          <w:szCs w:val="22"/>
        </w:rPr>
        <w:t xml:space="preserve">Environmental Sensitivity:</w:t>
      </w:r>
      <w:r>
        <w:rPr>
          <w:rFonts w:ascii="Arial" w:cs="Arial" w:eastAsia="Arial" w:hAnsi="Arial"/>
          <w:sz w:val="22"/>
          <w:szCs w:val="22"/>
        </w:rPr>
        <w:t xml:space="preserve"> Hydroperoxyl radical scavenging activity is strongly influenced by reaction environment (pH, solvent, temperature), explaining variable results across different assays.</w:t>
      </w:r>
    </w:p>
    <w:p>
      <w:pPr>
        <w:pStyle w:val="Heading2"/>
        <w:spacing w:after="120" w:before="240"/>
      </w:pPr>
      <w:r>
        <w:rPr>
          <w:rFonts w:ascii="Arial" w:cs="Arial" w:eastAsia="Arial" w:hAnsi="Arial"/>
          <w:b/>
          <w:bCs/>
          <w:color w:val="333333"/>
          <w:sz w:val="26"/>
          <w:szCs w:val="26"/>
        </w:rPr>
        <w:t xml:space="preserve">3. Anti-Proliferative &amp; Apoptosis-Inducing Activity</w:t>
      </w:r>
    </w:p>
    <w:p>
      <w:pPr>
        <w:spacing w:after="120" w:line="300"/>
      </w:pPr>
      <w:r>
        <w:rPr>
          <w:rFonts w:ascii="Arial" w:cs="Arial" w:eastAsia="Arial" w:hAnsi="Arial"/>
          <w:b/>
          <w:bCs/>
          <w:sz w:val="22"/>
          <w:szCs w:val="22"/>
        </w:rPr>
        <w:t xml:space="preserve">Key Study:</w:t>
      </w:r>
      <w:r>
        <w:rPr>
          <w:rFonts w:ascii="Arial" w:cs="Arial" w:eastAsia="Arial" w:hAnsi="Arial"/>
          <w:sz w:val="22"/>
          <w:szCs w:val="22"/>
        </w:rPr>
        <w:t xml:space="preserve"> Okumura et al. (2012). Terpinolene (at 0.05% concentration) in human K562 chronic myeloid leukemia cells:</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Markedly reduced AKT1 protein expression</w:t>
      </w:r>
      <w:r>
        <w:rPr>
          <w:rFonts w:ascii="Arial" w:cs="Arial" w:eastAsia="Arial" w:hAnsi="Arial"/>
          <w:sz w:val="22"/>
          <w:szCs w:val="22"/>
        </w:rPr>
        <w:t xml:space="preserve"> (proto-oncogene, promotes cell survival)</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Stimulated apoptosis</w:t>
      </w:r>
      <w:r>
        <w:rPr>
          <w:rFonts w:ascii="Arial" w:cs="Arial" w:eastAsia="Arial" w:hAnsi="Arial"/>
          <w:sz w:val="22"/>
          <w:szCs w:val="22"/>
        </w:rPr>
        <w:t xml:space="preserve"> (programmed cell death) in cancer cells</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Demonstrated </w:t>
      </w:r>
      <w:r>
        <w:rPr>
          <w:rFonts w:ascii="Arial" w:cs="Arial" w:eastAsia="Arial" w:hAnsi="Arial"/>
          <w:b/>
          <w:bCs/>
          <w:sz w:val="22"/>
          <w:szCs w:val="22"/>
        </w:rPr>
        <w:t xml:space="preserve">dose-dependent growth inhibition</w:t>
      </w:r>
    </w:p>
    <w:p>
      <w:pPr>
        <w:spacing w:after="120" w:line="300"/>
      </w:pPr>
      <w:r>
        <w:rPr>
          <w:rFonts w:ascii="Arial" w:cs="Arial" w:eastAsia="Arial" w:hAnsi="Arial"/>
          <w:b/>
          <w:bCs/>
          <w:sz w:val="22"/>
          <w:szCs w:val="22"/>
        </w:rPr>
        <w:t xml:space="preserve">Broader Findings:</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Neuroblastoma cells (N2a):</w:t>
      </w:r>
      <w:r>
        <w:rPr>
          <w:rFonts w:ascii="Arial" w:cs="Arial" w:eastAsia="Arial" w:hAnsi="Arial"/>
          <w:sz w:val="22"/>
          <w:szCs w:val="22"/>
        </w:rPr>
        <w:t xml:space="preserve"> Anti-proliferative activity at concentrations ≥50 mg/L</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Mechanism:</w:t>
      </w:r>
      <w:r>
        <w:rPr>
          <w:rFonts w:ascii="Arial" w:cs="Arial" w:eastAsia="Arial" w:hAnsi="Arial"/>
          <w:sz w:val="22"/>
          <w:szCs w:val="22"/>
        </w:rPr>
        <w:t xml:space="preserve"> Likely involves disruption of pro-survival signaling pathways (AKT/PKB, PI3K cascade) and induction of intrinsic apoptotic pathways</w:t>
      </w:r>
    </w:p>
    <w:p>
      <w:pPr>
        <w:spacing w:after="120" w:line="300"/>
      </w:pPr>
      <w:r>
        <w:rPr>
          <w:rFonts w:ascii="Arial" w:cs="Arial" w:eastAsia="Arial" w:hAnsi="Arial"/>
          <w:b/>
          <w:bCs/>
          <w:sz w:val="22"/>
          <w:szCs w:val="22"/>
        </w:rPr>
        <w:t xml:space="preserve">Limitation:</w:t>
      </w:r>
      <w:r>
        <w:rPr>
          <w:rFonts w:ascii="Arial" w:cs="Arial" w:eastAsia="Arial" w:hAnsi="Arial"/>
          <w:sz w:val="22"/>
          <w:szCs w:val="22"/>
        </w:rPr>
        <w:t xml:space="preserve"> All in vitro cancer studies use isolated terpinolene or cell line models; no in vivo xenograft or clinical oncology data exist.</w:t>
      </w:r>
    </w:p>
    <w:p>
      <w:pPr>
        <w:pStyle w:val="Heading2"/>
        <w:spacing w:after="120" w:before="240"/>
      </w:pPr>
      <w:r>
        <w:rPr>
          <w:rFonts w:ascii="Arial" w:cs="Arial" w:eastAsia="Arial" w:hAnsi="Arial"/>
          <w:b/>
          <w:bCs/>
          <w:color w:val="333333"/>
          <w:sz w:val="26"/>
          <w:szCs w:val="26"/>
        </w:rPr>
        <w:t xml:space="preserve">4. Acetylcholinesterase (AChE) Inhibition</w:t>
      </w:r>
    </w:p>
    <w:p>
      <w:pPr>
        <w:spacing w:after="120" w:line="300"/>
      </w:pPr>
      <w:r>
        <w:rPr>
          <w:rFonts w:ascii="Arial" w:cs="Arial" w:eastAsia="Arial" w:hAnsi="Arial"/>
          <w:sz w:val="22"/>
          <w:szCs w:val="22"/>
        </w:rPr>
        <w:t xml:space="preserve">Terpinolene demonstrates potent, multi-level cholinesterase inhibition:</w:t>
      </w:r>
    </w:p>
    <w:p>
      <w:pPr>
        <w:spacing w:after="120" w:line="300"/>
      </w:pPr>
      <w:r>
        <w:rPr>
          <w:rFonts w:ascii="Arial" w:cs="Arial" w:eastAsia="Arial" w:hAnsi="Arial"/>
          <w:b/>
          <w:bCs/>
          <w:sz w:val="22"/>
          <w:szCs w:val="22"/>
        </w:rPr>
        <w:t xml:space="preserve">In Vitro Activity:</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IC50 (AChE):</w:t>
      </w:r>
      <w:r>
        <w:rPr>
          <w:rFonts w:ascii="Arial" w:cs="Arial" w:eastAsia="Arial" w:hAnsi="Arial"/>
          <w:sz w:val="22"/>
          <w:szCs w:val="22"/>
        </w:rPr>
        <w:t xml:space="preserve"> 156 µg/mL</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IC50 (BuChE):</w:t>
      </w:r>
      <w:r>
        <w:rPr>
          <w:rFonts w:ascii="Arial" w:cs="Arial" w:eastAsia="Arial" w:hAnsi="Arial"/>
          <w:sz w:val="22"/>
          <w:szCs w:val="22"/>
        </w:rPr>
        <w:t xml:space="preserve"> 147 µg/mL</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Both values are </w:t>
      </w:r>
      <w:r>
        <w:rPr>
          <w:rFonts w:ascii="Arial" w:cs="Arial" w:eastAsia="Arial" w:hAnsi="Arial"/>
          <w:b/>
          <w:bCs/>
          <w:sz w:val="22"/>
          <w:szCs w:val="22"/>
        </w:rPr>
        <w:t xml:space="preserve">below 200 µg/mL</w:t>
      </w:r>
      <w:r>
        <w:rPr>
          <w:rFonts w:ascii="Arial" w:cs="Arial" w:eastAsia="Arial" w:hAnsi="Arial"/>
          <w:sz w:val="22"/>
          <w:szCs w:val="22"/>
        </w:rPr>
        <w:t xml:space="preserve">, indicating moderate inhibitory potency</w:t>
      </w:r>
    </w:p>
    <w:p>
      <w:pPr>
        <w:spacing w:after="120" w:line="300"/>
      </w:pPr>
      <w:r>
        <w:rPr>
          <w:rFonts w:ascii="Arial" w:cs="Arial" w:eastAsia="Arial" w:hAnsi="Arial"/>
          <w:b/>
          <w:bCs/>
          <w:sz w:val="22"/>
          <w:szCs w:val="22"/>
        </w:rPr>
        <w:t xml:space="preserve">In Silico &amp; In Vivo:</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Molecular docking studies show </w:t>
      </w:r>
      <w:r>
        <w:rPr>
          <w:rFonts w:ascii="Arial" w:cs="Arial" w:eastAsia="Arial" w:hAnsi="Arial"/>
          <w:b/>
          <w:bCs/>
          <w:sz w:val="22"/>
          <w:szCs w:val="22"/>
        </w:rPr>
        <w:t xml:space="preserve">hydrophobic and polar favorable interactions</w:t>
      </w:r>
      <w:r>
        <w:rPr>
          <w:rFonts w:ascii="Arial" w:cs="Arial" w:eastAsia="Arial" w:hAnsi="Arial"/>
          <w:sz w:val="22"/>
          <w:szCs w:val="22"/>
        </w:rPr>
        <w:t xml:space="preserve"> with key catalytic site residues of *Crassostrea* virginica AChE (ClAChE1)</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Strongest AChE inhibitor among 18 volatile compounds tested</w:t>
      </w:r>
      <w:r>
        <w:rPr>
          <w:rFonts w:ascii="Arial" w:cs="Arial" w:eastAsia="Arial" w:hAnsi="Arial"/>
          <w:sz w:val="22"/>
          <w:szCs w:val="22"/>
        </w:rPr>
        <w:t xml:space="preserve"> in comparative assays</w:t>
      </w:r>
    </w:p>
    <w:p>
      <w:pPr>
        <w:spacing w:after="120" w:line="300"/>
      </w:pPr>
      <w:r>
        <w:rPr>
          <w:rFonts w:ascii="Arial" w:cs="Arial" w:eastAsia="Arial" w:hAnsi="Arial"/>
          <w:b/>
          <w:bCs/>
          <w:sz w:val="22"/>
          <w:szCs w:val="22"/>
        </w:rPr>
        <w:t xml:space="preserve">Therapeutic Relevance:</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AChE inhibitors are approved treatments for Alzheimer's disease (donepezil, rivastigmine, galantamine)</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Terpinolene's AChE inhibition suggests potential neuroprotective and cognitive-enhancing applications</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Research Gap:</w:t>
      </w:r>
      <w:r>
        <w:rPr>
          <w:rFonts w:ascii="Arial" w:cs="Arial" w:eastAsia="Arial" w:hAnsi="Arial"/>
          <w:sz w:val="22"/>
          <w:szCs w:val="22"/>
        </w:rPr>
        <w:t xml:space="preserve"> No animal models or human trials have evaluated terpinolene for cognitive or neurodegenerative disease</w:t>
      </w:r>
    </w:p>
    <w:p>
      <w:pPr>
        <w:pStyle w:val="Heading2"/>
        <w:spacing w:after="120" w:before="240"/>
      </w:pPr>
      <w:r>
        <w:rPr>
          <w:rFonts w:ascii="Arial" w:cs="Arial" w:eastAsia="Arial" w:hAnsi="Arial"/>
          <w:b/>
          <w:bCs/>
          <w:color w:val="333333"/>
          <w:sz w:val="26"/>
          <w:szCs w:val="26"/>
        </w:rPr>
        <w:t xml:space="preserve">5. Anti-Inflammatory Activity</w:t>
      </w:r>
    </w:p>
    <w:p>
      <w:pPr>
        <w:spacing w:after="120" w:line="300"/>
      </w:pPr>
      <w:r>
        <w:rPr>
          <w:rFonts w:ascii="Arial" w:cs="Arial" w:eastAsia="Arial" w:hAnsi="Arial"/>
          <w:sz w:val="22"/>
          <w:szCs w:val="22"/>
        </w:rPr>
        <w:t xml:space="preserve">Terpinolene exhibits inflammation suppression through multiple mechanisms:</w:t>
      </w:r>
    </w:p>
    <w:p>
      <w:pPr>
        <w:spacing w:after="120" w:line="300"/>
      </w:pPr>
      <w:r>
        <w:rPr>
          <w:rFonts w:ascii="Arial" w:cs="Arial" w:eastAsia="Arial" w:hAnsi="Arial"/>
          <w:b/>
          <w:bCs/>
          <w:sz w:val="22"/>
          <w:szCs w:val="22"/>
        </w:rPr>
        <w:t xml:space="preserve">Cytokine Regulation:</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Reduces pro-inflammatory cytokines: </w:t>
      </w:r>
      <w:r>
        <w:rPr>
          <w:rFonts w:ascii="Arial" w:cs="Arial" w:eastAsia="Arial" w:hAnsi="Arial"/>
          <w:b/>
          <w:bCs/>
          <w:sz w:val="22"/>
          <w:szCs w:val="22"/>
        </w:rPr>
        <w:t xml:space="preserve">TNF-α, IL-1β, IL-6</w:t>
      </w:r>
      <w:r>
        <w:rPr>
          <w:rFonts w:ascii="Arial" w:cs="Arial" w:eastAsia="Arial" w:hAnsi="Arial"/>
          <w:sz w:val="22"/>
          <w:szCs w:val="22"/>
        </w:rPr>
        <w:t xml:space="preserve"> in macrophage cell lines</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Mechanism: Inhibition of </w:t>
      </w:r>
      <w:r>
        <w:rPr>
          <w:rFonts w:ascii="Arial" w:cs="Arial" w:eastAsia="Arial" w:hAnsi="Arial"/>
          <w:b/>
          <w:bCs/>
          <w:sz w:val="22"/>
          <w:szCs w:val="22"/>
        </w:rPr>
        <w:t xml:space="preserve">NF-κB signaling pathway</w:t>
      </w:r>
      <w:r>
        <w:rPr>
          <w:rFonts w:ascii="Arial" w:cs="Arial" w:eastAsia="Arial" w:hAnsi="Arial"/>
          <w:sz w:val="22"/>
          <w:szCs w:val="22"/>
        </w:rPr>
        <w:t xml:space="preserve"> (master inflammatory transcription factor)</w:t>
      </w:r>
    </w:p>
    <w:p>
      <w:pPr>
        <w:spacing w:after="120" w:line="300"/>
      </w:pPr>
      <w:r>
        <w:rPr>
          <w:rFonts w:ascii="Arial" w:cs="Arial" w:eastAsia="Arial" w:hAnsi="Arial"/>
          <w:b/>
          <w:bCs/>
          <w:sz w:val="22"/>
          <w:szCs w:val="22"/>
        </w:rPr>
        <w:t xml:space="preserve">In Vivo Efficacy:</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Carrageenan-induced paw edema model:</w:t>
      </w:r>
      <w:r>
        <w:rPr>
          <w:rFonts w:ascii="Arial" w:cs="Arial" w:eastAsia="Arial" w:hAnsi="Arial"/>
          <w:sz w:val="22"/>
          <w:szCs w:val="22"/>
        </w:rPr>
        <w:t xml:space="preserve"> Oral terpinolene (50, 100, 200 mg/kg) significantly inhibited edema development over 4 hours</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Serotonergic pathway involvement:</w:t>
      </w:r>
      <w:r>
        <w:rPr>
          <w:rFonts w:ascii="Arial" w:cs="Arial" w:eastAsia="Arial" w:hAnsi="Arial"/>
          <w:sz w:val="22"/>
          <w:szCs w:val="22"/>
        </w:rPr>
        <w:t xml:space="preserve"> Interference with 5-HT (serotonin) receptors, particularly 5-HT2A antagonism</w:t>
      </w:r>
    </w:p>
    <w:p>
      <w:pPr>
        <w:spacing w:after="120" w:line="300"/>
      </w:pPr>
      <w:r>
        <w:rPr>
          <w:rFonts w:ascii="Arial" w:cs="Arial" w:eastAsia="Arial" w:hAnsi="Arial"/>
          <w:b/>
          <w:bCs/>
          <w:sz w:val="22"/>
          <w:szCs w:val="22"/>
        </w:rPr>
        <w:t xml:space="preserve">Comparative Activity:</w:t>
      </w:r>
      <w:r>
        <w:rPr>
          <w:rFonts w:ascii="Arial" w:cs="Arial" w:eastAsia="Arial" w:hAnsi="Arial"/>
          <w:sz w:val="22"/>
          <w:szCs w:val="22"/>
        </w:rPr>
        <w:t xml:space="preserve"> Anti-inflammatory effects are similar in potency to other major cannabis terpenes (myrcene, pinene) but with distinct mechanistic pathways.</w:t>
      </w:r>
    </w:p>
    <w:p>
      <w:pPr>
        <w:spacing w:after="120" w:line="300"/>
      </w:pPr>
      <w:r>
        <w:rPr>
          <w:rFonts w:ascii="Arial" w:cs="Arial" w:eastAsia="Arial" w:hAnsi="Arial"/>
          <w:b/>
          <w:bCs/>
          <w:sz w:val="22"/>
          <w:szCs w:val="22"/>
        </w:rPr>
        <w:t xml:space="preserve">Synergy Potential:</w:t>
      </w:r>
      <w:r>
        <w:rPr>
          <w:rFonts w:ascii="Arial" w:cs="Arial" w:eastAsia="Arial" w:hAnsi="Arial"/>
          <w:sz w:val="22"/>
          <w:szCs w:val="22"/>
        </w:rPr>
        <w:t xml:space="preserve"> Terpinolene + diclofenac (NSAID) showed </w:t>
      </w:r>
      <w:r>
        <w:rPr>
          <w:rFonts w:ascii="Arial" w:cs="Arial" w:eastAsia="Arial" w:hAnsi="Arial"/>
          <w:b/>
          <w:bCs/>
          <w:sz w:val="22"/>
          <w:szCs w:val="22"/>
        </w:rPr>
        <w:t xml:space="preserve">synergistic antinociceptive and anti-inflammatory effects</w:t>
      </w:r>
      <w:r>
        <w:rPr>
          <w:rFonts w:ascii="Arial" w:cs="Arial" w:eastAsia="Arial" w:hAnsi="Arial"/>
          <w:sz w:val="22"/>
          <w:szCs w:val="22"/>
        </w:rPr>
        <w:t xml:space="preserve"> in chronic inflammation models, suggesting potential for combinatorial therapy.</w:t>
      </w:r>
    </w:p>
    <w:p>
      <w:pPr>
        <w:pStyle w:val="Heading2"/>
        <w:spacing w:after="120" w:before="240"/>
      </w:pPr>
      <w:r>
        <w:rPr>
          <w:rFonts w:ascii="Arial" w:cs="Arial" w:eastAsia="Arial" w:hAnsi="Arial"/>
          <w:b/>
          <w:bCs/>
          <w:color w:val="333333"/>
          <w:sz w:val="26"/>
          <w:szCs w:val="26"/>
        </w:rPr>
        <w:t xml:space="preserve">6. Antibacterial Activity</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Spectrum:</w:t>
      </w:r>
      <w:r>
        <w:rPr>
          <w:rFonts w:ascii="Arial" w:cs="Arial" w:eastAsia="Arial" w:hAnsi="Arial"/>
          <w:sz w:val="22"/>
          <w:szCs w:val="22"/>
        </w:rPr>
        <w:t xml:space="preserve"> Effective against *Staphylococcus aureus* and *Escherichia coli*</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Mechanism:</w:t>
      </w:r>
      <w:r>
        <w:rPr>
          <w:rFonts w:ascii="Arial" w:cs="Arial" w:eastAsia="Arial" w:hAnsi="Arial"/>
          <w:sz w:val="22"/>
          <w:szCs w:val="22"/>
        </w:rPr>
        <w:t xml:space="preserve"> Likely involves disruption of bacterial membrane integrity via lipophilic hydrocarbon penetration</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Potency:</w:t>
      </w:r>
      <w:r>
        <w:rPr>
          <w:rFonts w:ascii="Arial" w:cs="Arial" w:eastAsia="Arial" w:hAnsi="Arial"/>
          <w:sz w:val="22"/>
          <w:szCs w:val="22"/>
        </w:rPr>
        <w:t xml:space="preserve"> Comparable to other terpenes; exact MIC values not systematically reported across studies</w:t>
      </w:r>
    </w:p>
    <w:p>
      <w:pPr>
        <w:spacing w:before="200"/>
      </w:pPr>
      <w:r>
        <w:drawing>
          <wp:inline distT="0" distB="0" distL="0" distR="0">
            <wp:extent cx="6191250" cy="47625"/>
            <wp:effectExtent t="0" r="0" b="0" l="0"/>
            <wp:docPr id="1" name="divider" descr="Section divider" title="div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47625"/>
                    </a:xfrm>
                    <a:prstGeom prst="rect">
                      <a:avLst/>
                    </a:prstGeom>
                  </pic:spPr>
                </pic:pic>
              </a:graphicData>
            </a:graphic>
          </wp:inline>
        </w:drawing>
      </w:r>
    </w:p>
    <w:p>
      <w:pPr>
        <w:pStyle w:val="Heading1"/>
        <w:spacing w:after="200" w:before="360"/>
      </w:pPr>
      <w:r>
        <w:rPr>
          <w:rFonts w:ascii="Arial" w:cs="Arial" w:eastAsia="Arial" w:hAnsi="Arial"/>
          <w:b/>
          <w:bCs/>
          <w:color w:val="00695C"/>
          <w:sz w:val="30"/>
          <w:szCs w:val="30"/>
        </w:rPr>
        <w:t xml:space="preserve">Clinical Evidence</w:t>
      </w:r>
    </w:p>
    <w:p>
      <w:pPr>
        <w:pStyle w:val="Heading2"/>
        <w:spacing w:after="120" w:before="240"/>
      </w:pPr>
      <w:r>
        <w:rPr>
          <w:rFonts w:ascii="Arial" w:cs="Arial" w:eastAsia="Arial" w:hAnsi="Arial"/>
          <w:b/>
          <w:bCs/>
          <w:color w:val="333333"/>
          <w:sz w:val="26"/>
          <w:szCs w:val="26"/>
        </w:rPr>
        <w:t xml:space="preserve">Research Landscape</w:t>
      </w:r>
    </w:p>
    <w:p>
      <w:pPr>
        <w:spacing w:after="120" w:line="300"/>
      </w:pPr>
      <w:r>
        <w:rPr>
          <w:rFonts w:ascii="Arial" w:cs="Arial" w:eastAsia="Arial" w:hAnsi="Arial"/>
          <w:sz w:val="22"/>
          <w:szCs w:val="22"/>
        </w:rPr>
        <w:t xml:space="preserve">Terpinolene is the </w:t>
      </w:r>
      <w:r>
        <w:rPr>
          <w:rFonts w:ascii="Arial" w:cs="Arial" w:eastAsia="Arial" w:hAnsi="Arial"/>
          <w:b/>
          <w:bCs/>
          <w:sz w:val="22"/>
          <w:szCs w:val="22"/>
        </w:rPr>
        <w:t xml:space="preserve">least clinically studied of the major cannabis terpenes</w:t>
      </w:r>
      <w:r>
        <w:rPr>
          <w:rFonts w:ascii="Arial" w:cs="Arial" w:eastAsia="Arial" w:hAnsi="Arial"/>
          <w:sz w:val="22"/>
          <w:szCs w:val="22"/>
        </w:rPr>
        <w:t xml:space="preserve">. A comprehensive systematic review identified </w:t>
      </w:r>
      <w:r>
        <w:rPr>
          <w:rFonts w:ascii="Arial" w:cs="Arial" w:eastAsia="Arial" w:hAnsi="Arial"/>
          <w:b/>
          <w:bCs/>
          <w:sz w:val="22"/>
          <w:szCs w:val="22"/>
        </w:rPr>
        <w:t xml:space="preserve">2,449 initial literature sources</w:t>
      </w:r>
      <w:r>
        <w:rPr>
          <w:rFonts w:ascii="Arial" w:cs="Arial" w:eastAsia="Arial" w:hAnsi="Arial"/>
          <w:sz w:val="22"/>
          <w:szCs w:val="22"/>
        </w:rPr>
        <w:t xml:space="preserve">, but only </w:t>
      </w:r>
      <w:r>
        <w:rPr>
          <w:rFonts w:ascii="Arial" w:cs="Arial" w:eastAsia="Arial" w:hAnsi="Arial"/>
          <w:b/>
          <w:bCs/>
          <w:sz w:val="22"/>
          <w:szCs w:val="22"/>
        </w:rPr>
        <w:t xml:space="preserve">57 met quality inclusion criteria</w:t>
      </w:r>
      <w:r>
        <w:rPr>
          <w:rFonts w:ascii="Arial" w:cs="Arial" w:eastAsia="Arial" w:hAnsi="Arial"/>
          <w:sz w:val="22"/>
          <w:szCs w:val="22"/>
        </w:rPr>
        <w:t xml:space="preserve">—and notably, </w:t>
      </w:r>
      <w:r>
        <w:rPr>
          <w:rFonts w:ascii="Arial" w:cs="Arial" w:eastAsia="Arial" w:hAnsi="Arial"/>
          <w:b/>
          <w:bCs/>
          <w:sz w:val="22"/>
          <w:szCs w:val="22"/>
        </w:rPr>
        <w:t xml:space="preserve">zero human clinical trials</w:t>
      </w:r>
      <w:r>
        <w:rPr>
          <w:rFonts w:ascii="Arial" w:cs="Arial" w:eastAsia="Arial" w:hAnsi="Arial"/>
          <w:sz w:val="22"/>
          <w:szCs w:val="22"/>
        </w:rPr>
        <w:t xml:space="preserve"> were identified.</w:t>
      </w:r>
    </w:p>
    <w:p>
      <w:pPr>
        <w:pStyle w:val="Heading2"/>
        <w:spacing w:after="120" w:before="240"/>
      </w:pPr>
      <w:r>
        <w:rPr>
          <w:rFonts w:ascii="Arial" w:cs="Arial" w:eastAsia="Arial" w:hAnsi="Arial"/>
          <w:b/>
          <w:bCs/>
          <w:color w:val="333333"/>
          <w:sz w:val="26"/>
          <w:szCs w:val="26"/>
        </w:rPr>
        <w:t xml:space="preserve">Preclinical Evidence (Animal &amp; Cell Culture)</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0695C" w:val="clear"/>
            <w:tcMar>
              <w:top w:type="dxa" w:w="60"/>
              <w:left w:type="dxa" w:w="100"/>
              <w:bottom w:type="dxa" w:w="60"/>
              <w:right w:type="dxa" w:w="100"/>
            </w:tcMar>
          </w:tcPr>
          <w:p>
            <w:r>
              <w:rPr>
                <w:rFonts w:ascii="Arial" w:cs="Arial" w:eastAsia="Arial" w:hAnsi="Arial"/>
                <w:b/>
                <w:bCs/>
                <w:color w:val="FFFFFF"/>
                <w:sz w:val="20"/>
                <w:szCs w:val="20"/>
              </w:rPr>
              <w:t xml:space="preserve">Category</w:t>
            </w:r>
          </w:p>
        </w:tc>
        <w:tc>
          <w:tcPr>
            <w:tcW w:type="dxa" w:w="2340"/>
            <w:tcBorders>
              <w:top w:val="single" w:color="CCCCCC" w:sz="1"/>
              <w:left w:val="single" w:color="CCCCCC" w:sz="1"/>
              <w:bottom w:val="single" w:color="CCCCCC" w:sz="1"/>
              <w:right w:val="single" w:color="CCCCCC" w:sz="1"/>
            </w:tcBorders>
            <w:shd w:fill="00695C" w:val="clear"/>
            <w:tcMar>
              <w:top w:type="dxa" w:w="60"/>
              <w:left w:type="dxa" w:w="100"/>
              <w:bottom w:type="dxa" w:w="60"/>
              <w:right w:type="dxa" w:w="100"/>
            </w:tcMar>
          </w:tcPr>
          <w:p>
            <w:r>
              <w:rPr>
                <w:rFonts w:ascii="Arial" w:cs="Arial" w:eastAsia="Arial" w:hAnsi="Arial"/>
                <w:b/>
                <w:bCs/>
                <w:color w:val="FFFFFF"/>
                <w:sz w:val="20"/>
                <w:szCs w:val="20"/>
              </w:rPr>
              <w:t xml:space="preserve">Finding</w:t>
            </w:r>
          </w:p>
        </w:tc>
        <w:tc>
          <w:tcPr>
            <w:tcW w:type="dxa" w:w="2340"/>
            <w:tcBorders>
              <w:top w:val="single" w:color="CCCCCC" w:sz="1"/>
              <w:left w:val="single" w:color="CCCCCC" w:sz="1"/>
              <w:bottom w:val="single" w:color="CCCCCC" w:sz="1"/>
              <w:right w:val="single" w:color="CCCCCC" w:sz="1"/>
            </w:tcBorders>
            <w:shd w:fill="00695C" w:val="clear"/>
            <w:tcMar>
              <w:top w:type="dxa" w:w="60"/>
              <w:left w:type="dxa" w:w="100"/>
              <w:bottom w:type="dxa" w:w="60"/>
              <w:right w:type="dxa" w:w="100"/>
            </w:tcMar>
          </w:tcPr>
          <w:p>
            <w:r>
              <w:rPr>
                <w:rFonts w:ascii="Arial" w:cs="Arial" w:eastAsia="Arial" w:hAnsi="Arial"/>
                <w:b/>
                <w:bCs/>
                <w:color w:val="FFFFFF"/>
                <w:sz w:val="20"/>
                <w:szCs w:val="20"/>
              </w:rPr>
              <w:t xml:space="preserve">Study Type</w:t>
            </w:r>
          </w:p>
        </w:tc>
        <w:tc>
          <w:tcPr>
            <w:tcW w:type="dxa" w:w="2340"/>
            <w:tcBorders>
              <w:top w:val="single" w:color="CCCCCC" w:sz="1"/>
              <w:left w:val="single" w:color="CCCCCC" w:sz="1"/>
              <w:bottom w:val="single" w:color="CCCCCC" w:sz="1"/>
              <w:right w:val="single" w:color="CCCCCC" w:sz="1"/>
            </w:tcBorders>
            <w:shd w:fill="00695C" w:val="clear"/>
            <w:tcMar>
              <w:top w:type="dxa" w:w="60"/>
              <w:left w:type="dxa" w:w="100"/>
              <w:bottom w:type="dxa" w:w="60"/>
              <w:right w:type="dxa" w:w="100"/>
            </w:tcMar>
          </w:tcPr>
          <w:p>
            <w:r>
              <w:rPr>
                <w:rFonts w:ascii="Arial" w:cs="Arial" w:eastAsia="Arial" w:hAnsi="Arial"/>
                <w:b/>
                <w:bCs/>
                <w:color w:val="FFFFFF"/>
                <w:sz w:val="20"/>
                <w:szCs w:val="20"/>
              </w:rPr>
              <w:t xml:space="preserve">Confidence</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Sedation</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Dose-dependent sleep induction</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Mouse inhalation</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Moderate (small n)</w:t>
            </w:r>
          </w:p>
        </w:tc>
      </w:tr>
      <w:tr>
        <w:tc>
          <w:tcPr>
            <w:tcW w:type="dxa" w:w="2340"/>
            <w:tcBorders>
              <w:top w:val="single" w:color="CCCCCC" w:sz="1"/>
              <w:left w:val="single" w:color="CCCCCC" w:sz="1"/>
              <w:bottom w:val="single" w:color="CCCCCC" w:sz="1"/>
              <w:right w:val="single" w:color="CCCCCC" w:sz="1"/>
            </w:tcBorders>
            <w:shd w:fill="E0F2F1" w:val="clear"/>
            <w:tcMar>
              <w:top w:type="dxa" w:w="60"/>
              <w:left w:type="dxa" w:w="100"/>
              <w:bottom w:type="dxa" w:w="60"/>
              <w:right w:type="dxa" w:w="100"/>
            </w:tcMar>
          </w:tcPr>
          <w:p>
            <w:r>
              <w:rPr>
                <w:rFonts w:ascii="Arial" w:cs="Arial" w:eastAsia="Arial" w:hAnsi="Arial"/>
                <w:b w:val="false"/>
                <w:bCs w:val="false"/>
                <w:color w:val="333333"/>
                <w:sz w:val="20"/>
                <w:szCs w:val="20"/>
              </w:rPr>
              <w:t xml:space="preserve">Antioxidant</w:t>
            </w:r>
          </w:p>
        </w:tc>
        <w:tc>
          <w:tcPr>
            <w:tcW w:type="dxa" w:w="2340"/>
            <w:tcBorders>
              <w:top w:val="single" w:color="CCCCCC" w:sz="1"/>
              <w:left w:val="single" w:color="CCCCCC" w:sz="1"/>
              <w:bottom w:val="single" w:color="CCCCCC" w:sz="1"/>
              <w:right w:val="single" w:color="CCCCCC" w:sz="1"/>
            </w:tcBorders>
            <w:shd w:fill="E0F2F1" w:val="clear"/>
            <w:tcMar>
              <w:top w:type="dxa" w:w="60"/>
              <w:left w:type="dxa" w:w="100"/>
              <w:bottom w:type="dxa" w:w="60"/>
              <w:right w:type="dxa" w:w="100"/>
            </w:tcMar>
          </w:tcPr>
          <w:p>
            <w:r>
              <w:rPr>
                <w:rFonts w:ascii="Arial" w:cs="Arial" w:eastAsia="Arial" w:hAnsi="Arial"/>
                <w:b w:val="false"/>
                <w:bCs w:val="false"/>
                <w:color w:val="333333"/>
                <w:sz w:val="20"/>
                <w:szCs w:val="20"/>
              </w:rPr>
              <w:t xml:space="preserve">DPPH/TBARS radical scavenging</w:t>
            </w:r>
          </w:p>
        </w:tc>
        <w:tc>
          <w:tcPr>
            <w:tcW w:type="dxa" w:w="2340"/>
            <w:tcBorders>
              <w:top w:val="single" w:color="CCCCCC" w:sz="1"/>
              <w:left w:val="single" w:color="CCCCCC" w:sz="1"/>
              <w:bottom w:val="single" w:color="CCCCCC" w:sz="1"/>
              <w:right w:val="single" w:color="CCCCCC" w:sz="1"/>
            </w:tcBorders>
            <w:shd w:fill="E0F2F1" w:val="clear"/>
            <w:tcMar>
              <w:top w:type="dxa" w:w="60"/>
              <w:left w:type="dxa" w:w="100"/>
              <w:bottom w:type="dxa" w:w="60"/>
              <w:right w:type="dxa" w:w="100"/>
            </w:tcMar>
          </w:tcPr>
          <w:p>
            <w:r>
              <w:rPr>
                <w:rFonts w:ascii="Arial" w:cs="Arial" w:eastAsia="Arial" w:hAnsi="Arial"/>
                <w:b w:val="false"/>
                <w:bCs w:val="false"/>
                <w:color w:val="333333"/>
                <w:sz w:val="20"/>
                <w:szCs w:val="20"/>
              </w:rPr>
              <w:t xml:space="preserve">In vitro assay</w:t>
            </w:r>
          </w:p>
        </w:tc>
        <w:tc>
          <w:tcPr>
            <w:tcW w:type="dxa" w:w="2340"/>
            <w:tcBorders>
              <w:top w:val="single" w:color="CCCCCC" w:sz="1"/>
              <w:left w:val="single" w:color="CCCCCC" w:sz="1"/>
              <w:bottom w:val="single" w:color="CCCCCC" w:sz="1"/>
              <w:right w:val="single" w:color="CCCCCC" w:sz="1"/>
            </w:tcBorders>
            <w:shd w:fill="E0F2F1" w:val="clear"/>
            <w:tcMar>
              <w:top w:type="dxa" w:w="60"/>
              <w:left w:type="dxa" w:w="100"/>
              <w:bottom w:type="dxa" w:w="60"/>
              <w:right w:type="dxa" w:w="100"/>
            </w:tcMar>
          </w:tcPr>
          <w:p>
            <w:r>
              <w:rPr>
                <w:rFonts w:ascii="Arial" w:cs="Arial" w:eastAsia="Arial" w:hAnsi="Arial"/>
                <w:b w:val="false"/>
                <w:bCs w:val="false"/>
                <w:color w:val="333333"/>
                <w:sz w:val="20"/>
                <w:szCs w:val="20"/>
              </w:rPr>
              <w:t xml:space="preserve">High (multiple labs)</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Anti-cancer</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AKT1 ↓, apoptosis ↑</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Human K562 cells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Moderate (isolated cells)</w:t>
            </w:r>
          </w:p>
        </w:tc>
      </w:tr>
      <w:tr>
        <w:tc>
          <w:tcPr>
            <w:tcW w:type="dxa" w:w="2340"/>
            <w:tcBorders>
              <w:top w:val="single" w:color="CCCCCC" w:sz="1"/>
              <w:left w:val="single" w:color="CCCCCC" w:sz="1"/>
              <w:bottom w:val="single" w:color="CCCCCC" w:sz="1"/>
              <w:right w:val="single" w:color="CCCCCC" w:sz="1"/>
            </w:tcBorders>
            <w:shd w:fill="E0F2F1" w:val="clear"/>
            <w:tcMar>
              <w:top w:type="dxa" w:w="60"/>
              <w:left w:type="dxa" w:w="100"/>
              <w:bottom w:type="dxa" w:w="60"/>
              <w:right w:type="dxa" w:w="100"/>
            </w:tcMar>
          </w:tcPr>
          <w:p>
            <w:r>
              <w:rPr>
                <w:rFonts w:ascii="Arial" w:cs="Arial" w:eastAsia="Arial" w:hAnsi="Arial"/>
                <w:b w:val="false"/>
                <w:bCs w:val="false"/>
                <w:color w:val="333333"/>
                <w:sz w:val="20"/>
                <w:szCs w:val="20"/>
              </w:rPr>
              <w:t xml:space="preserve">AChE Inhibition</w:t>
            </w:r>
          </w:p>
        </w:tc>
        <w:tc>
          <w:tcPr>
            <w:tcW w:type="dxa" w:w="2340"/>
            <w:tcBorders>
              <w:top w:val="single" w:color="CCCCCC" w:sz="1"/>
              <w:left w:val="single" w:color="CCCCCC" w:sz="1"/>
              <w:bottom w:val="single" w:color="CCCCCC" w:sz="1"/>
              <w:right w:val="single" w:color="CCCCCC" w:sz="1"/>
            </w:tcBorders>
            <w:shd w:fill="E0F2F1" w:val="clear"/>
            <w:tcMar>
              <w:top w:type="dxa" w:w="60"/>
              <w:left w:type="dxa" w:w="100"/>
              <w:bottom w:type="dxa" w:w="60"/>
              <w:right w:type="dxa" w:w="100"/>
            </w:tcMar>
          </w:tcPr>
          <w:p>
            <w:r>
              <w:rPr>
                <w:rFonts w:ascii="Arial" w:cs="Arial" w:eastAsia="Arial" w:hAnsi="Arial"/>
                <w:b w:val="false"/>
                <w:bCs w:val="false"/>
                <w:color w:val="333333"/>
                <w:sz w:val="20"/>
                <w:szCs w:val="20"/>
              </w:rPr>
              <w:t xml:space="preserve">IC50 156 µg/mL</w:t>
            </w:r>
          </w:p>
        </w:tc>
        <w:tc>
          <w:tcPr>
            <w:tcW w:type="dxa" w:w="2340"/>
            <w:tcBorders>
              <w:top w:val="single" w:color="CCCCCC" w:sz="1"/>
              <w:left w:val="single" w:color="CCCCCC" w:sz="1"/>
              <w:bottom w:val="single" w:color="CCCCCC" w:sz="1"/>
              <w:right w:val="single" w:color="CCCCCC" w:sz="1"/>
            </w:tcBorders>
            <w:shd w:fill="E0F2F1" w:val="clear"/>
            <w:tcMar>
              <w:top w:type="dxa" w:w="60"/>
              <w:left w:type="dxa" w:w="100"/>
              <w:bottom w:type="dxa" w:w="60"/>
              <w:right w:type="dxa" w:w="100"/>
            </w:tcMar>
          </w:tcPr>
          <w:p>
            <w:r>
              <w:rPr>
                <w:rFonts w:ascii="Arial" w:cs="Arial" w:eastAsia="Arial" w:hAnsi="Arial"/>
                <w:b w:val="false"/>
                <w:bCs w:val="false"/>
                <w:color w:val="333333"/>
                <w:sz w:val="20"/>
                <w:szCs w:val="20"/>
              </w:rPr>
              <w:t xml:space="preserve">In vitro enzyme assay</w:t>
            </w:r>
          </w:p>
        </w:tc>
        <w:tc>
          <w:tcPr>
            <w:tcW w:type="dxa" w:w="2340"/>
            <w:tcBorders>
              <w:top w:val="single" w:color="CCCCCC" w:sz="1"/>
              <w:left w:val="single" w:color="CCCCCC" w:sz="1"/>
              <w:bottom w:val="single" w:color="CCCCCC" w:sz="1"/>
              <w:right w:val="single" w:color="CCCCCC" w:sz="1"/>
            </w:tcBorders>
            <w:shd w:fill="E0F2F1" w:val="clear"/>
            <w:tcMar>
              <w:top w:type="dxa" w:w="60"/>
              <w:left w:type="dxa" w:w="100"/>
              <w:bottom w:type="dxa" w:w="60"/>
              <w:right w:type="dxa" w:w="100"/>
            </w:tcMar>
          </w:tcPr>
          <w:p>
            <w:r>
              <w:rPr>
                <w:rFonts w:ascii="Arial" w:cs="Arial" w:eastAsia="Arial" w:hAnsi="Arial"/>
                <w:b w:val="false"/>
                <w:bCs w:val="false"/>
                <w:color w:val="333333"/>
                <w:sz w:val="20"/>
                <w:szCs w:val="20"/>
              </w:rPr>
              <w:t xml:space="preserve">Moderate (in silico confirmed)</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Anti-inflammatory</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TNF-α/IL-6 ↓, edema inhibition</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Macrophages + mouse model</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Moderate</w:t>
            </w:r>
          </w:p>
        </w:tc>
      </w:tr>
      <w:tr>
        <w:tc>
          <w:tcPr>
            <w:tcW w:type="dxa" w:w="2340"/>
            <w:tcBorders>
              <w:top w:val="single" w:color="CCCCCC" w:sz="1"/>
              <w:left w:val="single" w:color="CCCCCC" w:sz="1"/>
              <w:bottom w:val="single" w:color="CCCCCC" w:sz="1"/>
              <w:right w:val="single" w:color="CCCCCC" w:sz="1"/>
            </w:tcBorders>
            <w:shd w:fill="E0F2F1" w:val="clear"/>
            <w:tcMar>
              <w:top w:type="dxa" w:w="60"/>
              <w:left w:type="dxa" w:w="100"/>
              <w:bottom w:type="dxa" w:w="60"/>
              <w:right w:type="dxa" w:w="100"/>
            </w:tcMar>
          </w:tcPr>
          <w:p>
            <w:r>
              <w:rPr>
                <w:rFonts w:ascii="Arial" w:cs="Arial" w:eastAsia="Arial" w:hAnsi="Arial"/>
                <w:b w:val="false"/>
                <w:bCs w:val="false"/>
                <w:color w:val="333333"/>
                <w:sz w:val="20"/>
                <w:szCs w:val="20"/>
              </w:rPr>
              <w:t xml:space="preserve">Antibacterial</w:t>
            </w:r>
          </w:p>
        </w:tc>
        <w:tc>
          <w:tcPr>
            <w:tcW w:type="dxa" w:w="2340"/>
            <w:tcBorders>
              <w:top w:val="single" w:color="CCCCCC" w:sz="1"/>
              <w:left w:val="single" w:color="CCCCCC" w:sz="1"/>
              <w:bottom w:val="single" w:color="CCCCCC" w:sz="1"/>
              <w:right w:val="single" w:color="CCCCCC" w:sz="1"/>
            </w:tcBorders>
            <w:shd w:fill="E0F2F1" w:val="clear"/>
            <w:tcMar>
              <w:top w:type="dxa" w:w="60"/>
              <w:left w:type="dxa" w:w="100"/>
              <w:bottom w:type="dxa" w:w="60"/>
              <w:right w:type="dxa" w:w="100"/>
            </w:tcMar>
          </w:tcPr>
          <w:p>
            <w:r>
              <w:rPr>
                <w:rFonts w:ascii="Arial" w:cs="Arial" w:eastAsia="Arial" w:hAnsi="Arial"/>
                <w:b w:val="false"/>
                <w:bCs w:val="false"/>
                <w:color w:val="333333"/>
                <w:sz w:val="20"/>
                <w:szCs w:val="20"/>
              </w:rPr>
              <w:t xml:space="preserve">S. aureus, E. coli growth inhibition</w:t>
            </w:r>
          </w:p>
        </w:tc>
        <w:tc>
          <w:tcPr>
            <w:tcW w:type="dxa" w:w="2340"/>
            <w:tcBorders>
              <w:top w:val="single" w:color="CCCCCC" w:sz="1"/>
              <w:left w:val="single" w:color="CCCCCC" w:sz="1"/>
              <w:bottom w:val="single" w:color="CCCCCC" w:sz="1"/>
              <w:right w:val="single" w:color="CCCCCC" w:sz="1"/>
            </w:tcBorders>
            <w:shd w:fill="E0F2F1" w:val="clear"/>
            <w:tcMar>
              <w:top w:type="dxa" w:w="60"/>
              <w:left w:type="dxa" w:w="100"/>
              <w:bottom w:type="dxa" w:w="60"/>
              <w:right w:type="dxa" w:w="100"/>
            </w:tcMar>
          </w:tcPr>
          <w:p>
            <w:r>
              <w:rPr>
                <w:rFonts w:ascii="Arial" w:cs="Arial" w:eastAsia="Arial" w:hAnsi="Arial"/>
                <w:b w:val="false"/>
                <w:bCs w:val="false"/>
                <w:color w:val="333333"/>
                <w:sz w:val="20"/>
                <w:szCs w:val="20"/>
              </w:rPr>
              <w:t xml:space="preserve">In vitro culture</w:t>
            </w:r>
          </w:p>
        </w:tc>
        <w:tc>
          <w:tcPr>
            <w:tcW w:type="dxa" w:w="2340"/>
            <w:tcBorders>
              <w:top w:val="single" w:color="CCCCCC" w:sz="1"/>
              <w:left w:val="single" w:color="CCCCCC" w:sz="1"/>
              <w:bottom w:val="single" w:color="CCCCCC" w:sz="1"/>
              <w:right w:val="single" w:color="CCCCCC" w:sz="1"/>
            </w:tcBorders>
            <w:shd w:fill="E0F2F1" w:val="clear"/>
            <w:tcMar>
              <w:top w:type="dxa" w:w="60"/>
              <w:left w:type="dxa" w:w="100"/>
              <w:bottom w:type="dxa" w:w="60"/>
              <w:right w:type="dxa" w:w="100"/>
            </w:tcMar>
          </w:tcPr>
          <w:p>
            <w:r>
              <w:rPr>
                <w:rFonts w:ascii="Arial" w:cs="Arial" w:eastAsia="Arial" w:hAnsi="Arial"/>
                <w:b w:val="false"/>
                <w:bCs w:val="false"/>
                <w:color w:val="333333"/>
                <w:sz w:val="20"/>
                <w:szCs w:val="20"/>
              </w:rPr>
              <w:t xml:space="preserve">Preliminary</w:t>
            </w:r>
          </w:p>
        </w:tc>
      </w:tr>
    </w:tbl>
    <w:p>
      <w:pPr>
        <w:spacing w:after="120"/>
      </w:pPr>
    </w:p>
    <w:p>
      <w:pPr>
        <w:pStyle w:val="Heading2"/>
        <w:spacing w:after="120" w:before="240"/>
      </w:pPr>
      <w:r>
        <w:rPr>
          <w:rFonts w:ascii="Arial" w:cs="Arial" w:eastAsia="Arial" w:hAnsi="Arial"/>
          <w:b/>
          <w:bCs/>
          <w:color w:val="333333"/>
          <w:sz w:val="26"/>
          <w:szCs w:val="26"/>
        </w:rPr>
        <w:t xml:space="preserve">Clinical Trials</w:t>
      </w:r>
    </w:p>
    <w:p>
      <w:pPr>
        <w:spacing w:after="120" w:line="300"/>
      </w:pPr>
      <w:r>
        <w:rPr>
          <w:rFonts w:ascii="Arial" w:cs="Arial" w:eastAsia="Arial" w:hAnsi="Arial"/>
          <w:b/>
          <w:bCs/>
          <w:sz w:val="22"/>
          <w:szCs w:val="22"/>
        </w:rPr>
        <w:t xml:space="preserve">Human Clinical Trials for Terpinolene Alone:</w:t>
      </w:r>
      <w:r>
        <w:rPr>
          <w:rFonts w:ascii="Arial" w:cs="Arial" w:eastAsia="Arial" w:hAnsi="Arial"/>
          <w:sz w:val="22"/>
          <w:szCs w:val="22"/>
        </w:rPr>
        <w:t xml:space="preserve"> </w:t>
      </w:r>
      <w:r>
        <w:rPr>
          <w:rFonts w:ascii="Arial" w:cs="Arial" w:eastAsia="Arial" w:hAnsi="Arial"/>
          <w:b/>
          <w:bCs/>
          <w:sz w:val="22"/>
          <w:szCs w:val="22"/>
        </w:rPr>
        <w:t xml:space="preserve">None identified</w:t>
      </w:r>
    </w:p>
    <w:p>
      <w:pPr>
        <w:spacing w:after="120" w:line="300"/>
      </w:pPr>
      <w:r>
        <w:rPr>
          <w:rFonts w:ascii="Arial" w:cs="Arial" w:eastAsia="Arial" w:hAnsi="Arial"/>
          <w:b/>
          <w:bCs/>
          <w:sz w:val="22"/>
          <w:szCs w:val="22"/>
        </w:rPr>
        <w:t xml:space="preserve">Cannabis Strain Clinical Trials Containing Terpinolene:</w:t>
      </w:r>
      <w:r>
        <w:rPr>
          <w:rFonts w:ascii="Arial" w:cs="Arial" w:eastAsia="Arial" w:hAnsi="Arial"/>
          <w:sz w:val="22"/>
          <w:szCs w:val="22"/>
        </w:rPr>
        <w:t xml:space="preserve"> Limited; most cannabis clinical research focuses on CBD and THC, with terpene profiling as secondary data.</w:t>
      </w:r>
    </w:p>
    <w:p>
      <w:pPr>
        <w:pStyle w:val="Heading2"/>
        <w:spacing w:after="120" w:before="240"/>
      </w:pPr>
      <w:r>
        <w:rPr>
          <w:rFonts w:ascii="Arial" w:cs="Arial" w:eastAsia="Arial" w:hAnsi="Arial"/>
          <w:b/>
          <w:bCs/>
          <w:color w:val="333333"/>
          <w:sz w:val="26"/>
          <w:szCs w:val="26"/>
        </w:rPr>
        <w:t xml:space="preserve">The Research Gap</w:t>
      </w:r>
    </w:p>
    <w:p>
      <w:pPr>
        <w:spacing w:after="120" w:line="300"/>
      </w:pPr>
      <w:r>
        <w:rPr>
          <w:rFonts w:ascii="Arial" w:cs="Arial" w:eastAsia="Arial" w:hAnsi="Arial"/>
          <w:sz w:val="22"/>
          <w:szCs w:val="22"/>
        </w:rPr>
        <w:t xml:space="preserve">Key limitations in current terpinolene evidence:</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No human studies</w:t>
      </w:r>
      <w:r>
        <w:rPr>
          <w:rFonts w:ascii="Arial" w:cs="Arial" w:eastAsia="Arial" w:hAnsi="Arial"/>
          <w:sz w:val="22"/>
          <w:szCs w:val="22"/>
        </w:rPr>
        <w:t xml:space="preserve"> of isolated terpinolene or terpinolene-enriched preparations</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Small animal studies</w:t>
      </w:r>
      <w:r>
        <w:rPr>
          <w:rFonts w:ascii="Arial" w:cs="Arial" w:eastAsia="Arial" w:hAnsi="Arial"/>
          <w:sz w:val="22"/>
          <w:szCs w:val="22"/>
        </w:rPr>
        <w:t xml:space="preserve"> (typically n = 5–12 mice per group)</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In vitro cell line work</w:t>
      </w:r>
      <w:r>
        <w:rPr>
          <w:rFonts w:ascii="Arial" w:cs="Arial" w:eastAsia="Arial" w:hAnsi="Arial"/>
          <w:sz w:val="22"/>
          <w:szCs w:val="22"/>
        </w:rPr>
        <w:t xml:space="preserve"> does not reliably predict in vivo efficacy or toxicity</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Lack of pharmacokinetic data</w:t>
      </w:r>
      <w:r>
        <w:rPr>
          <w:rFonts w:ascii="Arial" w:cs="Arial" w:eastAsia="Arial" w:hAnsi="Arial"/>
          <w:sz w:val="22"/>
          <w:szCs w:val="22"/>
        </w:rPr>
        <w:t xml:space="preserve"> (absorption, distribution, metabolism, excretion) in humans</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No comparison of inhalation vs. ingestion vs. topical</w:t>
      </w:r>
      <w:r>
        <w:rPr>
          <w:rFonts w:ascii="Arial" w:cs="Arial" w:eastAsia="Arial" w:hAnsi="Arial"/>
          <w:sz w:val="22"/>
          <w:szCs w:val="22"/>
        </w:rPr>
        <w:t xml:space="preserve"> delivery in controlled trials</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No cannabis entourage effect studies</w:t>
      </w:r>
      <w:r>
        <w:rPr>
          <w:rFonts w:ascii="Arial" w:cs="Arial" w:eastAsia="Arial" w:hAnsi="Arial"/>
          <w:sz w:val="22"/>
          <w:szCs w:val="22"/>
        </w:rPr>
        <w:t xml:space="preserve"> specifically examining terpinolene's modulatory role</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Limited long-term safety data</w:t>
      </w:r>
      <w:r>
        <w:rPr>
          <w:rFonts w:ascii="Arial" w:cs="Arial" w:eastAsia="Arial" w:hAnsi="Arial"/>
          <w:sz w:val="22"/>
          <w:szCs w:val="22"/>
        </w:rPr>
        <w:t xml:space="preserve"> in animal models; no chronic toxicity studies</w:t>
      </w:r>
    </w:p>
    <w:p>
      <w:pPr>
        <w:spacing w:before="200"/>
      </w:pPr>
      <w:r>
        <w:drawing>
          <wp:inline distT="0" distB="0" distL="0" distR="0">
            <wp:extent cx="6191250" cy="47625"/>
            <wp:effectExtent t="0" r="0" b="0" l="0"/>
            <wp:docPr id="1" name="divider" descr="Section divider" title="div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47625"/>
                    </a:xfrm>
                    <a:prstGeom prst="rect">
                      <a:avLst/>
                    </a:prstGeom>
                  </pic:spPr>
                </pic:pic>
              </a:graphicData>
            </a:graphic>
          </wp:inline>
        </w:drawing>
      </w:r>
    </w:p>
    <w:p>
      <w:pPr>
        <w:pStyle w:val="Heading1"/>
        <w:spacing w:after="200" w:before="360"/>
      </w:pPr>
      <w:r>
        <w:rPr>
          <w:rFonts w:ascii="Arial" w:cs="Arial" w:eastAsia="Arial" w:hAnsi="Arial"/>
          <w:b/>
          <w:bCs/>
          <w:color w:val="00695C"/>
          <w:sz w:val="30"/>
          <w:szCs w:val="30"/>
        </w:rPr>
        <w:t xml:space="preserve">Cross-Botanical Sources</w:t>
      </w:r>
    </w:p>
    <w:p>
      <w:pPr>
        <w:spacing w:after="120" w:line="300"/>
      </w:pPr>
      <w:r>
        <w:rPr>
          <w:rFonts w:ascii="Arial" w:cs="Arial" w:eastAsia="Arial" w:hAnsi="Arial"/>
          <w:sz w:val="22"/>
          <w:szCs w:val="22"/>
        </w:rPr>
        <w:t xml:space="preserve">Terpinolene is widely distributed across botanicals, with dramatic variation in concentration depending on plant species, chemotype, geographic origin, and growing conditions.</w:t>
      </w:r>
    </w:p>
    <w:p>
      <w:pPr>
        <w:pStyle w:val="Heading2"/>
        <w:spacing w:after="120" w:before="240"/>
      </w:pPr>
      <w:r>
        <w:rPr>
          <w:rFonts w:ascii="Arial" w:cs="Arial" w:eastAsia="Arial" w:hAnsi="Arial"/>
          <w:b/>
          <w:bCs/>
          <w:color w:val="333333"/>
          <w:sz w:val="26"/>
          <w:szCs w:val="26"/>
        </w:rPr>
        <w:t xml:space="preserve">High-Concentration Sources</w:t>
      </w:r>
    </w:p>
    <w:p>
      <w:pPr>
        <w:spacing w:after="100" w:before="200"/>
      </w:pPr>
      <w:r>
        <w:rPr>
          <w:rFonts w:ascii="Arial" w:cs="Arial" w:eastAsia="Arial" w:hAnsi="Arial"/>
          <w:b/>
          <w:bCs/>
          <w:color w:val="444444"/>
          <w:sz w:val="24"/>
          <w:szCs w:val="24"/>
        </w:rPr>
        <w:t xml:space="preserve">Parsnip (*Pastinaca sativa*)</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Concentration:</w:t>
      </w:r>
      <w:r>
        <w:rPr>
          <w:rFonts w:ascii="Arial" w:cs="Arial" w:eastAsia="Arial" w:hAnsi="Arial"/>
          <w:sz w:val="22"/>
          <w:szCs w:val="22"/>
        </w:rPr>
        <w:t xml:space="preserve"> 40–69% of essential oil</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Relevance:</w:t>
      </w:r>
      <w:r>
        <w:rPr>
          <w:rFonts w:ascii="Arial" w:cs="Arial" w:eastAsia="Arial" w:hAnsi="Arial"/>
          <w:sz w:val="22"/>
          <w:szCs w:val="22"/>
        </w:rPr>
        <w:t xml:space="preserve"> Among the richest natural sources; parsnip essential oil is ~88% composed of terpinolene and myristicin (another monoterpene)</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Culinary use:</w:t>
      </w:r>
      <w:r>
        <w:rPr>
          <w:rFonts w:ascii="Arial" w:cs="Arial" w:eastAsia="Arial" w:hAnsi="Arial"/>
          <w:sz w:val="22"/>
          <w:szCs w:val="22"/>
        </w:rPr>
        <w:t xml:space="preserve"> Root vegetable; volatile oil most abundant in seeds and flowers</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Pre-loading applicability:</w:t>
      </w:r>
      <w:r>
        <w:rPr>
          <w:rFonts w:ascii="Arial" w:cs="Arial" w:eastAsia="Arial" w:hAnsi="Arial"/>
          <w:sz w:val="22"/>
          <w:szCs w:val="22"/>
        </w:rPr>
        <w:t xml:space="preserve"> HIGH—parsnip oil could serve as a botanical pre-loading vehicle, though sensory profile (herbal, warm spice) differs from cannabis</w:t>
      </w:r>
    </w:p>
    <w:p>
      <w:pPr>
        <w:spacing w:after="100" w:before="200"/>
      </w:pPr>
      <w:r>
        <w:rPr>
          <w:rFonts w:ascii="Arial" w:cs="Arial" w:eastAsia="Arial" w:hAnsi="Arial"/>
          <w:b/>
          <w:bCs/>
          <w:color w:val="444444"/>
          <w:sz w:val="24"/>
          <w:szCs w:val="24"/>
        </w:rPr>
        <w:t xml:space="preserve">Tea Tree Oil (*Melaleuca alternifolia*)</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Standard Concentration:</w:t>
      </w:r>
      <w:r>
        <w:rPr>
          <w:rFonts w:ascii="Arial" w:cs="Arial" w:eastAsia="Arial" w:hAnsi="Arial"/>
          <w:sz w:val="22"/>
          <w:szCs w:val="22"/>
        </w:rPr>
        <w:t xml:space="preserve"> 0–5% (typically &lt;5%) in conventional terpinen-4-ol chemotype</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Terpinolene Chemotype:</w:t>
      </w:r>
      <w:r>
        <w:rPr>
          <w:rFonts w:ascii="Arial" w:cs="Arial" w:eastAsia="Arial" w:hAnsi="Arial"/>
          <w:sz w:val="22"/>
          <w:szCs w:val="22"/>
        </w:rPr>
        <w:t xml:space="preserve"> Up to 30–40% in specialized terpinolene-type M. alternifolia cultivars</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ISO 4730 Standard:</w:t>
      </w:r>
      <w:r>
        <w:rPr>
          <w:rFonts w:ascii="Arial" w:cs="Arial" w:eastAsia="Arial" w:hAnsi="Arial"/>
          <w:sz w:val="22"/>
          <w:szCs w:val="22"/>
        </w:rPr>
        <w:t xml:space="preserve"> Terpinolene + p-cymene + α-terpineol + α-pinene collectively comprise ~15% of standard tea tree oil</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Distribution:</w:t>
      </w:r>
      <w:r>
        <w:rPr>
          <w:rFonts w:ascii="Arial" w:cs="Arial" w:eastAsia="Arial" w:hAnsi="Arial"/>
          <w:sz w:val="22"/>
          <w:szCs w:val="22"/>
        </w:rPr>
        <w:t xml:space="preserve"> Terpinolene-type tea trees are less common commercially; most tea tree oil is terpinen-4-ol chemotype</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Pre-loading applicability:</w:t>
      </w:r>
      <w:r>
        <w:rPr>
          <w:rFonts w:ascii="Arial" w:cs="Arial" w:eastAsia="Arial" w:hAnsi="Arial"/>
          <w:sz w:val="22"/>
          <w:szCs w:val="22"/>
        </w:rPr>
        <w:t xml:space="preserve"> VERY HIGH—both chemotypes provide accessible terpinolene dosing; terpinolene-type varieties offer enhanced potency; traditional Aboriginal medicine context aligns with pre-loading philosophy</w:t>
      </w:r>
    </w:p>
    <w:p>
      <w:pPr>
        <w:pStyle w:val="Heading2"/>
        <w:spacing w:after="120" w:before="240"/>
      </w:pPr>
      <w:r>
        <w:rPr>
          <w:rFonts w:ascii="Arial" w:cs="Arial" w:eastAsia="Arial" w:hAnsi="Arial"/>
          <w:b/>
          <w:bCs/>
          <w:color w:val="333333"/>
          <w:sz w:val="26"/>
          <w:szCs w:val="26"/>
        </w:rPr>
        <w:t xml:space="preserve">Moderate-to-Significant Sources</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0695C" w:val="clear"/>
            <w:tcMar>
              <w:top w:type="dxa" w:w="60"/>
              <w:left w:type="dxa" w:w="100"/>
              <w:bottom w:type="dxa" w:w="60"/>
              <w:right w:type="dxa" w:w="100"/>
            </w:tcMar>
          </w:tcPr>
          <w:p>
            <w:r>
              <w:rPr>
                <w:rFonts w:ascii="Arial" w:cs="Arial" w:eastAsia="Arial" w:hAnsi="Arial"/>
                <w:b/>
                <w:bCs/>
                <w:color w:val="FFFFFF"/>
                <w:sz w:val="20"/>
                <w:szCs w:val="20"/>
              </w:rPr>
              <w:t xml:space="preserve">Botanical</w:t>
            </w:r>
          </w:p>
        </w:tc>
        <w:tc>
          <w:tcPr>
            <w:tcW w:type="dxa" w:w="3120"/>
            <w:tcBorders>
              <w:top w:val="single" w:color="CCCCCC" w:sz="1"/>
              <w:left w:val="single" w:color="CCCCCC" w:sz="1"/>
              <w:bottom w:val="single" w:color="CCCCCC" w:sz="1"/>
              <w:right w:val="single" w:color="CCCCCC" w:sz="1"/>
            </w:tcBorders>
            <w:shd w:fill="00695C" w:val="clear"/>
            <w:tcMar>
              <w:top w:type="dxa" w:w="60"/>
              <w:left w:type="dxa" w:w="100"/>
              <w:bottom w:type="dxa" w:w="60"/>
              <w:right w:type="dxa" w:w="100"/>
            </w:tcMar>
          </w:tcPr>
          <w:p>
            <w:r>
              <w:rPr>
                <w:rFonts w:ascii="Arial" w:cs="Arial" w:eastAsia="Arial" w:hAnsi="Arial"/>
                <w:b/>
                <w:bCs/>
                <w:color w:val="FFFFFF"/>
                <w:sz w:val="20"/>
                <w:szCs w:val="20"/>
              </w:rPr>
              <w:t xml:space="preserve">Concentration</w:t>
            </w:r>
          </w:p>
        </w:tc>
        <w:tc>
          <w:tcPr>
            <w:tcW w:type="dxa" w:w="3120"/>
            <w:tcBorders>
              <w:top w:val="single" w:color="CCCCCC" w:sz="1"/>
              <w:left w:val="single" w:color="CCCCCC" w:sz="1"/>
              <w:bottom w:val="single" w:color="CCCCCC" w:sz="1"/>
              <w:right w:val="single" w:color="CCCCCC" w:sz="1"/>
            </w:tcBorders>
            <w:shd w:fill="00695C"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Nutmeg (*Myristica fragrans*)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2–10%</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Spice; warm, clove-like aroma dominant</w:t>
            </w:r>
          </w:p>
        </w:tc>
      </w:tr>
      <w:tr>
        <w:tc>
          <w:tcPr>
            <w:tcW w:type="dxa" w:w="3120"/>
            <w:tcBorders>
              <w:top w:val="single" w:color="CCCCCC" w:sz="1"/>
              <w:left w:val="single" w:color="CCCCCC" w:sz="1"/>
              <w:bottom w:val="single" w:color="CCCCCC" w:sz="1"/>
              <w:right w:val="single" w:color="CCCCCC" w:sz="1"/>
            </w:tcBorders>
            <w:shd w:fill="E0F2F1" w:val="clear"/>
            <w:tcMar>
              <w:top w:type="dxa" w:w="60"/>
              <w:left w:type="dxa" w:w="100"/>
              <w:bottom w:type="dxa" w:w="60"/>
              <w:right w:type="dxa" w:w="100"/>
            </w:tcMar>
          </w:tcPr>
          <w:p>
            <w:r>
              <w:rPr>
                <w:rFonts w:ascii="Arial" w:cs="Arial" w:eastAsia="Arial" w:hAnsi="Arial"/>
                <w:b w:val="false"/>
                <w:bCs w:val="false"/>
                <w:color w:val="333333"/>
                <w:sz w:val="20"/>
                <w:szCs w:val="20"/>
              </w:rPr>
              <w:t xml:space="preserve">Cumin (*Cuminum cyminum*)</w:t>
            </w:r>
          </w:p>
        </w:tc>
        <w:tc>
          <w:tcPr>
            <w:tcW w:type="dxa" w:w="3120"/>
            <w:tcBorders>
              <w:top w:val="single" w:color="CCCCCC" w:sz="1"/>
              <w:left w:val="single" w:color="CCCCCC" w:sz="1"/>
              <w:bottom w:val="single" w:color="CCCCCC" w:sz="1"/>
              <w:right w:val="single" w:color="CCCCCC" w:sz="1"/>
            </w:tcBorders>
            <w:shd w:fill="E0F2F1" w:val="clear"/>
            <w:tcMar>
              <w:top w:type="dxa" w:w="60"/>
              <w:left w:type="dxa" w:w="100"/>
              <w:bottom w:type="dxa" w:w="60"/>
              <w:right w:type="dxa" w:w="100"/>
            </w:tcMar>
          </w:tcPr>
          <w:p>
            <w:r>
              <w:rPr>
                <w:rFonts w:ascii="Arial" w:cs="Arial" w:eastAsia="Arial" w:hAnsi="Arial"/>
                <w:b w:val="false"/>
                <w:bCs w:val="false"/>
                <w:color w:val="333333"/>
                <w:sz w:val="20"/>
                <w:szCs w:val="20"/>
              </w:rPr>
              <w:t xml:space="preserve">1–5%</w:t>
            </w:r>
          </w:p>
        </w:tc>
        <w:tc>
          <w:tcPr>
            <w:tcW w:type="dxa" w:w="3120"/>
            <w:tcBorders>
              <w:top w:val="single" w:color="CCCCCC" w:sz="1"/>
              <w:left w:val="single" w:color="CCCCCC" w:sz="1"/>
              <w:bottom w:val="single" w:color="CCCCCC" w:sz="1"/>
              <w:right w:val="single" w:color="CCCCCC" w:sz="1"/>
            </w:tcBorders>
            <w:shd w:fill="E0F2F1" w:val="clear"/>
            <w:tcMar>
              <w:top w:type="dxa" w:w="60"/>
              <w:left w:type="dxa" w:w="100"/>
              <w:bottom w:type="dxa" w:w="60"/>
              <w:right w:type="dxa" w:w="100"/>
            </w:tcMar>
          </w:tcPr>
          <w:p>
            <w:r>
              <w:rPr>
                <w:rFonts w:ascii="Arial" w:cs="Arial" w:eastAsia="Arial" w:hAnsi="Arial"/>
                <w:b w:val="false"/>
                <w:bCs w:val="false"/>
                <w:color w:val="333333"/>
                <w:sz w:val="20"/>
                <w:szCs w:val="20"/>
              </w:rPr>
              <w:t xml:space="preserve">Spice; earthy, warm secondary volatile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Allspice (*Pimenta officinalis*)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1–3%</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Spice; clove/nutmeg-like dominant notes</w:t>
            </w:r>
          </w:p>
        </w:tc>
      </w:tr>
      <w:tr>
        <w:tc>
          <w:tcPr>
            <w:tcW w:type="dxa" w:w="3120"/>
            <w:tcBorders>
              <w:top w:val="single" w:color="CCCCCC" w:sz="1"/>
              <w:left w:val="single" w:color="CCCCCC" w:sz="1"/>
              <w:bottom w:val="single" w:color="CCCCCC" w:sz="1"/>
              <w:right w:val="single" w:color="CCCCCC" w:sz="1"/>
            </w:tcBorders>
            <w:shd w:fill="E0F2F1" w:val="clear"/>
            <w:tcMar>
              <w:top w:type="dxa" w:w="60"/>
              <w:left w:type="dxa" w:w="100"/>
              <w:bottom w:type="dxa" w:w="60"/>
              <w:right w:type="dxa" w:w="100"/>
            </w:tcMar>
          </w:tcPr>
          <w:p>
            <w:r>
              <w:rPr>
                <w:rFonts w:ascii="Arial" w:cs="Arial" w:eastAsia="Arial" w:hAnsi="Arial"/>
                <w:b w:val="false"/>
                <w:bCs w:val="false"/>
                <w:color w:val="333333"/>
                <w:sz w:val="20"/>
                <w:szCs w:val="20"/>
              </w:rPr>
              <w:t xml:space="preserve">Rosemary (*Rosmarinus officinalis*)</w:t>
            </w:r>
          </w:p>
        </w:tc>
        <w:tc>
          <w:tcPr>
            <w:tcW w:type="dxa" w:w="3120"/>
            <w:tcBorders>
              <w:top w:val="single" w:color="CCCCCC" w:sz="1"/>
              <w:left w:val="single" w:color="CCCCCC" w:sz="1"/>
              <w:bottom w:val="single" w:color="CCCCCC" w:sz="1"/>
              <w:right w:val="single" w:color="CCCCCC" w:sz="1"/>
            </w:tcBorders>
            <w:shd w:fill="E0F2F1" w:val="clear"/>
            <w:tcMar>
              <w:top w:type="dxa" w:w="60"/>
              <w:left w:type="dxa" w:w="100"/>
              <w:bottom w:type="dxa" w:w="60"/>
              <w:right w:type="dxa" w:w="100"/>
            </w:tcMar>
          </w:tcPr>
          <w:p>
            <w:r>
              <w:rPr>
                <w:rFonts w:ascii="Arial" w:cs="Arial" w:eastAsia="Arial" w:hAnsi="Arial"/>
                <w:b w:val="false"/>
                <w:bCs w:val="false"/>
                <w:color w:val="333333"/>
                <w:sz w:val="20"/>
                <w:szCs w:val="20"/>
              </w:rPr>
              <w:t xml:space="preserve">0.1–0.5%</w:t>
            </w:r>
          </w:p>
        </w:tc>
        <w:tc>
          <w:tcPr>
            <w:tcW w:type="dxa" w:w="3120"/>
            <w:tcBorders>
              <w:top w:val="single" w:color="CCCCCC" w:sz="1"/>
              <w:left w:val="single" w:color="CCCCCC" w:sz="1"/>
              <w:bottom w:val="single" w:color="CCCCCC" w:sz="1"/>
              <w:right w:val="single" w:color="CCCCCC" w:sz="1"/>
            </w:tcBorders>
            <w:shd w:fill="E0F2F1" w:val="clear"/>
            <w:tcMar>
              <w:top w:type="dxa" w:w="60"/>
              <w:left w:type="dxa" w:w="100"/>
              <w:bottom w:type="dxa" w:w="60"/>
              <w:right w:type="dxa" w:w="100"/>
            </w:tcMar>
          </w:tcPr>
          <w:p>
            <w:r>
              <w:rPr>
                <w:rFonts w:ascii="Arial" w:cs="Arial" w:eastAsia="Arial" w:hAnsi="Arial"/>
                <w:b w:val="false"/>
                <w:bCs w:val="false"/>
                <w:color w:val="333333"/>
                <w:sz w:val="20"/>
                <w:szCs w:val="20"/>
              </w:rPr>
              <w:t xml:space="preserve">Essential oil; minor constituent</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Juniper (*Juniperus communis*)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1–5%</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Berries (gin flavoring); minor terpene</w:t>
            </w:r>
          </w:p>
        </w:tc>
      </w:tr>
      <w:tr>
        <w:tc>
          <w:tcPr>
            <w:tcW w:type="dxa" w:w="3120"/>
            <w:tcBorders>
              <w:top w:val="single" w:color="CCCCCC" w:sz="1"/>
              <w:left w:val="single" w:color="CCCCCC" w:sz="1"/>
              <w:bottom w:val="single" w:color="CCCCCC" w:sz="1"/>
              <w:right w:val="single" w:color="CCCCCC" w:sz="1"/>
            </w:tcBorders>
            <w:shd w:fill="E0F2F1" w:val="clear"/>
            <w:tcMar>
              <w:top w:type="dxa" w:w="60"/>
              <w:left w:type="dxa" w:w="100"/>
              <w:bottom w:type="dxa" w:w="60"/>
              <w:right w:type="dxa" w:w="100"/>
            </w:tcMar>
          </w:tcPr>
          <w:p>
            <w:r>
              <w:rPr>
                <w:rFonts w:ascii="Arial" w:cs="Arial" w:eastAsia="Arial" w:hAnsi="Arial"/>
                <w:b w:val="false"/>
                <w:bCs w:val="false"/>
                <w:color w:val="333333"/>
                <w:sz w:val="20"/>
                <w:szCs w:val="20"/>
              </w:rPr>
              <w:t xml:space="preserve">Pine (*Pinus spp.*)</w:t>
            </w:r>
          </w:p>
        </w:tc>
        <w:tc>
          <w:tcPr>
            <w:tcW w:type="dxa" w:w="3120"/>
            <w:tcBorders>
              <w:top w:val="single" w:color="CCCCCC" w:sz="1"/>
              <w:left w:val="single" w:color="CCCCCC" w:sz="1"/>
              <w:bottom w:val="single" w:color="CCCCCC" w:sz="1"/>
              <w:right w:val="single" w:color="CCCCCC" w:sz="1"/>
            </w:tcBorders>
            <w:shd w:fill="E0F2F1" w:val="clear"/>
            <w:tcMar>
              <w:top w:type="dxa" w:w="60"/>
              <w:left w:type="dxa" w:w="100"/>
              <w:bottom w:type="dxa" w:w="60"/>
              <w:right w:type="dxa" w:w="100"/>
            </w:tcMar>
          </w:tcPr>
          <w:p>
            <w:r>
              <w:rPr>
                <w:rFonts w:ascii="Arial" w:cs="Arial" w:eastAsia="Arial" w:hAnsi="Arial"/>
                <w:b w:val="false"/>
                <w:bCs w:val="false"/>
                <w:color w:val="333333"/>
                <w:sz w:val="20"/>
                <w:szCs w:val="20"/>
              </w:rPr>
              <w:t xml:space="preserve">Trace to 2%</w:t>
            </w:r>
          </w:p>
        </w:tc>
        <w:tc>
          <w:tcPr>
            <w:tcW w:type="dxa" w:w="3120"/>
            <w:tcBorders>
              <w:top w:val="single" w:color="CCCCCC" w:sz="1"/>
              <w:left w:val="single" w:color="CCCCCC" w:sz="1"/>
              <w:bottom w:val="single" w:color="CCCCCC" w:sz="1"/>
              <w:right w:val="single" w:color="CCCCCC" w:sz="1"/>
            </w:tcBorders>
            <w:shd w:fill="E0F2F1" w:val="clear"/>
            <w:tcMar>
              <w:top w:type="dxa" w:w="60"/>
              <w:left w:type="dxa" w:w="100"/>
              <w:bottom w:type="dxa" w:w="60"/>
              <w:right w:type="dxa" w:w="100"/>
            </w:tcMar>
          </w:tcPr>
          <w:p>
            <w:r>
              <w:rPr>
                <w:rFonts w:ascii="Arial" w:cs="Arial" w:eastAsia="Arial" w:hAnsi="Arial"/>
                <w:b w:val="false"/>
                <w:bCs w:val="false"/>
                <w:color w:val="333333"/>
                <w:sz w:val="20"/>
                <w:szCs w:val="20"/>
              </w:rPr>
              <w:t xml:space="preserve">Essential oils; minor in most species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Lilac (*Syringa vulgaris*)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Trace to 1%</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Floral; volatile profile poorly characterized</w:t>
            </w:r>
          </w:p>
        </w:tc>
      </w:tr>
      <w:tr>
        <w:tc>
          <w:tcPr>
            <w:tcW w:type="dxa" w:w="3120"/>
            <w:tcBorders>
              <w:top w:val="single" w:color="CCCCCC" w:sz="1"/>
              <w:left w:val="single" w:color="CCCCCC" w:sz="1"/>
              <w:bottom w:val="single" w:color="CCCCCC" w:sz="1"/>
              <w:right w:val="single" w:color="CCCCCC" w:sz="1"/>
            </w:tcBorders>
            <w:shd w:fill="E0F2F1" w:val="clear"/>
            <w:tcMar>
              <w:top w:type="dxa" w:w="60"/>
              <w:left w:type="dxa" w:w="100"/>
              <w:bottom w:type="dxa" w:w="60"/>
              <w:right w:type="dxa" w:w="100"/>
            </w:tcMar>
          </w:tcPr>
          <w:p>
            <w:r>
              <w:rPr>
                <w:rFonts w:ascii="Arial" w:cs="Arial" w:eastAsia="Arial" w:hAnsi="Arial"/>
                <w:b w:val="false"/>
                <w:bCs w:val="false"/>
                <w:color w:val="333333"/>
                <w:sz w:val="20"/>
                <w:szCs w:val="20"/>
              </w:rPr>
              <w:t xml:space="preserve">Eucalyptus (*Eucalyptus globulus*)</w:t>
            </w:r>
          </w:p>
        </w:tc>
        <w:tc>
          <w:tcPr>
            <w:tcW w:type="dxa" w:w="3120"/>
            <w:tcBorders>
              <w:top w:val="single" w:color="CCCCCC" w:sz="1"/>
              <w:left w:val="single" w:color="CCCCCC" w:sz="1"/>
              <w:bottom w:val="single" w:color="CCCCCC" w:sz="1"/>
              <w:right w:val="single" w:color="CCCCCC" w:sz="1"/>
            </w:tcBorders>
            <w:shd w:fill="E0F2F1" w:val="clear"/>
            <w:tcMar>
              <w:top w:type="dxa" w:w="60"/>
              <w:left w:type="dxa" w:w="100"/>
              <w:bottom w:type="dxa" w:w="60"/>
              <w:right w:type="dxa" w:w="100"/>
            </w:tcMar>
          </w:tcPr>
          <w:p>
            <w:r>
              <w:rPr>
                <w:rFonts w:ascii="Arial" w:cs="Arial" w:eastAsia="Arial" w:hAnsi="Arial"/>
                <w:b w:val="false"/>
                <w:bCs w:val="false"/>
                <w:color w:val="333333"/>
                <w:sz w:val="20"/>
                <w:szCs w:val="20"/>
              </w:rPr>
              <w:t xml:space="preserve">Trace</w:t>
            </w:r>
          </w:p>
        </w:tc>
        <w:tc>
          <w:tcPr>
            <w:tcW w:type="dxa" w:w="3120"/>
            <w:tcBorders>
              <w:top w:val="single" w:color="CCCCCC" w:sz="1"/>
              <w:left w:val="single" w:color="CCCCCC" w:sz="1"/>
              <w:bottom w:val="single" w:color="CCCCCC" w:sz="1"/>
              <w:right w:val="single" w:color="CCCCCC" w:sz="1"/>
            </w:tcBorders>
            <w:shd w:fill="E0F2F1" w:val="clear"/>
            <w:tcMar>
              <w:top w:type="dxa" w:w="60"/>
              <w:left w:type="dxa" w:w="100"/>
              <w:bottom w:type="dxa" w:w="60"/>
              <w:right w:type="dxa" w:w="100"/>
            </w:tcMar>
          </w:tcPr>
          <w:p>
            <w:r>
              <w:rPr>
                <w:rFonts w:ascii="Arial" w:cs="Arial" w:eastAsia="Arial" w:hAnsi="Arial"/>
                <w:b w:val="false"/>
                <w:bCs w:val="false"/>
                <w:color w:val="333333"/>
                <w:sz w:val="20"/>
                <w:szCs w:val="20"/>
              </w:rPr>
              <w:t xml:space="preserve">Minor; dominated by 1,8-cineole (55%)</w:t>
            </w:r>
          </w:p>
        </w:tc>
      </w:tr>
    </w:tbl>
    <w:p>
      <w:pPr>
        <w:spacing w:after="120"/>
      </w:pPr>
    </w:p>
    <w:p>
      <w:pPr>
        <w:pStyle w:val="Heading2"/>
        <w:spacing w:after="120" w:before="240"/>
      </w:pPr>
      <w:r>
        <w:rPr>
          <w:rFonts w:ascii="Arial" w:cs="Arial" w:eastAsia="Arial" w:hAnsi="Arial"/>
          <w:b/>
          <w:bCs/>
          <w:color w:val="333333"/>
          <w:sz w:val="26"/>
          <w:szCs w:val="26"/>
        </w:rPr>
        <w:t xml:space="preserve">Apple Sources</w:t>
      </w:r>
    </w:p>
    <w:p>
      <w:pPr>
        <w:spacing w:after="120" w:line="300"/>
      </w:pPr>
      <w:r>
        <w:rPr>
          <w:rFonts w:ascii="Arial" w:cs="Arial" w:eastAsia="Arial" w:hAnsi="Arial"/>
          <w:b/>
          <w:bCs/>
          <w:sz w:val="22"/>
          <w:szCs w:val="22"/>
        </w:rPr>
        <w:t xml:space="preserve">Apples (*Malus domestica*) &amp; McIntosh Variety:</w:t>
      </w:r>
    </w:p>
    <w:p>
      <w:pPr>
        <w:spacing w:after="120" w:line="300"/>
      </w:pPr>
      <w:r>
        <w:rPr>
          <w:rFonts w:ascii="Arial" w:cs="Arial" w:eastAsia="Arial" w:hAnsi="Arial"/>
          <w:sz w:val="22"/>
          <w:szCs w:val="22"/>
        </w:rPr>
        <w:t xml:space="preserve">While apples are cited as terpinolene sources in multiple cannabis education resources, </w:t>
      </w:r>
      <w:r>
        <w:rPr>
          <w:rFonts w:ascii="Arial" w:cs="Arial" w:eastAsia="Arial" w:hAnsi="Arial"/>
          <w:b/>
          <w:bCs/>
          <w:sz w:val="22"/>
          <w:szCs w:val="22"/>
        </w:rPr>
        <w:t xml:space="preserve">specific terpinolene concentration data in apples—including McIntosh variety—is not available in peer-reviewed literature</w:t>
      </w:r>
      <w:r>
        <w:rPr>
          <w:rFonts w:ascii="Arial" w:cs="Arial" w:eastAsia="Arial" w:hAnsi="Arial"/>
          <w:sz w:val="22"/>
          <w:szCs w:val="22"/>
        </w:rPr>
        <w:t xml:space="preserve">. This represents a common "citation cascade" in cannabis literature where sourcing lacks empirical support.</w:t>
      </w:r>
    </w:p>
    <w:p>
      <w:pPr>
        <w:spacing w:after="120" w:line="300"/>
      </w:pPr>
      <w:r>
        <w:rPr>
          <w:rFonts w:ascii="Arial" w:cs="Arial" w:eastAsia="Arial" w:hAnsi="Arial"/>
          <w:b/>
          <w:bCs/>
          <w:sz w:val="22"/>
          <w:szCs w:val="22"/>
        </w:rPr>
        <w:t xml:space="preserve">What is known about McIntosh apples:</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Aromatic, emitting a honeyed, fruity, and spice-filled fragrance</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Flavor profile: Sweet-tart with "old-fashioned apple cider" character</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Botanical classification: *Malus domestica*, Rosaceae family</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Culinary use: Baking, applesauce, cider production</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Some sources note "floral aromatics" in cider, which could be terpene-derived, but without chromatographic analysis, terpinolene presence is speculative</w:t>
      </w:r>
    </w:p>
    <w:p>
      <w:pPr>
        <w:spacing w:after="120" w:line="300"/>
      </w:pPr>
      <w:r>
        <w:rPr>
          <w:rFonts w:ascii="Arial" w:cs="Arial" w:eastAsia="Arial" w:hAnsi="Arial"/>
          <w:b/>
          <w:bCs/>
          <w:sz w:val="22"/>
          <w:szCs w:val="22"/>
        </w:rPr>
        <w:t xml:space="preserve">Implication for Pre-Loading:</w:t>
      </w:r>
      <w:r>
        <w:rPr>
          <w:rFonts w:ascii="Arial" w:cs="Arial" w:eastAsia="Arial" w:hAnsi="Arial"/>
          <w:sz w:val="22"/>
          <w:szCs w:val="22"/>
        </w:rPr>
        <w:t xml:space="preserve"> While apples may contain terpinolene, the concentration likely remains very low (&lt;0.5% if present), making whole-fruit or cider-based pre-loading impractical unless essential oil extracts are used. However, the sensory "freshness" and "citrus notes" reported in apple aroma are consistent with terpinolene's character.</w:t>
      </w:r>
    </w:p>
    <w:p>
      <w:pPr>
        <w:spacing w:before="200"/>
      </w:pPr>
      <w:r>
        <w:drawing>
          <wp:inline distT="0" distB="0" distL="0" distR="0">
            <wp:extent cx="6191250" cy="47625"/>
            <wp:effectExtent t="0" r="0" b="0" l="0"/>
            <wp:docPr id="1" name="divider" descr="Section divider" title="div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47625"/>
                    </a:xfrm>
                    <a:prstGeom prst="rect">
                      <a:avLst/>
                    </a:prstGeom>
                  </pic:spPr>
                </pic:pic>
              </a:graphicData>
            </a:graphic>
          </wp:inline>
        </w:drawing>
      </w:r>
    </w:p>
    <w:p>
      <w:pPr>
        <w:pStyle w:val="Heading1"/>
        <w:spacing w:after="200" w:before="360"/>
      </w:pPr>
      <w:r>
        <w:rPr>
          <w:rFonts w:ascii="Arial" w:cs="Arial" w:eastAsia="Arial" w:hAnsi="Arial"/>
          <w:b/>
          <w:bCs/>
          <w:color w:val="00695C"/>
          <w:sz w:val="30"/>
          <w:szCs w:val="30"/>
        </w:rPr>
        <w:t xml:space="preserve">Molecular Cousins</w:t>
      </w:r>
    </w:p>
    <w:p>
      <w:pPr>
        <w:spacing w:after="120" w:line="300"/>
      </w:pPr>
      <w:r>
        <w:rPr>
          <w:rFonts w:ascii="Arial" w:cs="Arial" w:eastAsia="Arial" w:hAnsi="Arial"/>
          <w:sz w:val="22"/>
          <w:szCs w:val="22"/>
        </w:rPr>
        <w:t xml:space="preserve">Terpinolene belongs to a complex family of structurally related monoterpenes with shared biosynthetic origins and significant chemical interconversions in planta.</w:t>
      </w:r>
    </w:p>
    <w:p>
      <w:pPr>
        <w:pStyle w:val="Heading2"/>
        <w:spacing w:after="120" w:before="240"/>
      </w:pPr>
      <w:r>
        <w:rPr>
          <w:rFonts w:ascii="Arial" w:cs="Arial" w:eastAsia="Arial" w:hAnsi="Arial"/>
          <w:b/>
          <w:bCs/>
          <w:color w:val="333333"/>
          <w:sz w:val="26"/>
          <w:szCs w:val="26"/>
        </w:rPr>
        <w:t xml:space="preserve">The Terpinenes (Isomeric Hydrocarbons)</w:t>
      </w:r>
    </w:p>
    <w:p>
      <w:pPr>
        <w:spacing w:after="120" w:line="300"/>
      </w:pPr>
      <w:r>
        <w:rPr>
          <w:rFonts w:ascii="Arial" w:cs="Arial" w:eastAsia="Arial" w:hAnsi="Arial"/>
          <w:sz w:val="22"/>
          <w:szCs w:val="22"/>
        </w:rPr>
        <w:t xml:space="preserve">All terpinenes share the molecular formula </w:t>
      </w:r>
      <w:r>
        <w:rPr>
          <w:rFonts w:ascii="Arial" w:cs="Arial" w:eastAsia="Arial" w:hAnsi="Arial"/>
          <w:b/>
          <w:bCs/>
          <w:sz w:val="22"/>
          <w:szCs w:val="22"/>
        </w:rPr>
        <w:t xml:space="preserve">C₁₀H₁₆</w:t>
      </w:r>
      <w:r>
        <w:rPr>
          <w:rFonts w:ascii="Arial" w:cs="Arial" w:eastAsia="Arial" w:hAnsi="Arial"/>
          <w:sz w:val="22"/>
          <w:szCs w:val="22"/>
        </w:rPr>
        <w:t xml:space="preserve"> but differ in the </w:t>
      </w:r>
      <w:r>
        <w:rPr>
          <w:rFonts w:ascii="Arial" w:cs="Arial" w:eastAsia="Arial" w:hAnsi="Arial"/>
          <w:b/>
          <w:bCs/>
          <w:sz w:val="22"/>
          <w:szCs w:val="22"/>
        </w:rPr>
        <w:t xml:space="preserve">position of carbon-carbon double bonds</w:t>
      </w:r>
      <w:r>
        <w:rPr>
          <w:rFonts w:ascii="Arial" w:cs="Arial" w:eastAsia="Arial" w:hAnsi="Arial"/>
          <w:sz w:val="22"/>
          <w:szCs w:val="22"/>
        </w:rPr>
        <w:t xml:space="preserve"> within the cyclohexene ring:</w:t>
      </w:r>
    </w:p>
    <w:p>
      <w:pPr>
        <w:spacing w:after="100" w:before="200"/>
      </w:pPr>
      <w:r>
        <w:rPr>
          <w:rFonts w:ascii="Arial" w:cs="Arial" w:eastAsia="Arial" w:hAnsi="Arial"/>
          <w:b/>
          <w:bCs/>
          <w:color w:val="444444"/>
          <w:sz w:val="24"/>
          <w:szCs w:val="24"/>
        </w:rPr>
        <w:t xml:space="preserve">α-Terpinene (CAS 99-86-5)</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Double Bond Positions:</w:t>
      </w:r>
      <w:r>
        <w:rPr>
          <w:rFonts w:ascii="Arial" w:cs="Arial" w:eastAsia="Arial" w:hAnsi="Arial"/>
          <w:sz w:val="22"/>
          <w:szCs w:val="22"/>
        </w:rPr>
        <w:t xml:space="preserve"> 1,3-cyclohexadiene system</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Properties:</w:t>
      </w:r>
      <w:r>
        <w:rPr>
          <w:rFonts w:ascii="Arial" w:cs="Arial" w:eastAsia="Arial" w:hAnsi="Arial"/>
          <w:sz w:val="22"/>
          <w:szCs w:val="22"/>
        </w:rPr>
        <w:t xml:space="preserve"> Colorless liquid; turpentine-like odor</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Sources:</w:t>
      </w:r>
      <w:r>
        <w:rPr>
          <w:rFonts w:ascii="Arial" w:cs="Arial" w:eastAsia="Arial" w:hAnsi="Arial"/>
          <w:sz w:val="22"/>
          <w:szCs w:val="22"/>
        </w:rPr>
        <w:t xml:space="preserve"> Tea tree, conifers, pine</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Antioxidant Activity:</w:t>
      </w:r>
      <w:r>
        <w:rPr>
          <w:rFonts w:ascii="Arial" w:cs="Arial" w:eastAsia="Arial" w:hAnsi="Arial"/>
          <w:sz w:val="22"/>
          <w:szCs w:val="22"/>
        </w:rPr>
        <w:t xml:space="preserve"> Among strongest monoterpene radical scavengers; comparable to terpinolene</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Co-occurrence:</w:t>
      </w:r>
      <w:r>
        <w:rPr>
          <w:rFonts w:ascii="Arial" w:cs="Arial" w:eastAsia="Arial" w:hAnsi="Arial"/>
          <w:sz w:val="22"/>
          <w:szCs w:val="22"/>
        </w:rPr>
        <w:t xml:space="preserve"> Often found alongside terpinolene and γ-terpinene in tea tree and conifer oils</w:t>
      </w:r>
    </w:p>
    <w:p>
      <w:pPr>
        <w:spacing w:after="100" w:before="200"/>
      </w:pPr>
      <w:r>
        <w:rPr>
          <w:rFonts w:ascii="Arial" w:cs="Arial" w:eastAsia="Arial" w:hAnsi="Arial"/>
          <w:b/>
          <w:bCs/>
          <w:color w:val="444444"/>
          <w:sz w:val="24"/>
          <w:szCs w:val="24"/>
        </w:rPr>
        <w:t xml:space="preserve">γ-Terpinene (CAS 99-85-4)</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Double Bond Positions:</w:t>
      </w:r>
      <w:r>
        <w:rPr>
          <w:rFonts w:ascii="Arial" w:cs="Arial" w:eastAsia="Arial" w:hAnsi="Arial"/>
          <w:sz w:val="22"/>
          <w:szCs w:val="22"/>
        </w:rPr>
        <w:t xml:space="preserve"> 1,4-cyclohexadiene system</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Properties:</w:t>
      </w:r>
      <w:r>
        <w:rPr>
          <w:rFonts w:ascii="Arial" w:cs="Arial" w:eastAsia="Arial" w:hAnsi="Arial"/>
          <w:sz w:val="22"/>
          <w:szCs w:val="22"/>
        </w:rPr>
        <w:t xml:space="preserve"> Colorless; spicy, herbal aroma</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Sources:</w:t>
      </w:r>
      <w:r>
        <w:rPr>
          <w:rFonts w:ascii="Arial" w:cs="Arial" w:eastAsia="Arial" w:hAnsi="Arial"/>
          <w:sz w:val="22"/>
          <w:szCs w:val="22"/>
        </w:rPr>
        <w:t xml:space="preserve"> Carvacrol-containing plants, tea tree, thyme, marjoram</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Chemical Reactivity:</w:t>
      </w:r>
      <w:r>
        <w:rPr>
          <w:rFonts w:ascii="Arial" w:cs="Arial" w:eastAsia="Arial" w:hAnsi="Arial"/>
          <w:sz w:val="22"/>
          <w:szCs w:val="22"/>
        </w:rPr>
        <w:t xml:space="preserve"> Rapidly oxidized to </w:t>
      </w:r>
      <w:r>
        <w:rPr>
          <w:rFonts w:ascii="Arial" w:cs="Arial" w:eastAsia="Arial" w:hAnsi="Arial"/>
          <w:b/>
          <w:bCs/>
          <w:sz w:val="22"/>
          <w:szCs w:val="22"/>
        </w:rPr>
        <w:t xml:space="preserve">p-cymene</w:t>
      </w:r>
      <w:r>
        <w:rPr>
          <w:rFonts w:ascii="Arial" w:cs="Arial" w:eastAsia="Arial" w:hAnsi="Arial"/>
          <w:sz w:val="22"/>
          <w:szCs w:val="22"/>
        </w:rPr>
        <w:t xml:space="preserve"> (para-cymene, 4-isopropyltoluene, CAS 99-87-6) under light, heat, and enzymatic conditions</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Antioxidant Activity:</w:t>
      </w:r>
      <w:r>
        <w:rPr>
          <w:rFonts w:ascii="Arial" w:cs="Arial" w:eastAsia="Arial" w:hAnsi="Arial"/>
          <w:sz w:val="22"/>
          <w:szCs w:val="22"/>
        </w:rPr>
        <w:t xml:space="preserve"> Equivalent to terpinolene in lipid peroxidation inhibition</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Therapeutic Interest:</w:t>
      </w:r>
      <w:r>
        <w:rPr>
          <w:rFonts w:ascii="Arial" w:cs="Arial" w:eastAsia="Arial" w:hAnsi="Arial"/>
          <w:sz w:val="22"/>
          <w:szCs w:val="22"/>
        </w:rPr>
        <w:t xml:space="preserve"> Higher clinical interest than terpinolene; some neuroprotective studies available</w:t>
      </w:r>
    </w:p>
    <w:p>
      <w:pPr>
        <w:spacing w:after="100" w:before="200"/>
      </w:pPr>
      <w:r>
        <w:rPr>
          <w:rFonts w:ascii="Arial" w:cs="Arial" w:eastAsia="Arial" w:hAnsi="Arial"/>
          <w:b/>
          <w:bCs/>
          <w:color w:val="444444"/>
          <w:sz w:val="24"/>
          <w:szCs w:val="24"/>
        </w:rPr>
        <w:t xml:space="preserve">β-Terpinene &amp; δ-Terpinene</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Less Common:</w:t>
      </w:r>
      <w:r>
        <w:rPr>
          <w:rFonts w:ascii="Arial" w:cs="Arial" w:eastAsia="Arial" w:hAnsi="Arial"/>
          <w:sz w:val="22"/>
          <w:szCs w:val="22"/>
        </w:rPr>
        <w:t xml:space="preserve"> Minor constituents in essential oils</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Biological Activity:</w:t>
      </w:r>
      <w:r>
        <w:rPr>
          <w:rFonts w:ascii="Arial" w:cs="Arial" w:eastAsia="Arial" w:hAnsi="Arial"/>
          <w:sz w:val="22"/>
          <w:szCs w:val="22"/>
        </w:rPr>
        <w:t xml:space="preserve"> Poorly characterized compared to α- and γ-forms</w:t>
      </w:r>
    </w:p>
    <w:p>
      <w:pPr>
        <w:pStyle w:val="Heading2"/>
        <w:spacing w:after="120" w:before="240"/>
      </w:pPr>
      <w:r>
        <w:rPr>
          <w:rFonts w:ascii="Arial" w:cs="Arial" w:eastAsia="Arial" w:hAnsi="Arial"/>
          <w:b/>
          <w:bCs/>
          <w:color w:val="333333"/>
          <w:sz w:val="26"/>
          <w:szCs w:val="26"/>
        </w:rPr>
        <w:t xml:space="preserve">P-Cymene (4-Isopropyltoluene)</w:t>
      </w:r>
    </w:p>
    <w:p>
      <w:pPr>
        <w:spacing w:after="120" w:line="300"/>
      </w:pPr>
      <w:r>
        <w:rPr>
          <w:rFonts w:ascii="Arial" w:cs="Arial" w:eastAsia="Arial" w:hAnsi="Arial"/>
          <w:b/>
          <w:bCs/>
          <w:sz w:val="22"/>
          <w:szCs w:val="22"/>
        </w:rPr>
        <w:t xml:space="preserve">Relationship to Terpinolene:</w:t>
      </w:r>
    </w:p>
    <w:p>
      <w:pPr>
        <w:spacing w:after="120" w:line="300"/>
      </w:pPr>
      <w:r>
        <w:rPr>
          <w:rFonts w:ascii="Arial" w:cs="Arial" w:eastAsia="Arial" w:hAnsi="Arial"/>
          <w:sz w:val="22"/>
          <w:szCs w:val="22"/>
        </w:rPr>
        <w:t xml:space="preserve">P-cymene is formed via </w:t>
      </w:r>
      <w:r>
        <w:rPr>
          <w:rFonts w:ascii="Arial" w:cs="Arial" w:eastAsia="Arial" w:hAnsi="Arial"/>
          <w:b/>
          <w:bCs/>
          <w:sz w:val="22"/>
          <w:szCs w:val="22"/>
        </w:rPr>
        <w:t xml:space="preserve">oxidative desaturation and methylation</w:t>
      </w:r>
      <w:r>
        <w:rPr>
          <w:rFonts w:ascii="Arial" w:cs="Arial" w:eastAsia="Arial" w:hAnsi="Arial"/>
          <w:sz w:val="22"/>
          <w:szCs w:val="22"/>
        </w:rPr>
        <w:t xml:space="preserve"> of γ-terpinene and is considered a secondary metabolite derived from primary monoterpene biosynthesis. While not directly derived from terpinolene, p-cymene co-occurs with terpinolene in many plant species, suggesting related biochemical pathways.</w:t>
      </w:r>
    </w:p>
    <w:p>
      <w:pPr>
        <w:spacing w:after="120" w:line="300"/>
      </w:pPr>
      <w:r>
        <w:rPr>
          <w:rFonts w:ascii="Arial" w:cs="Arial" w:eastAsia="Arial" w:hAnsi="Arial"/>
          <w:b/>
          <w:bCs/>
          <w:sz w:val="22"/>
          <w:szCs w:val="22"/>
        </w:rPr>
        <w:t xml:space="preserve">Properties:</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CAS 99-87-6; C₁₀H₁₄; aromatic alkene with para-substituted benzene ring</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Boiling point: 177–178°C</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Odor: Warm, spicy, herbal; thymol-like</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Odor threshold: 0.1–1.7 ppm (moderate olfactory sensitivity)</w:t>
      </w:r>
    </w:p>
    <w:p>
      <w:pPr>
        <w:spacing w:after="120" w:line="300"/>
      </w:pPr>
      <w:r>
        <w:rPr>
          <w:rFonts w:ascii="Arial" w:cs="Arial" w:eastAsia="Arial" w:hAnsi="Arial"/>
          <w:b/>
          <w:bCs/>
          <w:sz w:val="22"/>
          <w:szCs w:val="22"/>
        </w:rPr>
        <w:t xml:space="preserve">Biological Activity:</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Antioxidant (though weaker than parent terpinenes)</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Moderate antimicrobial activity</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Found in thyme, cumin, and other spices</w:t>
      </w:r>
    </w:p>
    <w:p>
      <w:pPr>
        <w:pStyle w:val="Heading2"/>
        <w:spacing w:after="120" w:before="240"/>
      </w:pPr>
      <w:r>
        <w:rPr>
          <w:rFonts w:ascii="Arial" w:cs="Arial" w:eastAsia="Arial" w:hAnsi="Arial"/>
          <w:b/>
          <w:bCs/>
          <w:color w:val="333333"/>
          <w:sz w:val="26"/>
          <w:szCs w:val="26"/>
        </w:rPr>
        <w:t xml:space="preserve">Terpinen-4-ol (Oxygenated Cousin)</w:t>
      </w:r>
    </w:p>
    <w:p>
      <w:pPr>
        <w:spacing w:after="120" w:line="300"/>
      </w:pPr>
      <w:r>
        <w:rPr>
          <w:rFonts w:ascii="Arial" w:cs="Arial" w:eastAsia="Arial" w:hAnsi="Arial"/>
          <w:b/>
          <w:bCs/>
          <w:sz w:val="22"/>
          <w:szCs w:val="22"/>
        </w:rPr>
        <w:t xml:space="preserve">Structural Relationship:</w:t>
      </w:r>
    </w:p>
    <w:p>
      <w:pPr>
        <w:spacing w:after="120" w:line="300"/>
      </w:pPr>
      <w:r>
        <w:rPr>
          <w:rFonts w:ascii="Arial" w:cs="Arial" w:eastAsia="Arial" w:hAnsi="Arial"/>
          <w:sz w:val="22"/>
          <w:szCs w:val="22"/>
        </w:rPr>
        <w:t xml:space="preserve">Terpinen-4-ol (CAS 562-74-3) is an </w:t>
      </w:r>
      <w:r>
        <w:rPr>
          <w:rFonts w:ascii="Arial" w:cs="Arial" w:eastAsia="Arial" w:hAnsi="Arial"/>
          <w:b/>
          <w:bCs/>
          <w:sz w:val="22"/>
          <w:szCs w:val="22"/>
        </w:rPr>
        <w:t xml:space="preserve">oxygenated monoterpene</w:t>
      </w:r>
      <w:r>
        <w:rPr>
          <w:rFonts w:ascii="Arial" w:cs="Arial" w:eastAsia="Arial" w:hAnsi="Arial"/>
          <w:sz w:val="22"/>
          <w:szCs w:val="22"/>
        </w:rPr>
        <w:t xml:space="preserve"> with a hydroxyl (–OH) group at the C4 position of the terpinene ring system. It is biochemically derived from terpinenes via hydration by plant terpene synthases or through post-biosynthetic hydroxylation.</w:t>
      </w:r>
    </w:p>
    <w:p>
      <w:pPr>
        <w:spacing w:after="120" w:line="300"/>
      </w:pPr>
      <w:r>
        <w:rPr>
          <w:rFonts w:ascii="Arial" w:cs="Arial" w:eastAsia="Arial" w:hAnsi="Arial"/>
          <w:b/>
          <w:bCs/>
          <w:sz w:val="22"/>
          <w:szCs w:val="22"/>
        </w:rPr>
        <w:t xml:space="preserve">Properties:</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Molecular formula: C₁₀H₁₈O</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Appearance: Colorless to pale yellow liquid</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Aroma: Fresh, herbal, piney, slightly woody</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Boiling point: 209–210°C</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Primary source: Tea tree oil (35–48% in terpinen-4-ol chemotype)</w:t>
      </w:r>
    </w:p>
    <w:p>
      <w:pPr>
        <w:spacing w:after="120" w:line="300"/>
      </w:pPr>
      <w:r>
        <w:rPr>
          <w:rFonts w:ascii="Arial" w:cs="Arial" w:eastAsia="Arial" w:hAnsi="Arial"/>
          <w:b/>
          <w:bCs/>
          <w:sz w:val="22"/>
          <w:szCs w:val="22"/>
        </w:rPr>
        <w:t xml:space="preserve">Biological Activity:</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Strongest antimicrobial activity</w:t>
      </w:r>
      <w:r>
        <w:rPr>
          <w:rFonts w:ascii="Arial" w:cs="Arial" w:eastAsia="Arial" w:hAnsi="Arial"/>
          <w:sz w:val="22"/>
          <w:szCs w:val="22"/>
        </w:rPr>
        <w:t xml:space="preserve"> among tea tree oil monoterpenes</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Active compound responsible for much of tea tree's clinical reputation</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AChE inhibition activity</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Anti-inflammatory properties similar to terpinolene</w:t>
      </w:r>
    </w:p>
    <w:p>
      <w:pPr>
        <w:spacing w:after="120" w:line="300"/>
      </w:pPr>
      <w:r>
        <w:rPr>
          <w:rFonts w:ascii="Arial" w:cs="Arial" w:eastAsia="Arial" w:hAnsi="Arial"/>
          <w:b/>
          <w:bCs/>
          <w:sz w:val="22"/>
          <w:szCs w:val="22"/>
        </w:rPr>
        <w:t xml:space="preserve">Significance for Pre-Loading:</w:t>
      </w:r>
      <w:r>
        <w:rPr>
          <w:rFonts w:ascii="Arial" w:cs="Arial" w:eastAsia="Arial" w:hAnsi="Arial"/>
          <w:sz w:val="22"/>
          <w:szCs w:val="22"/>
        </w:rPr>
        <w:t xml:space="preserve"> Terpinen-4-ol offers a complementary oxygenated alternative to terpinolene for botanical pre-loading vehicles, with potentially greater antimicrobial potency. Both compounds can be sourced from tea tree oil depending on chemotype selection.</w:t>
      </w:r>
    </w:p>
    <w:p>
      <w:pPr>
        <w:pStyle w:val="Heading2"/>
        <w:spacing w:after="120" w:before="240"/>
      </w:pPr>
      <w:r>
        <w:rPr>
          <w:rFonts w:ascii="Arial" w:cs="Arial" w:eastAsia="Arial" w:hAnsi="Arial"/>
          <w:b/>
          <w:bCs/>
          <w:color w:val="333333"/>
          <w:sz w:val="26"/>
          <w:szCs w:val="26"/>
        </w:rPr>
        <w:t xml:space="preserve">The P-Menthane Family</w:t>
      </w:r>
    </w:p>
    <w:p>
      <w:pPr>
        <w:spacing w:after="120" w:line="300"/>
      </w:pPr>
      <w:r>
        <w:rPr>
          <w:rFonts w:ascii="Arial" w:cs="Arial" w:eastAsia="Arial" w:hAnsi="Arial"/>
          <w:sz w:val="22"/>
          <w:szCs w:val="22"/>
        </w:rPr>
        <w:t xml:space="preserve">Terpinolene and its cousins (terpinenes, p-cymene, terpinen-4-ol, thymol, carvacrol) all belong to the </w:t>
      </w:r>
      <w:r>
        <w:rPr>
          <w:rFonts w:ascii="Arial" w:cs="Arial" w:eastAsia="Arial" w:hAnsi="Arial"/>
          <w:b/>
          <w:bCs/>
          <w:sz w:val="22"/>
          <w:szCs w:val="22"/>
        </w:rPr>
        <w:t xml:space="preserve">p-menthane family</w:t>
      </w:r>
      <w:r>
        <w:rPr>
          <w:rFonts w:ascii="Arial" w:cs="Arial" w:eastAsia="Arial" w:hAnsi="Arial"/>
          <w:sz w:val="22"/>
          <w:szCs w:val="22"/>
        </w:rPr>
        <w:t xml:space="preserve"> of monoterpenes, characterized by a:</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6-membered cyclohexene or benzene ring</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2-methyl substituents at specific positions</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Variable oxidation states and double bond arrangements</w:t>
      </w:r>
    </w:p>
    <w:p>
      <w:pPr>
        <w:spacing w:after="120" w:line="300"/>
      </w:pPr>
      <w:r>
        <w:rPr>
          <w:rFonts w:ascii="Arial" w:cs="Arial" w:eastAsia="Arial" w:hAnsi="Arial"/>
          <w:b/>
          <w:bCs/>
          <w:sz w:val="22"/>
          <w:szCs w:val="22"/>
        </w:rPr>
        <w:t xml:space="preserve">Biochemical Cascade:</w:t>
      </w:r>
      <w:r>
        <w:rPr>
          <w:rFonts w:ascii="Arial" w:cs="Arial" w:eastAsia="Arial" w:hAnsi="Arial"/>
          <w:sz w:val="22"/>
          <w:szCs w:val="22"/>
        </w:rPr>
        <w:t xml:space="preserve"> The p-menthane family demonstrates a clear biosynthetic hierarchy:</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Primary (acyclic):</w:t>
      </w:r>
      <w:r>
        <w:rPr>
          <w:rFonts w:ascii="Arial" w:cs="Arial" w:eastAsia="Arial" w:hAnsi="Arial"/>
          <w:sz w:val="22"/>
          <w:szCs w:val="22"/>
        </w:rPr>
        <w:t xml:space="preserve"> GPP</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Secondary (monocyclic, fully saturated):</w:t>
      </w:r>
      <w:r>
        <w:rPr>
          <w:rFonts w:ascii="Arial" w:cs="Arial" w:eastAsia="Arial" w:hAnsi="Arial"/>
          <w:sz w:val="22"/>
          <w:szCs w:val="22"/>
        </w:rPr>
        <w:t xml:space="preserve"> p-Menthane derivatives</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Unsaturated (one π bond):</w:t>
      </w:r>
      <w:r>
        <w:rPr>
          <w:rFonts w:ascii="Arial" w:cs="Arial" w:eastAsia="Arial" w:hAnsi="Arial"/>
          <w:sz w:val="22"/>
          <w:szCs w:val="22"/>
        </w:rPr>
        <w:t xml:space="preserve"> α-Terpinene (1,3-dienes)</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Diene:</w:t>
      </w:r>
      <w:r>
        <w:rPr>
          <w:rFonts w:ascii="Arial" w:cs="Arial" w:eastAsia="Arial" w:hAnsi="Arial"/>
          <w:sz w:val="22"/>
          <w:szCs w:val="22"/>
        </w:rPr>
        <w:t xml:space="preserve"> γ-Terpinene (1,4-dienes), terpinolene (multiple π bonds)</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Oxidative Products:</w:t>
      </w:r>
      <w:r>
        <w:rPr>
          <w:rFonts w:ascii="Arial" w:cs="Arial" w:eastAsia="Arial" w:hAnsi="Arial"/>
          <w:sz w:val="22"/>
          <w:szCs w:val="22"/>
        </w:rPr>
        <w:t xml:space="preserve"> p-Cymene (from γ-terpinene), thymol, carvacrol (via hydroxylation)</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Oxygenated:</w:t>
      </w:r>
      <w:r>
        <w:rPr>
          <w:rFonts w:ascii="Arial" w:cs="Arial" w:eastAsia="Arial" w:hAnsi="Arial"/>
          <w:sz w:val="22"/>
          <w:szCs w:val="22"/>
        </w:rPr>
        <w:t xml:space="preserve"> Terpinen-4-ol, menthol, carvacrol</w:t>
      </w:r>
    </w:p>
    <w:p>
      <w:pPr>
        <w:spacing w:after="120" w:line="300"/>
      </w:pPr>
      <w:r>
        <w:rPr>
          <w:rFonts w:ascii="Arial" w:cs="Arial" w:eastAsia="Arial" w:hAnsi="Arial"/>
          <w:sz w:val="22"/>
          <w:szCs w:val="22"/>
        </w:rPr>
        <w:t xml:space="preserve">This cascade reflects the plant's capacity to progressively oxidize, desaturate, and rearrange monoterpene skeletons for specialized functions (volatilization, antimicrobial activity, insect deterrence, etc.).</w:t>
      </w:r>
    </w:p>
    <w:p>
      <w:pPr>
        <w:spacing w:before="200"/>
      </w:pPr>
      <w:r>
        <w:drawing>
          <wp:inline distT="0" distB="0" distL="0" distR="0">
            <wp:extent cx="6191250" cy="47625"/>
            <wp:effectExtent t="0" r="0" b="0" l="0"/>
            <wp:docPr id="1" name="divider" descr="Section divider" title="div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47625"/>
                    </a:xfrm>
                    <a:prstGeom prst="rect">
                      <a:avLst/>
                    </a:prstGeom>
                  </pic:spPr>
                </pic:pic>
              </a:graphicData>
            </a:graphic>
          </wp:inline>
        </w:drawing>
      </w:r>
    </w:p>
    <w:p>
      <w:pPr>
        <w:pStyle w:val="Heading1"/>
        <w:spacing w:after="200" w:before="360"/>
      </w:pPr>
      <w:r>
        <w:rPr>
          <w:rFonts w:ascii="Arial" w:cs="Arial" w:eastAsia="Arial" w:hAnsi="Arial"/>
          <w:b/>
          <w:bCs/>
          <w:color w:val="00695C"/>
          <w:sz w:val="30"/>
          <w:szCs w:val="30"/>
        </w:rPr>
        <w:t xml:space="preserve">Wine &amp; Beverage Bridges</w:t>
      </w:r>
    </w:p>
    <w:p>
      <w:pPr>
        <w:spacing w:after="120" w:line="300"/>
      </w:pPr>
      <w:r>
        <w:rPr>
          <w:rFonts w:ascii="Arial" w:cs="Arial" w:eastAsia="Arial" w:hAnsi="Arial"/>
          <w:sz w:val="22"/>
          <w:szCs w:val="22"/>
        </w:rPr>
        <w:t xml:space="preserve">Terpinolene's fresh, piney, citrus-floral character makes it a natural flavoring and sensory-bridging compound in wine, spirit, and non-alcoholic beverage applications.</w:t>
      </w:r>
    </w:p>
    <w:p>
      <w:pPr>
        <w:pStyle w:val="Heading2"/>
        <w:spacing w:after="120" w:before="240"/>
      </w:pPr>
      <w:r>
        <w:rPr>
          <w:rFonts w:ascii="Arial" w:cs="Arial" w:eastAsia="Arial" w:hAnsi="Arial"/>
          <w:b/>
          <w:bCs/>
          <w:color w:val="333333"/>
          <w:sz w:val="26"/>
          <w:szCs w:val="26"/>
        </w:rPr>
        <w:t xml:space="preserve">Juniper &amp; Gin Tradition</w:t>
      </w:r>
    </w:p>
    <w:p>
      <w:pPr>
        <w:spacing w:after="120" w:line="300"/>
      </w:pPr>
      <w:r>
        <w:rPr>
          <w:rFonts w:ascii="Arial" w:cs="Arial" w:eastAsia="Arial" w:hAnsi="Arial"/>
          <w:b/>
          <w:bCs/>
          <w:sz w:val="22"/>
          <w:szCs w:val="22"/>
        </w:rPr>
        <w:t xml:space="preserve">Juniper (*Juniperus communis*) as Terpinolene Source:</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Juniper berries (female cones) contain 1–5% terpinolene as a minor volatile</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Dominant juniper volatiles are </w:t>
      </w:r>
      <w:r>
        <w:rPr>
          <w:rFonts w:ascii="Arial" w:cs="Arial" w:eastAsia="Arial" w:hAnsi="Arial"/>
          <w:b/>
          <w:bCs/>
          <w:sz w:val="22"/>
          <w:szCs w:val="22"/>
        </w:rPr>
        <w:t xml:space="preserve">α-pinene</w:t>
      </w:r>
      <w:r>
        <w:rPr>
          <w:rFonts w:ascii="Arial" w:cs="Arial" w:eastAsia="Arial" w:hAnsi="Arial"/>
          <w:sz w:val="22"/>
          <w:szCs w:val="22"/>
        </w:rPr>
        <w:t xml:space="preserve"> and </w:t>
      </w:r>
      <w:r>
        <w:rPr>
          <w:rFonts w:ascii="Arial" w:cs="Arial" w:eastAsia="Arial" w:hAnsi="Arial"/>
          <w:b/>
          <w:bCs/>
          <w:sz w:val="22"/>
          <w:szCs w:val="22"/>
        </w:rPr>
        <w:t xml:space="preserve">myrcene</w:t>
      </w:r>
      <w:r>
        <w:rPr>
          <w:rFonts w:ascii="Arial" w:cs="Arial" w:eastAsia="Arial" w:hAnsi="Arial"/>
          <w:sz w:val="22"/>
          <w:szCs w:val="22"/>
        </w:rPr>
        <w:t xml:space="preserve">, providing the "piney, woody" base</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Terpinolene's Role:</w:t>
      </w:r>
      <w:r>
        <w:rPr>
          <w:rFonts w:ascii="Arial" w:cs="Arial" w:eastAsia="Arial" w:hAnsi="Arial"/>
          <w:sz w:val="22"/>
          <w:szCs w:val="22"/>
        </w:rPr>
        <w:t xml:space="preserve"> Contributes fresh, citrus-like brightness and herbal complexity</w:t>
      </w:r>
    </w:p>
    <w:p>
      <w:pPr>
        <w:spacing w:after="120" w:line="300"/>
      </w:pPr>
      <w:r>
        <w:rPr>
          <w:rFonts w:ascii="Arial" w:cs="Arial" w:eastAsia="Arial" w:hAnsi="Arial"/>
          <w:b/>
          <w:bCs/>
          <w:sz w:val="22"/>
          <w:szCs w:val="22"/>
        </w:rPr>
        <w:t xml:space="preserve">Gin Production:</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Gin is defined by juniper as the primary botanical</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Traditional gin production involves vapor infusion or maceration of juniper berries and other botanicals into neutral spirit</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Terpinolene, alongside α-pinene and limonene, is co-distilled into the final spirit</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Typical gin flavor profile: Piney, citrus, herbal, with spice notes—all consistent with terpinolene's sensory contribution</w:t>
      </w:r>
    </w:p>
    <w:p>
      <w:pPr>
        <w:spacing w:after="120" w:line="300"/>
      </w:pPr>
      <w:r>
        <w:rPr>
          <w:rFonts w:ascii="Arial" w:cs="Arial" w:eastAsia="Arial" w:hAnsi="Arial"/>
          <w:b/>
          <w:bCs/>
          <w:sz w:val="22"/>
          <w:szCs w:val="22"/>
        </w:rPr>
        <w:t xml:space="preserve">Pre-Loading Applicability:</w:t>
      </w:r>
      <w:r>
        <w:rPr>
          <w:rFonts w:ascii="Arial" w:cs="Arial" w:eastAsia="Arial" w:hAnsi="Arial"/>
          <w:sz w:val="22"/>
          <w:szCs w:val="22"/>
        </w:rPr>
        <w:t xml:space="preserve"> Gin consumption before cannabis (15–30 minutes) could theoretically provide terpinolene priming, though:</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Ethanol's psychoactive effects complicate interpretation</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Terpinolene concentration in gin is dilute (~0.001–0.01% typical spirit)</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Alcohol absorption rate differs from non-alcoholic botanical oil pre-loading</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Not Recommended</w:t>
      </w:r>
      <w:r>
        <w:rPr>
          <w:rFonts w:ascii="Arial" w:cs="Arial" w:eastAsia="Arial" w:hAnsi="Arial"/>
          <w:sz w:val="22"/>
          <w:szCs w:val="22"/>
        </w:rPr>
        <w:t xml:space="preserve"> for controlled pre-loading protocols due to alcohol confounding</w:t>
      </w:r>
    </w:p>
    <w:p>
      <w:pPr>
        <w:pStyle w:val="Heading2"/>
        <w:spacing w:after="120" w:before="240"/>
      </w:pPr>
      <w:r>
        <w:rPr>
          <w:rFonts w:ascii="Arial" w:cs="Arial" w:eastAsia="Arial" w:hAnsi="Arial"/>
          <w:b/>
          <w:bCs/>
          <w:color w:val="333333"/>
          <w:sz w:val="26"/>
          <w:szCs w:val="26"/>
        </w:rPr>
        <w:t xml:space="preserve">Nutmeg &amp; Spiced Beverages</w:t>
      </w:r>
    </w:p>
    <w:p>
      <w:pPr>
        <w:spacing w:after="120" w:line="300"/>
      </w:pPr>
      <w:r>
        <w:rPr>
          <w:rFonts w:ascii="Arial" w:cs="Arial" w:eastAsia="Arial" w:hAnsi="Arial"/>
          <w:b/>
          <w:bCs/>
          <w:sz w:val="22"/>
          <w:szCs w:val="22"/>
        </w:rPr>
        <w:t xml:space="preserve">Nutmeg (*Myristica fragrans*) as Terpinolene Source:</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Nutmeg seed contains 2–10% terpinolene in its essential oil</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Dominant volatiles: Myristicin (7–14%), safrole, eugenol (clove-like)</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Terpinolene's Role:</w:t>
      </w:r>
      <w:r>
        <w:rPr>
          <w:rFonts w:ascii="Arial" w:cs="Arial" w:eastAsia="Arial" w:hAnsi="Arial"/>
          <w:sz w:val="22"/>
          <w:szCs w:val="22"/>
        </w:rPr>
        <w:t xml:space="preserve"> Contributes fresh, piney undertones to nutmeg's warm, clove-spice character</w:t>
      </w:r>
    </w:p>
    <w:p>
      <w:pPr>
        <w:spacing w:after="120" w:line="300"/>
      </w:pPr>
      <w:r>
        <w:rPr>
          <w:rFonts w:ascii="Arial" w:cs="Arial" w:eastAsia="Arial" w:hAnsi="Arial"/>
          <w:b/>
          <w:bCs/>
          <w:sz w:val="22"/>
          <w:szCs w:val="22"/>
        </w:rPr>
        <w:t xml:space="preserve">Spiced Wine &amp; Cocktails:</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Nutmeg is a traditional spice in mulled wine, eggnog, spiced rum cocktails, and hot beverages</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Terpinolene is co-extracted during maceration and heating, contributing sensory brightness</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Culinary Tradition:</w:t>
      </w:r>
      <w:r>
        <w:rPr>
          <w:rFonts w:ascii="Arial" w:cs="Arial" w:eastAsia="Arial" w:hAnsi="Arial"/>
          <w:sz w:val="22"/>
          <w:szCs w:val="22"/>
        </w:rPr>
        <w:t xml:space="preserve"> "Warm spices" (nutmeg, cinnamon, clove, allspice) blend synergistically; terpinolene's freshness balances rich, heavy notes</w:t>
      </w:r>
    </w:p>
    <w:p>
      <w:pPr>
        <w:spacing w:after="120" w:line="300"/>
      </w:pPr>
      <w:r>
        <w:rPr>
          <w:rFonts w:ascii="Arial" w:cs="Arial" w:eastAsia="Arial" w:hAnsi="Arial"/>
          <w:b/>
          <w:bCs/>
          <w:sz w:val="22"/>
          <w:szCs w:val="22"/>
        </w:rPr>
        <w:t xml:space="preserve">Pre-Loading Applicability:</w:t>
      </w:r>
      <w:r>
        <w:rPr>
          <w:rFonts w:ascii="Arial" w:cs="Arial" w:eastAsia="Arial" w:hAnsi="Arial"/>
          <w:sz w:val="22"/>
          <w:szCs w:val="22"/>
        </w:rPr>
        <w:t xml:space="preserve"> Similar limitations to gin; alcohol confounding and dilute terpinolene concentration limit suitability for controlled pre-loading.</w:t>
      </w:r>
    </w:p>
    <w:p>
      <w:pPr>
        <w:pStyle w:val="Heading2"/>
        <w:spacing w:after="120" w:before="240"/>
      </w:pPr>
      <w:r>
        <w:rPr>
          <w:rFonts w:ascii="Arial" w:cs="Arial" w:eastAsia="Arial" w:hAnsi="Arial"/>
          <w:b/>
          <w:bCs/>
          <w:color w:val="333333"/>
          <w:sz w:val="26"/>
          <w:szCs w:val="26"/>
        </w:rPr>
        <w:t xml:space="preserve">Apple Cider &amp; McIntosh Apples</w:t>
      </w:r>
    </w:p>
    <w:p>
      <w:pPr>
        <w:spacing w:after="120" w:line="300"/>
      </w:pPr>
      <w:r>
        <w:rPr>
          <w:rFonts w:ascii="Arial" w:cs="Arial" w:eastAsia="Arial" w:hAnsi="Arial"/>
          <w:b/>
          <w:bCs/>
          <w:sz w:val="22"/>
          <w:szCs w:val="22"/>
        </w:rPr>
        <w:t xml:space="preserve">Apple Cider as Terpinolene Source (Speculative):</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McIntosh apples are known for "floral aromatics" and "spicy-fruity" character</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If McIntosh apples contain terpinolene (unconfirmed), apple cider would be a non-alcoholic botanical pre-loading vehicle</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Sensory Bridge:</w:t>
      </w:r>
      <w:r>
        <w:rPr>
          <w:rFonts w:ascii="Arial" w:cs="Arial" w:eastAsia="Arial" w:hAnsi="Arial"/>
          <w:sz w:val="22"/>
          <w:szCs w:val="22"/>
        </w:rPr>
        <w:t xml:space="preserve"> Apple cider's freshness, slight tartness, and "holiday spice" notes are consistent with terpinolene's profile</w:t>
      </w:r>
    </w:p>
    <w:p>
      <w:pPr>
        <w:spacing w:after="120" w:line="300"/>
      </w:pPr>
      <w:r>
        <w:rPr>
          <w:rFonts w:ascii="Arial" w:cs="Arial" w:eastAsia="Arial" w:hAnsi="Arial"/>
          <w:b/>
          <w:bCs/>
          <w:sz w:val="22"/>
          <w:szCs w:val="22"/>
        </w:rPr>
        <w:t xml:space="preserve">Evidence Gap:</w:t>
      </w:r>
      <w:r>
        <w:rPr>
          <w:rFonts w:ascii="Arial" w:cs="Arial" w:eastAsia="Arial" w:hAnsi="Arial"/>
          <w:sz w:val="22"/>
          <w:szCs w:val="22"/>
        </w:rPr>
        <w:t xml:space="preserve"> Without chromatographic analysis of McIntosh apple volatiles, terpinolene presence remains speculative. This highlights the importance of </w:t>
      </w:r>
      <w:r>
        <w:rPr>
          <w:rFonts w:ascii="Arial" w:cs="Arial" w:eastAsia="Arial" w:hAnsi="Arial"/>
          <w:b/>
          <w:bCs/>
          <w:sz w:val="22"/>
          <w:szCs w:val="22"/>
        </w:rPr>
        <w:t xml:space="preserve">empirical sourcing</w:t>
      </w:r>
      <w:r>
        <w:rPr>
          <w:rFonts w:ascii="Arial" w:cs="Arial" w:eastAsia="Arial" w:hAnsi="Arial"/>
          <w:sz w:val="22"/>
          <w:szCs w:val="22"/>
        </w:rPr>
        <w:t xml:space="preserve"> for pre-loading protocols—anecdotal botanical knowledge, while valuable, requires analytical confirmation.</w:t>
      </w:r>
    </w:p>
    <w:p>
      <w:pPr>
        <w:pStyle w:val="Heading2"/>
        <w:spacing w:after="120" w:before="240"/>
      </w:pPr>
      <w:r>
        <w:rPr>
          <w:rFonts w:ascii="Arial" w:cs="Arial" w:eastAsia="Arial" w:hAnsi="Arial"/>
          <w:b/>
          <w:bCs/>
          <w:color w:val="333333"/>
          <w:sz w:val="26"/>
          <w:szCs w:val="26"/>
        </w:rPr>
        <w:t xml:space="preserve">Tea Tree Oil in Wellness Beverages</w:t>
      </w:r>
    </w:p>
    <w:p>
      <w:pPr>
        <w:spacing w:after="120" w:line="300"/>
      </w:pPr>
      <w:r>
        <w:rPr>
          <w:rFonts w:ascii="Arial" w:cs="Arial" w:eastAsia="Arial" w:hAnsi="Arial"/>
          <w:b/>
          <w:bCs/>
          <w:sz w:val="22"/>
          <w:szCs w:val="22"/>
        </w:rPr>
        <w:t xml:space="preserve">Emerging Trend:</w:t>
      </w:r>
      <w:r>
        <w:rPr>
          <w:rFonts w:ascii="Arial" w:cs="Arial" w:eastAsia="Arial" w:hAnsi="Arial"/>
          <w:sz w:val="22"/>
          <w:szCs w:val="22"/>
        </w:rPr>
        <w:t xml:space="preserve"> Non-alcoholic "botanical wellness drinks" incorporating trace amounts of tea tree oil (in food-grade dilutions) or tea tree essential oil vapor inhalation as immune-supporting agents.</w:t>
      </w:r>
    </w:p>
    <w:p>
      <w:pPr>
        <w:spacing w:after="120" w:line="300"/>
      </w:pPr>
      <w:r>
        <w:rPr>
          <w:rFonts w:ascii="Arial" w:cs="Arial" w:eastAsia="Arial" w:hAnsi="Arial"/>
          <w:b/>
          <w:bCs/>
          <w:sz w:val="22"/>
          <w:szCs w:val="22"/>
        </w:rPr>
        <w:t xml:space="preserve">Terpinolene Connection:</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Tea tree oil (terpinen-4-ol chemotype): 0–5% terpinolene</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Tea tree oil (terpinolene chemotype): 30–40% terpinolene</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Wellness beverage manufacturers occasionally market terpinolene-enriched tea tree products for "antioxidant support" and "respiratory wellness"</w:t>
      </w:r>
    </w:p>
    <w:p>
      <w:pPr>
        <w:spacing w:after="120" w:line="300"/>
      </w:pPr>
      <w:r>
        <w:rPr>
          <w:rFonts w:ascii="Arial" w:cs="Arial" w:eastAsia="Arial" w:hAnsi="Arial"/>
          <w:b/>
          <w:bCs/>
          <w:sz w:val="22"/>
          <w:szCs w:val="22"/>
        </w:rPr>
        <w:t xml:space="preserve">Pre-Loading Applicability:</w:t>
      </w:r>
      <w:r>
        <w:rPr>
          <w:rFonts w:ascii="Arial" w:cs="Arial" w:eastAsia="Arial" w:hAnsi="Arial"/>
          <w:sz w:val="22"/>
          <w:szCs w:val="22"/>
        </w:rPr>
        <w:t xml:space="preserve"> OPTIMAL—tea tree oil (particularly terpinolene-type M. alternifolia) provides:</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High terpinolene bioavailability</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Traditional medicine precedent (Bundjalung medicine, 40,000+ years)</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Dual mechanisms: sedative priming + antioxidant protection</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Accessible, food-safe botanical format</w:t>
      </w:r>
    </w:p>
    <w:p>
      <w:pPr>
        <w:spacing w:before="200"/>
      </w:pPr>
      <w:r>
        <w:drawing>
          <wp:inline distT="0" distB="0" distL="0" distR="0">
            <wp:extent cx="6191250" cy="47625"/>
            <wp:effectExtent t="0" r="0" b="0" l="0"/>
            <wp:docPr id="1" name="divider" descr="Section divider" title="div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47625"/>
                    </a:xfrm>
                    <a:prstGeom prst="rect">
                      <a:avLst/>
                    </a:prstGeom>
                  </pic:spPr>
                </pic:pic>
              </a:graphicData>
            </a:graphic>
          </wp:inline>
        </w:drawing>
      </w:r>
    </w:p>
    <w:p>
      <w:pPr>
        <w:pStyle w:val="Heading1"/>
        <w:spacing w:after="200" w:before="360"/>
      </w:pPr>
      <w:r>
        <w:rPr>
          <w:rFonts w:ascii="Arial" w:cs="Arial" w:eastAsia="Arial" w:hAnsi="Arial"/>
          <w:b/>
          <w:bCs/>
          <w:color w:val="00695C"/>
          <w:sz w:val="30"/>
          <w:szCs w:val="30"/>
        </w:rPr>
        <w:t xml:space="preserve">Perfumery &amp; Cosmetics</w:t>
      </w:r>
    </w:p>
    <w:p>
      <w:pPr>
        <w:spacing w:after="120" w:line="300"/>
      </w:pPr>
      <w:r>
        <w:rPr>
          <w:rFonts w:ascii="Arial" w:cs="Arial" w:eastAsia="Arial" w:hAnsi="Arial"/>
          <w:sz w:val="22"/>
          <w:szCs w:val="22"/>
        </w:rPr>
        <w:t xml:space="preserve">Terpinolene's fresh, piney, herbal, and subtly citrus character makes it a valued ingredient in fragrance composition, with particular application in woodsy, fresh, and "clean" scent families.</w:t>
      </w:r>
    </w:p>
    <w:p>
      <w:pPr>
        <w:pStyle w:val="Heading2"/>
        <w:spacing w:after="120" w:before="240"/>
      </w:pPr>
      <w:r>
        <w:rPr>
          <w:rFonts w:ascii="Arial" w:cs="Arial" w:eastAsia="Arial" w:hAnsi="Arial"/>
          <w:b/>
          <w:bCs/>
          <w:color w:val="333333"/>
          <w:sz w:val="26"/>
          <w:szCs w:val="26"/>
        </w:rPr>
        <w:t xml:space="preserve">Fragrance Industry Applications</w:t>
      </w:r>
    </w:p>
    <w:p>
      <w:pPr>
        <w:spacing w:after="120" w:line="300"/>
      </w:pPr>
      <w:r>
        <w:rPr>
          <w:rFonts w:ascii="Arial" w:cs="Arial" w:eastAsia="Arial" w:hAnsi="Arial"/>
          <w:b/>
          <w:bCs/>
          <w:sz w:val="22"/>
          <w:szCs w:val="22"/>
        </w:rPr>
        <w:t xml:space="preserve">Scent Classification:</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Primary Category:</w:t>
      </w:r>
      <w:r>
        <w:rPr>
          <w:rFonts w:ascii="Arial" w:cs="Arial" w:eastAsia="Arial" w:hAnsi="Arial"/>
          <w:sz w:val="22"/>
          <w:szCs w:val="22"/>
        </w:rPr>
        <w:t xml:space="preserve"> Fresh, piney, woody notes</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Secondary Notes:</w:t>
      </w:r>
      <w:r>
        <w:rPr>
          <w:rFonts w:ascii="Arial" w:cs="Arial" w:eastAsia="Arial" w:hAnsi="Arial"/>
          <w:sz w:val="22"/>
          <w:szCs w:val="22"/>
        </w:rPr>
        <w:t xml:space="preserve"> Floral, citrus (lemon), herbal</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Fragrance Families:</w:t>
      </w:r>
      <w:r>
        <w:rPr>
          <w:rFonts w:ascii="Arial" w:cs="Arial" w:eastAsia="Arial" w:hAnsi="Arial"/>
          <w:sz w:val="22"/>
          <w:szCs w:val="22"/>
        </w:rPr>
        <w:t xml:space="preserve"> Pine fragrances, forest accords, fresh herbal, citrus-herbal blends, soap fragrances</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Notes in Composition:</w:t>
      </w:r>
      <w:r>
        <w:rPr>
          <w:rFonts w:ascii="Arial" w:cs="Arial" w:eastAsia="Arial" w:hAnsi="Arial"/>
          <w:sz w:val="22"/>
          <w:szCs w:val="22"/>
        </w:rPr>
        <w:t xml:space="preserve"> Typically used as a top or middle note (volatile, fresh-smelling) rather than a base note</w:t>
      </w:r>
    </w:p>
    <w:p>
      <w:pPr>
        <w:spacing w:after="120" w:line="300"/>
      </w:pPr>
      <w:r>
        <w:rPr>
          <w:rFonts w:ascii="Arial" w:cs="Arial" w:eastAsia="Arial" w:hAnsi="Arial"/>
          <w:b/>
          <w:bCs/>
          <w:sz w:val="22"/>
          <w:szCs w:val="22"/>
        </w:rPr>
        <w:t xml:space="preserve">Use Cases:</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Pine &amp; Forest Accords:</w:t>
      </w:r>
      <w:r>
        <w:rPr>
          <w:rFonts w:ascii="Arial" w:cs="Arial" w:eastAsia="Arial" w:hAnsi="Arial"/>
          <w:sz w:val="22"/>
          <w:szCs w:val="22"/>
        </w:rPr>
        <w:t xml:space="preserve"> Terpinolene forms the olfactory backbone of pine, fir, and forest-themed fragrances; blends with α-pinene, limonene, and isoprene</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Soap &amp; Body Care:</w:t>
      </w:r>
      <w:r>
        <w:rPr>
          <w:rFonts w:ascii="Arial" w:cs="Arial" w:eastAsia="Arial" w:hAnsi="Arial"/>
          <w:sz w:val="22"/>
          <w:szCs w:val="22"/>
        </w:rPr>
        <w:t xml:space="preserve"> Terpinolene's fresh character is ideal for bar soaps, shower gels, and body washes marketed as "invigorating," "crisp," or "forest fresh"</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Household &amp; Cleaning Products:</w:t>
      </w:r>
      <w:r>
        <w:rPr>
          <w:rFonts w:ascii="Arial" w:cs="Arial" w:eastAsia="Arial" w:hAnsi="Arial"/>
          <w:sz w:val="22"/>
          <w:szCs w:val="22"/>
        </w:rPr>
        <w:t xml:space="preserve"> Contributes fresh, "clean" character to detergents, dish soaps, air fresheners, and deodorizers; provides masking efficacy against off-odors</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Perfume Concentration:</w:t>
      </w:r>
      <w:r>
        <w:rPr>
          <w:rFonts w:ascii="Arial" w:cs="Arial" w:eastAsia="Arial" w:hAnsi="Arial"/>
          <w:sz w:val="22"/>
          <w:szCs w:val="22"/>
        </w:rPr>
        <w:t xml:space="preserve"> Used as an aroma chemical in fragrance concentrates (eau de parfum, eau de toilette, eau de cologne); provides top-note sparkle and transparency</w:t>
      </w:r>
    </w:p>
    <w:p>
      <w:pPr>
        <w:pStyle w:val="Heading2"/>
        <w:spacing w:after="120" w:before="240"/>
      </w:pPr>
      <w:r>
        <w:rPr>
          <w:rFonts w:ascii="Arial" w:cs="Arial" w:eastAsia="Arial" w:hAnsi="Arial"/>
          <w:b/>
          <w:bCs/>
          <w:color w:val="333333"/>
          <w:sz w:val="26"/>
          <w:szCs w:val="26"/>
        </w:rPr>
        <w:t xml:space="preserve">Cosmetic Formulation</w:t>
      </w:r>
    </w:p>
    <w:p>
      <w:pPr>
        <w:spacing w:after="120" w:line="300"/>
      </w:pPr>
      <w:r>
        <w:rPr>
          <w:rFonts w:ascii="Arial" w:cs="Arial" w:eastAsia="Arial" w:hAnsi="Arial"/>
          <w:b/>
          <w:bCs/>
          <w:sz w:val="22"/>
          <w:szCs w:val="22"/>
        </w:rPr>
        <w:t xml:space="preserve">Cosmetic Functions:</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Aroma agent:</w:t>
      </w:r>
      <w:r>
        <w:rPr>
          <w:rFonts w:ascii="Arial" w:cs="Arial" w:eastAsia="Arial" w:hAnsi="Arial"/>
          <w:sz w:val="22"/>
          <w:szCs w:val="22"/>
        </w:rPr>
        <w:t xml:space="preserve"> Primary sensory attribute; fresh, uplifting character enhances user experience</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Volatile vehicle:</w:t>
      </w:r>
      <w:r>
        <w:rPr>
          <w:rFonts w:ascii="Arial" w:cs="Arial" w:eastAsia="Arial" w:hAnsi="Arial"/>
          <w:sz w:val="22"/>
          <w:szCs w:val="22"/>
        </w:rPr>
        <w:t xml:space="preserve"> Lipophilic nature aids penetration and distribution of other cosmetic actives (though concentration remains very low)</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Antifungal/antibacterial adjuvant:</w:t>
      </w:r>
      <w:r>
        <w:rPr>
          <w:rFonts w:ascii="Arial" w:cs="Arial" w:eastAsia="Arial" w:hAnsi="Arial"/>
          <w:sz w:val="22"/>
          <w:szCs w:val="22"/>
        </w:rPr>
        <w:t xml:space="preserve"> Terpinolene's inherent antimicrobial activity provides product preservation and skin health benefits (secondary role)</w:t>
      </w:r>
    </w:p>
    <w:p>
      <w:pPr>
        <w:spacing w:after="120" w:line="300"/>
      </w:pPr>
      <w:r>
        <w:rPr>
          <w:rFonts w:ascii="Arial" w:cs="Arial" w:eastAsia="Arial" w:hAnsi="Arial"/>
          <w:b/>
          <w:bCs/>
          <w:sz w:val="22"/>
          <w:szCs w:val="22"/>
        </w:rPr>
        <w:t xml:space="preserve">Product Categories:</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Lotions, creams, facial serums</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Shampoos, conditioners, scalp treatments</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Deodorants, antiperspirants</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Perfumes, colognes, fragrances</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Lip balms, body butters</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Anti-acne formulations (for antimicrobial synergy)</w:t>
      </w:r>
    </w:p>
    <w:p>
      <w:pPr>
        <w:spacing w:after="120" w:line="300"/>
      </w:pPr>
      <w:r>
        <w:rPr>
          <w:rFonts w:ascii="Arial" w:cs="Arial" w:eastAsia="Arial" w:hAnsi="Arial"/>
          <w:b/>
          <w:bCs/>
          <w:sz w:val="22"/>
          <w:szCs w:val="22"/>
        </w:rPr>
        <w:t xml:space="preserve">Regulatory Status:</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GRAS (Generally Recognized as Safe) in cosmetics (FDA Category 1, fragrance ingredient)</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Approved in EU cosmetics regulations</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Concentration limits: Typically &lt;1% in final product due to volatility and potency</w:t>
      </w:r>
    </w:p>
    <w:p>
      <w:pPr>
        <w:spacing w:before="200"/>
      </w:pPr>
      <w:r>
        <w:drawing>
          <wp:inline distT="0" distB="0" distL="0" distR="0">
            <wp:extent cx="6191250" cy="47625"/>
            <wp:effectExtent t="0" r="0" b="0" l="0"/>
            <wp:docPr id="1" name="divider" descr="Section divider" title="div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47625"/>
                    </a:xfrm>
                    <a:prstGeom prst="rect">
                      <a:avLst/>
                    </a:prstGeom>
                  </pic:spPr>
                </pic:pic>
              </a:graphicData>
            </a:graphic>
          </wp:inline>
        </w:drawing>
      </w:r>
    </w:p>
    <w:p>
      <w:pPr>
        <w:pStyle w:val="Heading1"/>
        <w:spacing w:after="200" w:before="360"/>
      </w:pPr>
      <w:r>
        <w:rPr>
          <w:rFonts w:ascii="Arial" w:cs="Arial" w:eastAsia="Arial" w:hAnsi="Arial"/>
          <w:b/>
          <w:bCs/>
          <w:color w:val="00695C"/>
          <w:sz w:val="30"/>
          <w:szCs w:val="30"/>
        </w:rPr>
        <w:t xml:space="preserve">Culinary Applications</w:t>
      </w:r>
    </w:p>
    <w:p>
      <w:pPr>
        <w:spacing w:after="120" w:line="300"/>
      </w:pPr>
      <w:r>
        <w:rPr>
          <w:rFonts w:ascii="Arial" w:cs="Arial" w:eastAsia="Arial" w:hAnsi="Arial"/>
          <w:sz w:val="22"/>
          <w:szCs w:val="22"/>
        </w:rPr>
        <w:t xml:space="preserve">Terpinolene's warm, herbal, fresh character makes it a natural flavoring agent in culinary spices and food products, though it typically functions as a minor, modulating volatile rather than the dominant flavor note.</w:t>
      </w:r>
    </w:p>
    <w:p>
      <w:pPr>
        <w:pStyle w:val="Heading2"/>
        <w:spacing w:after="120" w:before="240"/>
      </w:pPr>
      <w:r>
        <w:rPr>
          <w:rFonts w:ascii="Arial" w:cs="Arial" w:eastAsia="Arial" w:hAnsi="Arial"/>
          <w:b/>
          <w:bCs/>
          <w:color w:val="333333"/>
          <w:sz w:val="26"/>
          <w:szCs w:val="26"/>
        </w:rPr>
        <w:t xml:space="preserve">Spices Containing Terpinolene</w:t>
      </w:r>
    </w:p>
    <w:p>
      <w:pPr>
        <w:spacing w:after="100" w:before="200"/>
      </w:pPr>
      <w:r>
        <w:rPr>
          <w:rFonts w:ascii="Arial" w:cs="Arial" w:eastAsia="Arial" w:hAnsi="Arial"/>
          <w:b/>
          <w:bCs/>
          <w:color w:val="444444"/>
          <w:sz w:val="24"/>
          <w:szCs w:val="24"/>
        </w:rPr>
        <w:t xml:space="preserve">Nutmeg (*Myristica fragrans*)</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Concentration:</w:t>
      </w:r>
      <w:r>
        <w:rPr>
          <w:rFonts w:ascii="Arial" w:cs="Arial" w:eastAsia="Arial" w:hAnsi="Arial"/>
          <w:sz w:val="22"/>
          <w:szCs w:val="22"/>
        </w:rPr>
        <w:t xml:space="preserve"> 2–10% of essential oil</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Flavor Profile:</w:t>
      </w:r>
      <w:r>
        <w:rPr>
          <w:rFonts w:ascii="Arial" w:cs="Arial" w:eastAsia="Arial" w:hAnsi="Arial"/>
          <w:sz w:val="22"/>
          <w:szCs w:val="22"/>
        </w:rPr>
        <w:t xml:space="preserve"> Warm, sweet, slightly bitter; clove-like and woody dominant</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Terpinolene's Role:</w:t>
      </w:r>
      <w:r>
        <w:rPr>
          <w:rFonts w:ascii="Arial" w:cs="Arial" w:eastAsia="Arial" w:hAnsi="Arial"/>
          <w:sz w:val="22"/>
          <w:szCs w:val="22"/>
        </w:rPr>
        <w:t xml:space="preserve"> Contributes piney, herbal, citrus freshness that balances heavy, warm base notes</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Culinary Use:</w:t>
      </w:r>
      <w:r>
        <w:rPr>
          <w:rFonts w:ascii="Arial" w:cs="Arial" w:eastAsia="Arial" w:hAnsi="Arial"/>
          <w:sz w:val="22"/>
          <w:szCs w:val="22"/>
        </w:rPr>
        <w:t xml:space="preserve"> Baked goods (cookies, cakes), beverages (eggnog, spiced cider), sauces (cream sauces), vegetables</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Complementary Spices:</w:t>
      </w:r>
      <w:r>
        <w:rPr>
          <w:rFonts w:ascii="Arial" w:cs="Arial" w:eastAsia="Arial" w:hAnsi="Arial"/>
          <w:sz w:val="22"/>
          <w:szCs w:val="22"/>
        </w:rPr>
        <w:t xml:space="preserve"> Cinnamon, clove, ginger, allspice (all share warm spice family)</w:t>
      </w:r>
    </w:p>
    <w:p>
      <w:pPr>
        <w:spacing w:after="100" w:before="200"/>
      </w:pPr>
      <w:r>
        <w:rPr>
          <w:rFonts w:ascii="Arial" w:cs="Arial" w:eastAsia="Arial" w:hAnsi="Arial"/>
          <w:b/>
          <w:bCs/>
          <w:color w:val="444444"/>
          <w:sz w:val="24"/>
          <w:szCs w:val="24"/>
        </w:rPr>
        <w:t xml:space="preserve">Cumin (*Cuminum cyminum*)</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Concentration:</w:t>
      </w:r>
      <w:r>
        <w:rPr>
          <w:rFonts w:ascii="Arial" w:cs="Arial" w:eastAsia="Arial" w:hAnsi="Arial"/>
          <w:sz w:val="22"/>
          <w:szCs w:val="22"/>
        </w:rPr>
        <w:t xml:space="preserve"> 1–5% of essential oil</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Flavor Profile:</w:t>
      </w:r>
      <w:r>
        <w:rPr>
          <w:rFonts w:ascii="Arial" w:cs="Arial" w:eastAsia="Arial" w:hAnsi="Arial"/>
          <w:sz w:val="22"/>
          <w:szCs w:val="22"/>
        </w:rPr>
        <w:t xml:space="preserve"> Earthy, warm, slightly bitter; dominant note is warm spice</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Terpinolene's Role:</w:t>
      </w:r>
      <w:r>
        <w:rPr>
          <w:rFonts w:ascii="Arial" w:cs="Arial" w:eastAsia="Arial" w:hAnsi="Arial"/>
          <w:sz w:val="22"/>
          <w:szCs w:val="22"/>
        </w:rPr>
        <w:t xml:space="preserve"> Adds herbal, fresh complexity to earthy base</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Culinary Use:</w:t>
      </w:r>
      <w:r>
        <w:rPr>
          <w:rFonts w:ascii="Arial" w:cs="Arial" w:eastAsia="Arial" w:hAnsi="Arial"/>
          <w:sz w:val="22"/>
          <w:szCs w:val="22"/>
        </w:rPr>
        <w:t xml:space="preserve"> Middle Eastern, Indian, Mexican cuisines; curries, rice dishes, spice blends (garam masala contains terpinolene via multiple constituent spices)</w:t>
      </w:r>
    </w:p>
    <w:p>
      <w:pPr>
        <w:spacing w:after="100" w:before="200"/>
      </w:pPr>
      <w:r>
        <w:rPr>
          <w:rFonts w:ascii="Arial" w:cs="Arial" w:eastAsia="Arial" w:hAnsi="Arial"/>
          <w:b/>
          <w:bCs/>
          <w:color w:val="444444"/>
          <w:sz w:val="24"/>
          <w:szCs w:val="24"/>
        </w:rPr>
        <w:t xml:space="preserve">Allspice (*Pimenta officinalis*)</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Concentration:</w:t>
      </w:r>
      <w:r>
        <w:rPr>
          <w:rFonts w:ascii="Arial" w:cs="Arial" w:eastAsia="Arial" w:hAnsi="Arial"/>
          <w:sz w:val="22"/>
          <w:szCs w:val="22"/>
        </w:rPr>
        <w:t xml:space="preserve"> 1–3% of essential oil</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Flavor Profile:</w:t>
      </w:r>
      <w:r>
        <w:rPr>
          <w:rFonts w:ascii="Arial" w:cs="Arial" w:eastAsia="Arial" w:hAnsi="Arial"/>
          <w:sz w:val="22"/>
          <w:szCs w:val="22"/>
        </w:rPr>
        <w:t xml:space="preserve"> Clove-like, warm, with nutmeg and cinnamon undertones</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Terpinolene's Role:</w:t>
      </w:r>
      <w:r>
        <w:rPr>
          <w:rFonts w:ascii="Arial" w:cs="Arial" w:eastAsia="Arial" w:hAnsi="Arial"/>
          <w:sz w:val="22"/>
          <w:szCs w:val="22"/>
        </w:rPr>
        <w:t xml:space="preserve"> Contributes subtle herbaceous, fresh notes</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Culinary Use:</w:t>
      </w:r>
      <w:r>
        <w:rPr>
          <w:rFonts w:ascii="Arial" w:cs="Arial" w:eastAsia="Arial" w:hAnsi="Arial"/>
          <w:sz w:val="22"/>
          <w:szCs w:val="22"/>
        </w:rPr>
        <w:t xml:space="preserve"> Jamaican cuisine, Caribbean spice blends, baked goods, stewed meats</w:t>
      </w:r>
    </w:p>
    <w:p>
      <w:pPr>
        <w:spacing w:after="100" w:before="200"/>
      </w:pPr>
      <w:r>
        <w:rPr>
          <w:rFonts w:ascii="Arial" w:cs="Arial" w:eastAsia="Arial" w:hAnsi="Arial"/>
          <w:b/>
          <w:bCs/>
          <w:color w:val="444444"/>
          <w:sz w:val="24"/>
          <w:szCs w:val="24"/>
        </w:rPr>
        <w:t xml:space="preserve">Parsnip (*Pastinaca sativa*)</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Concentration:</w:t>
      </w:r>
      <w:r>
        <w:rPr>
          <w:rFonts w:ascii="Arial" w:cs="Arial" w:eastAsia="Arial" w:hAnsi="Arial"/>
          <w:sz w:val="22"/>
          <w:szCs w:val="22"/>
        </w:rPr>
        <w:t xml:space="preserve"> 40–69% of essential oil (among highest natural sources!)</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Flavor Profile:</w:t>
      </w:r>
      <w:r>
        <w:rPr>
          <w:rFonts w:ascii="Arial" w:cs="Arial" w:eastAsia="Arial" w:hAnsi="Arial"/>
          <w:sz w:val="22"/>
          <w:szCs w:val="22"/>
        </w:rPr>
        <w:t xml:space="preserve"> Root vegetable with subtle sweetness and spicy-warm notes</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Terpinolene's Role:</w:t>
      </w:r>
      <w:r>
        <w:rPr>
          <w:rFonts w:ascii="Arial" w:cs="Arial" w:eastAsia="Arial" w:hAnsi="Arial"/>
          <w:sz w:val="22"/>
          <w:szCs w:val="22"/>
        </w:rPr>
        <w:t xml:space="preserve"> DOMINANT; parsnip's natural volatile profile is terpinolene-dominant, contributing characteristic "warm, spicy-sweet" flavor</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Culinary Use:</w:t>
      </w:r>
      <w:r>
        <w:rPr>
          <w:rFonts w:ascii="Arial" w:cs="Arial" w:eastAsia="Arial" w:hAnsi="Arial"/>
          <w:sz w:val="22"/>
          <w:szCs w:val="22"/>
        </w:rPr>
        <w:t xml:space="preserve"> Roasted root vegetables, parsnip chips, soups, stews; parsnip seeds used as spice flavoring</w:t>
      </w:r>
    </w:p>
    <w:p>
      <w:pPr>
        <w:spacing w:after="120" w:line="300"/>
      </w:pPr>
      <w:r>
        <w:rPr>
          <w:rFonts w:ascii="Arial" w:cs="Arial" w:eastAsia="Arial" w:hAnsi="Arial"/>
          <w:b/>
          <w:bCs/>
          <w:sz w:val="22"/>
          <w:szCs w:val="22"/>
        </w:rPr>
        <w:t xml:space="preserve">Culinary Pairing Principle:</w:t>
      </w:r>
      <w:r>
        <w:rPr>
          <w:rFonts w:ascii="Arial" w:cs="Arial" w:eastAsia="Arial" w:hAnsi="Arial"/>
          <w:sz w:val="22"/>
          <w:szCs w:val="22"/>
        </w:rPr>
        <w:t xml:space="preserve"> Spices and botanicals sharing terpinolene tend to pair well together (complementary terpene profiles), supporting traditional spice-blend formulations:</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Garam Masala:</w:t>
      </w:r>
      <w:r>
        <w:rPr>
          <w:rFonts w:ascii="Arial" w:cs="Arial" w:eastAsia="Arial" w:hAnsi="Arial"/>
          <w:sz w:val="22"/>
          <w:szCs w:val="22"/>
        </w:rPr>
        <w:t xml:space="preserve"> Nutmeg + cumin + coriander + cardamom + cinnamon + cloves + black pepper (multiple terpinolene contributors)</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Mulled Wine Spice:</w:t>
      </w:r>
      <w:r>
        <w:rPr>
          <w:rFonts w:ascii="Arial" w:cs="Arial" w:eastAsia="Arial" w:hAnsi="Arial"/>
          <w:sz w:val="22"/>
          <w:szCs w:val="22"/>
        </w:rPr>
        <w:t xml:space="preserve"> Nutmeg + cinnamon + clove + allspice + star anise (terpinolene-heavy blend)</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Barbecue Rub:</w:t>
      </w:r>
      <w:r>
        <w:rPr>
          <w:rFonts w:ascii="Arial" w:cs="Arial" w:eastAsia="Arial" w:hAnsi="Arial"/>
          <w:sz w:val="22"/>
          <w:szCs w:val="22"/>
        </w:rPr>
        <w:t xml:space="preserve"> Cumin + allspice + chili powder + paprika (earthy-warm with terpinolene accent)</w:t>
      </w:r>
    </w:p>
    <w:p>
      <w:pPr>
        <w:pStyle w:val="Heading2"/>
        <w:spacing w:after="120" w:before="240"/>
      </w:pPr>
      <w:r>
        <w:rPr>
          <w:rFonts w:ascii="Arial" w:cs="Arial" w:eastAsia="Arial" w:hAnsi="Arial"/>
          <w:b/>
          <w:bCs/>
          <w:color w:val="333333"/>
          <w:sz w:val="26"/>
          <w:szCs w:val="26"/>
        </w:rPr>
        <w:t xml:space="preserve">Food Flavoring &amp; Additive Regulatory Status</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FDA GRAS Status:</w:t>
      </w:r>
      <w:r>
        <w:rPr>
          <w:rFonts w:ascii="Arial" w:cs="Arial" w:eastAsia="Arial" w:hAnsi="Arial"/>
          <w:sz w:val="22"/>
          <w:szCs w:val="22"/>
        </w:rPr>
        <w:t xml:space="preserve"> Terpinolene approved as natural flavoring agent</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EU Approval:</w:t>
      </w:r>
      <w:r>
        <w:rPr>
          <w:rFonts w:ascii="Arial" w:cs="Arial" w:eastAsia="Arial" w:hAnsi="Arial"/>
          <w:sz w:val="22"/>
          <w:szCs w:val="22"/>
        </w:rPr>
        <w:t xml:space="preserve"> Listed in flavoring regulation (EC) No 1334/2008</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Typical Concentration in Foods:</w:t>
      </w:r>
      <w:r>
        <w:rPr>
          <w:rFonts w:ascii="Arial" w:cs="Arial" w:eastAsia="Arial" w:hAnsi="Arial"/>
          <w:sz w:val="22"/>
          <w:szCs w:val="22"/>
        </w:rPr>
        <w:t xml:space="preserve"> &lt;0.5 ppm in finished products (extremely dilute)</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Delivery Mechanism:</w:t>
      </w:r>
      <w:r>
        <w:rPr>
          <w:rFonts w:ascii="Arial" w:cs="Arial" w:eastAsia="Arial" w:hAnsi="Arial"/>
          <w:sz w:val="22"/>
          <w:szCs w:val="22"/>
        </w:rPr>
        <w:t xml:space="preserve"> Essential oil extract or synthetic terpinolene added to food formulations</w:t>
      </w:r>
    </w:p>
    <w:p>
      <w:pPr>
        <w:spacing w:before="200"/>
      </w:pPr>
      <w:r>
        <w:drawing>
          <wp:inline distT="0" distB="0" distL="0" distR="0">
            <wp:extent cx="6191250" cy="47625"/>
            <wp:effectExtent t="0" r="0" b="0" l="0"/>
            <wp:docPr id="1" name="divider" descr="Section divider" title="div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47625"/>
                    </a:xfrm>
                    <a:prstGeom prst="rect">
                      <a:avLst/>
                    </a:prstGeom>
                  </pic:spPr>
                </pic:pic>
              </a:graphicData>
            </a:graphic>
          </wp:inline>
        </w:drawing>
      </w:r>
    </w:p>
    <w:p>
      <w:pPr>
        <w:pStyle w:val="Heading1"/>
        <w:spacing w:after="200" w:before="360"/>
      </w:pPr>
      <w:r>
        <w:rPr>
          <w:rFonts w:ascii="Arial" w:cs="Arial" w:eastAsia="Arial" w:hAnsi="Arial"/>
          <w:b/>
          <w:bCs/>
          <w:color w:val="00695C"/>
          <w:sz w:val="30"/>
          <w:szCs w:val="30"/>
        </w:rPr>
        <w:t xml:space="preserve">Traditional Medicine</w:t>
      </w:r>
    </w:p>
    <w:p>
      <w:pPr>
        <w:spacing w:after="120" w:line="300"/>
      </w:pPr>
      <w:r>
        <w:rPr>
          <w:rFonts w:ascii="Arial" w:cs="Arial" w:eastAsia="Arial" w:hAnsi="Arial"/>
          <w:sz w:val="22"/>
          <w:szCs w:val="22"/>
        </w:rPr>
        <w:t xml:space="preserve">Terpinolene's presence in traditionally valued medicinal botanicals—particularly tea tree and nutmeg—means the compound has been used in healing contexts for centuries, though terpinolene itself was only isolated and characterized in the 20th century.</w:t>
      </w:r>
    </w:p>
    <w:p>
      <w:pPr>
        <w:pStyle w:val="Heading2"/>
        <w:spacing w:after="120" w:before="240"/>
      </w:pPr>
      <w:r>
        <w:rPr>
          <w:rFonts w:ascii="Arial" w:cs="Arial" w:eastAsia="Arial" w:hAnsi="Arial"/>
          <w:b/>
          <w:bCs/>
          <w:color w:val="333333"/>
          <w:sz w:val="26"/>
          <w:szCs w:val="26"/>
        </w:rPr>
        <w:t xml:space="preserve">Tea Tree (*Melaleuca alternifolia*) &amp; Bundjalung Medicine</w:t>
      </w:r>
    </w:p>
    <w:p>
      <w:pPr>
        <w:spacing w:after="120" w:line="300"/>
      </w:pPr>
      <w:r>
        <w:rPr>
          <w:rFonts w:ascii="Arial" w:cs="Arial" w:eastAsia="Arial" w:hAnsi="Arial"/>
          <w:b/>
          <w:bCs/>
          <w:sz w:val="22"/>
          <w:szCs w:val="22"/>
        </w:rPr>
        <w:t xml:space="preserve">Historical Context:</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Duration:</w:t>
      </w:r>
      <w:r>
        <w:rPr>
          <w:rFonts w:ascii="Arial" w:cs="Arial" w:eastAsia="Arial" w:hAnsi="Arial"/>
          <w:sz w:val="22"/>
          <w:szCs w:val="22"/>
        </w:rPr>
        <w:t xml:space="preserve"> Bundjalung Aboriginal peoples of northeastern Australia (northern New South Wales) have used tea tree for </w:t>
      </w:r>
      <w:r>
        <w:rPr>
          <w:rFonts w:ascii="Arial" w:cs="Arial" w:eastAsia="Arial" w:hAnsi="Arial"/>
          <w:b/>
          <w:bCs/>
          <w:sz w:val="22"/>
          <w:szCs w:val="22"/>
        </w:rPr>
        <w:t xml:space="preserve">over 40,000 years</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Sacred Status:</w:t>
      </w:r>
      <w:r>
        <w:rPr>
          <w:rFonts w:ascii="Arial" w:cs="Arial" w:eastAsia="Arial" w:hAnsi="Arial"/>
          <w:sz w:val="22"/>
          <w:szCs w:val="22"/>
        </w:rPr>
        <w:t xml:space="preserve"> Tea tree lakes on Bundjalung Country were culturally significant—even used for women's ceremony and childbirth rituals</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Botanical Name:</w:t>
      </w:r>
      <w:r>
        <w:rPr>
          <w:rFonts w:ascii="Arial" w:cs="Arial" w:eastAsia="Arial" w:hAnsi="Arial"/>
          <w:sz w:val="22"/>
          <w:szCs w:val="22"/>
        </w:rPr>
        <w:t xml:space="preserve"> *Melaleuca alternifolia* (ti tree in Bundjalung language)</w:t>
      </w:r>
    </w:p>
    <w:p>
      <w:pPr>
        <w:spacing w:after="120" w:line="300"/>
      </w:pPr>
      <w:r>
        <w:rPr>
          <w:rFonts w:ascii="Arial" w:cs="Arial" w:eastAsia="Arial" w:hAnsi="Arial"/>
          <w:b/>
          <w:bCs/>
          <w:sz w:val="22"/>
          <w:szCs w:val="22"/>
        </w:rPr>
        <w:t xml:space="preserve">Traditional Preparations &amp; Applications:</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Inhalation:</w:t>
      </w:r>
      <w:r>
        <w:rPr>
          <w:rFonts w:ascii="Arial" w:cs="Arial" w:eastAsia="Arial" w:hAnsi="Arial"/>
          <w:sz w:val="22"/>
          <w:szCs w:val="22"/>
        </w:rPr>
        <w:t xml:space="preserve"> Crushed tea tree leaves inhaled to treat coughs, colds, and respiratory ailments</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Topical Poultices:</w:t>
      </w:r>
      <w:r>
        <w:rPr>
          <w:rFonts w:ascii="Arial" w:cs="Arial" w:eastAsia="Arial" w:hAnsi="Arial"/>
          <w:sz w:val="22"/>
          <w:szCs w:val="22"/>
        </w:rPr>
        <w:t xml:space="preserve"> Leaves sprinkled on wounds; poultices applied to infected or inflamed skin</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Infusions:</w:t>
      </w:r>
      <w:r>
        <w:rPr>
          <w:rFonts w:ascii="Arial" w:cs="Arial" w:eastAsia="Arial" w:hAnsi="Arial"/>
          <w:sz w:val="22"/>
          <w:szCs w:val="22"/>
        </w:rPr>
        <w:t xml:space="preserve"> Tea tree leaves soaked to make decoctions for sore throat, oral hygiene, and general skin health</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Vaporous Therapy:</w:t>
      </w:r>
      <w:r>
        <w:rPr>
          <w:rFonts w:ascii="Arial" w:cs="Arial" w:eastAsia="Arial" w:hAnsi="Arial"/>
          <w:sz w:val="22"/>
          <w:szCs w:val="22"/>
        </w:rPr>
        <w:t xml:space="preserve"> Leaves burned or steeped to create healing vapor (antecedent to modern steam inhalation)</w:t>
      </w:r>
    </w:p>
    <w:p>
      <w:pPr>
        <w:spacing w:after="120" w:line="300"/>
      </w:pPr>
      <w:r>
        <w:rPr>
          <w:rFonts w:ascii="Arial" w:cs="Arial" w:eastAsia="Arial" w:hAnsi="Arial"/>
          <w:b/>
          <w:bCs/>
          <w:sz w:val="22"/>
          <w:szCs w:val="22"/>
        </w:rPr>
        <w:t xml:space="preserve">Terpinolene Chemotype Context:</w:t>
      </w:r>
    </w:p>
    <w:p>
      <w:pPr>
        <w:spacing w:after="120" w:line="300"/>
      </w:pPr>
      <w:r>
        <w:rPr>
          <w:rFonts w:ascii="Arial" w:cs="Arial" w:eastAsia="Arial" w:hAnsi="Arial"/>
          <w:sz w:val="22"/>
          <w:szCs w:val="22"/>
        </w:rPr>
        <w:t xml:space="preserve">While modern commercial tea tree oil predominantly uses the </w:t>
      </w:r>
      <w:r>
        <w:rPr>
          <w:rFonts w:ascii="Arial" w:cs="Arial" w:eastAsia="Arial" w:hAnsi="Arial"/>
          <w:b/>
          <w:bCs/>
          <w:sz w:val="22"/>
          <w:szCs w:val="22"/>
        </w:rPr>
        <w:t xml:space="preserve">terpinen-4-ol chemotype</w:t>
      </w:r>
      <w:r>
        <w:rPr>
          <w:rFonts w:ascii="Arial" w:cs="Arial" w:eastAsia="Arial" w:hAnsi="Arial"/>
          <w:sz w:val="22"/>
          <w:szCs w:val="22"/>
        </w:rPr>
        <w:t xml:space="preserve"> (35–48% terpinen-4-ol), the Bundjalung traditionally accessed whichever *M. alternifolia* trees grew in their region—which may have included </w:t>
      </w:r>
      <w:r>
        <w:rPr>
          <w:rFonts w:ascii="Arial" w:cs="Arial" w:eastAsia="Arial" w:hAnsi="Arial"/>
          <w:b/>
          <w:bCs/>
          <w:sz w:val="22"/>
          <w:szCs w:val="22"/>
        </w:rPr>
        <w:t xml:space="preserve">terpinolene-type varieties</w:t>
      </w:r>
      <w:r>
        <w:rPr>
          <w:rFonts w:ascii="Arial" w:cs="Arial" w:eastAsia="Arial" w:hAnsi="Arial"/>
          <w:sz w:val="22"/>
          <w:szCs w:val="22"/>
        </w:rPr>
        <w:t xml:space="preserve"> containing 30–40% terpinolene.</w:t>
      </w:r>
    </w:p>
    <w:p>
      <w:pPr>
        <w:spacing w:after="120" w:line="300"/>
      </w:pPr>
      <w:r>
        <w:rPr>
          <w:rFonts w:ascii="Arial" w:cs="Arial" w:eastAsia="Arial" w:hAnsi="Arial"/>
          <w:b/>
          <w:bCs/>
          <w:sz w:val="22"/>
          <w:szCs w:val="22"/>
        </w:rPr>
        <w:t xml:space="preserve">Implication for Pre-Loading:</w:t>
      </w:r>
      <w:r>
        <w:rPr>
          <w:rFonts w:ascii="Arial" w:cs="Arial" w:eastAsia="Arial" w:hAnsi="Arial"/>
          <w:sz w:val="22"/>
          <w:szCs w:val="22"/>
        </w:rPr>
        <w:t xml:space="preserve"> The Bundjalung inhalation tradition of tea tree (crushed leaves, vapor) represents an ancestral pre-loading analog—inhaling terpinolene-rich vapor 15–30 minutes before consuming other plant medicines (if such practice existed). Modern terpinolene-chemotype tea tree oil pre-loading directly parallels this traditional wisdom.</w:t>
      </w:r>
    </w:p>
    <w:p>
      <w:pPr>
        <w:pStyle w:val="Heading2"/>
        <w:spacing w:after="120" w:before="240"/>
      </w:pPr>
      <w:r>
        <w:rPr>
          <w:rFonts w:ascii="Arial" w:cs="Arial" w:eastAsia="Arial" w:hAnsi="Arial"/>
          <w:b/>
          <w:bCs/>
          <w:color w:val="333333"/>
          <w:sz w:val="26"/>
          <w:szCs w:val="26"/>
        </w:rPr>
        <w:t xml:space="preserve">Nutmeg in Ayurvedic &amp; Middle Eastern Medicine</w:t>
      </w:r>
    </w:p>
    <w:p>
      <w:pPr>
        <w:spacing w:after="120" w:line="300"/>
      </w:pPr>
      <w:r>
        <w:rPr>
          <w:rFonts w:ascii="Arial" w:cs="Arial" w:eastAsia="Arial" w:hAnsi="Arial"/>
          <w:b/>
          <w:bCs/>
          <w:sz w:val="22"/>
          <w:szCs w:val="22"/>
        </w:rPr>
        <w:t xml:space="preserve">Ayurvedic Medicine (Indian Traditional System):</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Nutmeg classified as a </w:t>
      </w:r>
      <w:r>
        <w:rPr>
          <w:rFonts w:ascii="Arial" w:cs="Arial" w:eastAsia="Arial" w:hAnsi="Arial"/>
          <w:b/>
          <w:bCs/>
          <w:sz w:val="22"/>
          <w:szCs w:val="22"/>
        </w:rPr>
        <w:t xml:space="preserve">warming spice</w:t>
      </w:r>
      <w:r>
        <w:rPr>
          <w:rFonts w:ascii="Arial" w:cs="Arial" w:eastAsia="Arial" w:hAnsi="Arial"/>
          <w:sz w:val="22"/>
          <w:szCs w:val="22"/>
        </w:rPr>
        <w:t xml:space="preserve"> (heating energy); used in formulations for digestive support, pain relief, and sleep enhancement</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Traditional applications: Warm milk with nutmeg for insomnia, digestive disorders, joint pain</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Terpinolene's sedative profile aligns with nutmeg's traditional "relaxing" reputation, though causality is not established</w:t>
      </w:r>
    </w:p>
    <w:p>
      <w:pPr>
        <w:spacing w:after="120" w:line="300"/>
      </w:pPr>
      <w:r>
        <w:rPr>
          <w:rFonts w:ascii="Arial" w:cs="Arial" w:eastAsia="Arial" w:hAnsi="Arial"/>
          <w:b/>
          <w:bCs/>
          <w:sz w:val="22"/>
          <w:szCs w:val="22"/>
        </w:rPr>
        <w:t xml:space="preserve">Middle Eastern &amp; Islamic Medicine:</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Nutmeg listed in classical Greco-Islamic pharmacological texts as a warming, digestive, and sleep-promoting agent</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Traditional use: Spiced warm drinks (with honey, milk) for nighttime relaxation</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Folk wisdom: "Nutmeg for sleep" parallels modern terpinolene sedation data</w:t>
      </w:r>
    </w:p>
    <w:p>
      <w:pPr>
        <w:spacing w:after="120" w:line="300"/>
      </w:pPr>
      <w:r>
        <w:rPr>
          <w:rFonts w:ascii="Arial" w:cs="Arial" w:eastAsia="Arial" w:hAnsi="Arial"/>
          <w:b/>
          <w:bCs/>
          <w:sz w:val="22"/>
          <w:szCs w:val="22"/>
        </w:rPr>
        <w:t xml:space="preserve">Implication for Pre-Loading:</w:t>
      </w:r>
      <w:r>
        <w:rPr>
          <w:rFonts w:ascii="Arial" w:cs="Arial" w:eastAsia="Arial" w:hAnsi="Arial"/>
          <w:sz w:val="22"/>
          <w:szCs w:val="22"/>
        </w:rPr>
        <w:t xml:space="preserve"> Nutmeg's traditional sedative application suggests that terpinolene-containing botanicals have been used anecdotally for sleep and relaxation priming—providing cultural precedent, if not empirical validation, for pre-loading protocols.</w:t>
      </w:r>
    </w:p>
    <w:p>
      <w:pPr>
        <w:pStyle w:val="Heading2"/>
        <w:spacing w:after="120" w:before="240"/>
      </w:pPr>
      <w:r>
        <w:rPr>
          <w:rFonts w:ascii="Arial" w:cs="Arial" w:eastAsia="Arial" w:hAnsi="Arial"/>
          <w:b/>
          <w:bCs/>
          <w:color w:val="333333"/>
          <w:sz w:val="26"/>
          <w:szCs w:val="26"/>
        </w:rPr>
        <w:t xml:space="preserve">Cumin in Middle Eastern &amp; North African Folk Medicine</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Cumin valued for </w:t>
      </w:r>
      <w:r>
        <w:rPr>
          <w:rFonts w:ascii="Arial" w:cs="Arial" w:eastAsia="Arial" w:hAnsi="Arial"/>
          <w:b/>
          <w:bCs/>
          <w:sz w:val="22"/>
          <w:szCs w:val="22"/>
        </w:rPr>
        <w:t xml:space="preserve">carminative (anti-gas), digestive, and anti-inflammatory</w:t>
      </w:r>
      <w:r>
        <w:rPr>
          <w:rFonts w:ascii="Arial" w:cs="Arial" w:eastAsia="Arial" w:hAnsi="Arial"/>
          <w:sz w:val="22"/>
          <w:szCs w:val="22"/>
        </w:rPr>
        <w:t xml:space="preserve"> properties</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Traditional use: Warm cumin water for gastrointestinal distress, bloating, inflammatory conditions</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Terpinolene's anti-inflammatory activity (demonstrated in modern research) aligns with cumin's traditional digestive and anti-inflammatory applications</w:t>
      </w:r>
    </w:p>
    <w:p>
      <w:pPr>
        <w:spacing w:before="200"/>
      </w:pPr>
      <w:r>
        <w:drawing>
          <wp:inline distT="0" distB="0" distL="0" distR="0">
            <wp:extent cx="6191250" cy="47625"/>
            <wp:effectExtent t="0" r="0" b="0" l="0"/>
            <wp:docPr id="1" name="divider" descr="Section divider" title="div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47625"/>
                    </a:xfrm>
                    <a:prstGeom prst="rect">
                      <a:avLst/>
                    </a:prstGeom>
                  </pic:spPr>
                </pic:pic>
              </a:graphicData>
            </a:graphic>
          </wp:inline>
        </w:drawing>
      </w:r>
    </w:p>
    <w:p>
      <w:pPr>
        <w:pStyle w:val="Heading1"/>
        <w:spacing w:after="200" w:before="360"/>
      </w:pPr>
      <w:r>
        <w:rPr>
          <w:rFonts w:ascii="Arial" w:cs="Arial" w:eastAsia="Arial" w:hAnsi="Arial"/>
          <w:b/>
          <w:bCs/>
          <w:color w:val="00695C"/>
          <w:sz w:val="30"/>
          <w:szCs w:val="30"/>
        </w:rPr>
        <w:t xml:space="preserve">Forest Ecology</w:t>
      </w:r>
    </w:p>
    <w:p>
      <w:pPr>
        <w:spacing w:after="120" w:line="300"/>
      </w:pPr>
      <w:r>
        <w:rPr>
          <w:rFonts w:ascii="Arial" w:cs="Arial" w:eastAsia="Arial" w:hAnsi="Arial"/>
          <w:sz w:val="22"/>
          <w:szCs w:val="22"/>
        </w:rPr>
        <w:t xml:space="preserve">Terpinolene, like all plant volatiles, plays ecological roles beyond direct human sensory perception or therapeutic value. In forest ecosystems, terpinolene serves functions in plant-plant communication, insect deterrence, and multi-trophic interactions.</w:t>
      </w:r>
    </w:p>
    <w:p>
      <w:pPr>
        <w:pStyle w:val="Heading2"/>
        <w:spacing w:after="120" w:before="240"/>
      </w:pPr>
      <w:r>
        <w:rPr>
          <w:rFonts w:ascii="Arial" w:cs="Arial" w:eastAsia="Arial" w:hAnsi="Arial"/>
          <w:b/>
          <w:bCs/>
          <w:color w:val="333333"/>
          <w:sz w:val="26"/>
          <w:szCs w:val="26"/>
        </w:rPr>
        <w:t xml:space="preserve">Volatile Organic Compound (VOC) Function in Forests</w:t>
      </w:r>
    </w:p>
    <w:p>
      <w:pPr>
        <w:spacing w:after="120" w:line="300"/>
      </w:pPr>
      <w:r>
        <w:rPr>
          <w:rFonts w:ascii="Arial" w:cs="Arial" w:eastAsia="Arial" w:hAnsi="Arial"/>
          <w:b/>
          <w:bCs/>
          <w:sz w:val="22"/>
          <w:szCs w:val="22"/>
        </w:rPr>
        <w:t xml:space="preserve">Ecological Roles of Forest VOCs (Including Terpinolene):</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Interplant Communication:</w:t>
      </w:r>
      <w:r>
        <w:rPr>
          <w:rFonts w:ascii="Arial" w:cs="Arial" w:eastAsia="Arial" w:hAnsi="Arial"/>
          <w:sz w:val="22"/>
          <w:szCs w:val="22"/>
        </w:rPr>
        <w:t xml:space="preserve"> VOCs released by herbivore-damaged plants signal neighboring plants, triggering pre-emptive defense upregulation</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Insect Deterrence:</w:t>
      </w:r>
      <w:r>
        <w:rPr>
          <w:rFonts w:ascii="Arial" w:cs="Arial" w:eastAsia="Arial" w:hAnsi="Arial"/>
          <w:sz w:val="22"/>
          <w:szCs w:val="22"/>
        </w:rPr>
        <w:t xml:space="preserve"> Direct toxicity or deterrent activity against herbivorous insects and parasites</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Herbivore Feeding Behavior Modulation:</w:t>
      </w:r>
      <w:r>
        <w:rPr>
          <w:rFonts w:ascii="Arial" w:cs="Arial" w:eastAsia="Arial" w:hAnsi="Arial"/>
          <w:sz w:val="22"/>
          <w:szCs w:val="22"/>
        </w:rPr>
        <w:t xml:space="preserve"> VOC blends influence insect host-plant recognition and feeding decisions</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Understory Environmental Influence:</w:t>
      </w:r>
      <w:r>
        <w:rPr>
          <w:rFonts w:ascii="Arial" w:cs="Arial" w:eastAsia="Arial" w:hAnsi="Arial"/>
          <w:sz w:val="22"/>
          <w:szCs w:val="22"/>
        </w:rPr>
        <w:t xml:space="preserve"> VOC chemistry affects microbial communities, decomposition rates, and nutrient cycling</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Attraction of Natural Enemies:</w:t>
      </w:r>
      <w:r>
        <w:rPr>
          <w:rFonts w:ascii="Arial" w:cs="Arial" w:eastAsia="Arial" w:hAnsi="Arial"/>
          <w:sz w:val="22"/>
          <w:szCs w:val="22"/>
        </w:rPr>
        <w:t xml:space="preserve"> Some VOCs specifically attract parasitoid wasps and predatory insects that feed on herbivorous pests (indirect defense)</w:t>
      </w:r>
    </w:p>
    <w:p>
      <w:pPr>
        <w:pStyle w:val="Heading2"/>
        <w:spacing w:after="120" w:before="240"/>
      </w:pPr>
      <w:r>
        <w:rPr>
          <w:rFonts w:ascii="Arial" w:cs="Arial" w:eastAsia="Arial" w:hAnsi="Arial"/>
          <w:b/>
          <w:bCs/>
          <w:color w:val="333333"/>
          <w:sz w:val="26"/>
          <w:szCs w:val="26"/>
        </w:rPr>
        <w:t xml:space="preserve">Terpinolene in Melaleuca (Tea Tree) Ecosystems</w:t>
      </w:r>
    </w:p>
    <w:p>
      <w:pPr>
        <w:spacing w:after="120" w:line="300"/>
      </w:pPr>
      <w:r>
        <w:rPr>
          <w:rFonts w:ascii="Arial" w:cs="Arial" w:eastAsia="Arial" w:hAnsi="Arial"/>
          <w:b/>
          <w:bCs/>
          <w:sz w:val="22"/>
          <w:szCs w:val="22"/>
        </w:rPr>
        <w:t xml:space="preserve">Herbivore-Specific Activity:</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Paropsisterna tigrina</w:t>
      </w:r>
      <w:r>
        <w:rPr>
          <w:rFonts w:ascii="Arial" w:cs="Arial" w:eastAsia="Arial" w:hAnsi="Arial"/>
          <w:sz w:val="22"/>
          <w:szCs w:val="22"/>
        </w:rPr>
        <w:t xml:space="preserve"> (eucalyptus leaf beetle) causes </w:t>
      </w:r>
      <w:r>
        <w:rPr>
          <w:rFonts w:ascii="Arial" w:cs="Arial" w:eastAsia="Arial" w:hAnsi="Arial"/>
          <w:b/>
          <w:bCs/>
          <w:sz w:val="22"/>
          <w:szCs w:val="22"/>
        </w:rPr>
        <w:t xml:space="preserve">less damage</w:t>
      </w:r>
      <w:r>
        <w:rPr>
          <w:rFonts w:ascii="Arial" w:cs="Arial" w:eastAsia="Arial" w:hAnsi="Arial"/>
          <w:sz w:val="22"/>
          <w:szCs w:val="22"/>
        </w:rPr>
        <w:t xml:space="preserve"> to *Melaleuca alternifolia* plants with high terpinolene chemotype than to plants with high eucalyptol (1,8-cineole) chemotype</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Implication:</w:t>
      </w:r>
      <w:r>
        <w:rPr>
          <w:rFonts w:ascii="Arial" w:cs="Arial" w:eastAsia="Arial" w:hAnsi="Arial"/>
          <w:sz w:val="22"/>
          <w:szCs w:val="22"/>
        </w:rPr>
        <w:t xml:space="preserve"> Terpinolene acts as a direct deterrent to this herbivore, providing the plant selective advantage in its native Australian ecosystem</w:t>
      </w:r>
    </w:p>
    <w:p>
      <w:pPr>
        <w:spacing w:after="120" w:line="300"/>
      </w:pPr>
      <w:r>
        <w:rPr>
          <w:rFonts w:ascii="Arial" w:cs="Arial" w:eastAsia="Arial" w:hAnsi="Arial"/>
          <w:b/>
          <w:bCs/>
          <w:sz w:val="22"/>
          <w:szCs w:val="22"/>
        </w:rPr>
        <w:t xml:space="preserve">Chemotype-Dependent Defense:</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Six chemotypes of *M. alternifolia* exist, differing in terpinolene, terpinen-4-ol, and eucalyptol ratios</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High-terpinolene chemotypes show reduced herbivory compared to high-eucalyptol chemotypes</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This suggests </w:t>
      </w:r>
      <w:r>
        <w:rPr>
          <w:rFonts w:ascii="Arial" w:cs="Arial" w:eastAsia="Arial" w:hAnsi="Arial"/>
          <w:b/>
          <w:bCs/>
          <w:sz w:val="22"/>
          <w:szCs w:val="22"/>
        </w:rPr>
        <w:t xml:space="preserve">different chemotypes evolved for different ecological niches</w:t>
      </w:r>
      <w:r>
        <w:rPr>
          <w:rFonts w:ascii="Arial" w:cs="Arial" w:eastAsia="Arial" w:hAnsi="Arial"/>
          <w:sz w:val="22"/>
          <w:szCs w:val="22"/>
        </w:rPr>
        <w:t xml:space="preserve"> or herbivore pressures</w:t>
      </w:r>
    </w:p>
    <w:p>
      <w:pPr>
        <w:pStyle w:val="Heading2"/>
        <w:spacing w:after="120" w:before="240"/>
      </w:pPr>
      <w:r>
        <w:rPr>
          <w:rFonts w:ascii="Arial" w:cs="Arial" w:eastAsia="Arial" w:hAnsi="Arial"/>
          <w:b/>
          <w:bCs/>
          <w:color w:val="333333"/>
          <w:sz w:val="26"/>
          <w:szCs w:val="26"/>
        </w:rPr>
        <w:t xml:space="preserve">Terpinolene in Pine Ecosystems</w:t>
      </w:r>
    </w:p>
    <w:p>
      <w:pPr>
        <w:spacing w:after="120" w:line="300"/>
      </w:pPr>
      <w:r>
        <w:rPr>
          <w:rFonts w:ascii="Arial" w:cs="Arial" w:eastAsia="Arial" w:hAnsi="Arial"/>
          <w:b/>
          <w:bCs/>
          <w:sz w:val="22"/>
          <w:szCs w:val="22"/>
        </w:rPr>
        <w:t xml:space="preserve">Insect Host Recognition:</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Terpinolene (α-terpinolene) is </w:t>
      </w:r>
      <w:r>
        <w:rPr>
          <w:rFonts w:ascii="Arial" w:cs="Arial" w:eastAsia="Arial" w:hAnsi="Arial"/>
          <w:b/>
          <w:bCs/>
          <w:sz w:val="22"/>
          <w:szCs w:val="22"/>
        </w:rPr>
        <w:t xml:space="preserve">detected by pine bark beetle antennae</w:t>
      </w:r>
      <w:r>
        <w:rPr>
          <w:rFonts w:ascii="Arial" w:cs="Arial" w:eastAsia="Arial" w:hAnsi="Arial"/>
          <w:sz w:val="22"/>
          <w:szCs w:val="22"/>
        </w:rPr>
        <w:t xml:space="preserve"> (*Tomicus destruens* and related species)</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Along with limonene, myrcene, α-pinene, and caryophyllene, terpinolene is part of the bark volatile </w:t>
      </w:r>
      <w:r>
        <w:rPr>
          <w:rFonts w:ascii="Arial" w:cs="Arial" w:eastAsia="Arial" w:hAnsi="Arial"/>
          <w:b/>
          <w:bCs/>
          <w:sz w:val="22"/>
          <w:szCs w:val="22"/>
        </w:rPr>
        <w:t xml:space="preserve">signature</w:t>
      </w:r>
      <w:r>
        <w:rPr>
          <w:rFonts w:ascii="Arial" w:cs="Arial" w:eastAsia="Arial" w:hAnsi="Arial"/>
          <w:sz w:val="22"/>
          <w:szCs w:val="22"/>
        </w:rPr>
        <w:t xml:space="preserve"> that beetles use for host-plant identification</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Life Stage-Specific Response:</w:t>
      </w:r>
      <w:r>
        <w:rPr>
          <w:rFonts w:ascii="Arial" w:cs="Arial" w:eastAsia="Arial" w:hAnsi="Arial"/>
          <w:sz w:val="22"/>
          <w:szCs w:val="22"/>
        </w:rPr>
        <w:t xml:space="preserve"> α-Terpinolene released from bark is active on </w:t>
      </w:r>
      <w:r>
        <w:rPr>
          <w:rFonts w:ascii="Arial" w:cs="Arial" w:eastAsia="Arial" w:hAnsi="Arial"/>
          <w:b/>
          <w:bCs/>
          <w:sz w:val="22"/>
          <w:szCs w:val="22"/>
        </w:rPr>
        <w:t xml:space="preserve">mature</w:t>
      </w:r>
      <w:r>
        <w:rPr>
          <w:rFonts w:ascii="Arial" w:cs="Arial" w:eastAsia="Arial" w:hAnsi="Arial"/>
          <w:sz w:val="22"/>
          <w:szCs w:val="22"/>
        </w:rPr>
        <w:t xml:space="preserve"> bark beetles, while volatile esters from shoots attract </w:t>
      </w:r>
      <w:r>
        <w:rPr>
          <w:rFonts w:ascii="Arial" w:cs="Arial" w:eastAsia="Arial" w:hAnsi="Arial"/>
          <w:b/>
          <w:bCs/>
          <w:sz w:val="22"/>
          <w:szCs w:val="22"/>
        </w:rPr>
        <w:t xml:space="preserve">callow (newly emerged)</w:t>
      </w:r>
      <w:r>
        <w:rPr>
          <w:rFonts w:ascii="Arial" w:cs="Arial" w:eastAsia="Arial" w:hAnsi="Arial"/>
          <w:sz w:val="22"/>
          <w:szCs w:val="22"/>
        </w:rPr>
        <w:t xml:space="preserve"> beetles—suggesting temporal and spatial partitioning of VOC-mediated insect life cycles</w:t>
      </w:r>
    </w:p>
    <w:p>
      <w:pPr>
        <w:spacing w:after="120" w:line="300"/>
      </w:pPr>
      <w:r>
        <w:rPr>
          <w:rFonts w:ascii="Arial" w:cs="Arial" w:eastAsia="Arial" w:hAnsi="Arial"/>
          <w:b/>
          <w:bCs/>
          <w:sz w:val="22"/>
          <w:szCs w:val="22"/>
        </w:rPr>
        <w:t xml:space="preserve">Pine Shoot Beetle Damage:</w:t>
      </w:r>
      <w:r>
        <w:rPr>
          <w:rFonts w:ascii="Arial" w:cs="Arial" w:eastAsia="Arial" w:hAnsi="Arial"/>
          <w:sz w:val="22"/>
          <w:szCs w:val="22"/>
        </w:rPr>
        <w:t xml:space="preserve"> While terpinolene helps beetles locate hosts, it also participates in </w:t>
      </w:r>
      <w:r>
        <w:rPr>
          <w:rFonts w:ascii="Arial" w:cs="Arial" w:eastAsia="Arial" w:hAnsi="Arial"/>
          <w:b/>
          <w:bCs/>
          <w:sz w:val="22"/>
          <w:szCs w:val="22"/>
        </w:rPr>
        <w:t xml:space="preserve">induced plant defense</w:t>
      </w:r>
      <w:r>
        <w:rPr>
          <w:rFonts w:ascii="Arial" w:cs="Arial" w:eastAsia="Arial" w:hAnsi="Arial"/>
          <w:sz w:val="22"/>
          <w:szCs w:val="22"/>
        </w:rPr>
        <w:t xml:space="preserve">. Beetle-attacked trees upregulate VOC production (including terpinolene) as part of a multi-trophic signaling cascade that may attract natural enemies of the beetle.</w:t>
      </w:r>
    </w:p>
    <w:p>
      <w:pPr>
        <w:pStyle w:val="Heading2"/>
        <w:spacing w:after="120" w:before="240"/>
      </w:pPr>
      <w:r>
        <w:rPr>
          <w:rFonts w:ascii="Arial" w:cs="Arial" w:eastAsia="Arial" w:hAnsi="Arial"/>
          <w:b/>
          <w:bCs/>
          <w:color w:val="333333"/>
          <w:sz w:val="26"/>
          <w:szCs w:val="26"/>
        </w:rPr>
        <w:t xml:space="preserve">Multi-Trophic Interactions</w:t>
      </w:r>
    </w:p>
    <w:p>
      <w:pPr>
        <w:spacing w:after="120" w:line="300"/>
      </w:pPr>
      <w:r>
        <w:rPr>
          <w:rFonts w:ascii="Arial" w:cs="Arial" w:eastAsia="Arial" w:hAnsi="Arial"/>
          <w:sz w:val="22"/>
          <w:szCs w:val="22"/>
        </w:rPr>
        <w:t xml:space="preserve">Terpinolene participates in complex, multi-level forest interactions:</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Plant ↔ Herbivore:</w:t>
      </w:r>
      <w:r>
        <w:rPr>
          <w:rFonts w:ascii="Arial" w:cs="Arial" w:eastAsia="Arial" w:hAnsi="Arial"/>
          <w:sz w:val="22"/>
          <w:szCs w:val="22"/>
        </w:rPr>
        <w:t xml:space="preserve"> Terpinolene deters or attracts specific insect species</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Plant ↔ Parasitoid:</w:t>
      </w:r>
      <w:r>
        <w:rPr>
          <w:rFonts w:ascii="Arial" w:cs="Arial" w:eastAsia="Arial" w:hAnsi="Arial"/>
          <w:sz w:val="22"/>
          <w:szCs w:val="22"/>
        </w:rPr>
        <w:t xml:space="preserve"> VOC blends (including terpinolene) attract parasitoid wasps that prey on herbivorous insects, benefiting the plant indirectly</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Pathogen ↔ Plant:</w:t>
      </w:r>
      <w:r>
        <w:rPr>
          <w:rFonts w:ascii="Arial" w:cs="Arial" w:eastAsia="Arial" w:hAnsi="Arial"/>
          <w:sz w:val="22"/>
          <w:szCs w:val="22"/>
        </w:rPr>
        <w:t xml:space="preserve"> Volatile blends influence fungal and bacterial colonization of plants</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Plant ↔ Plant:</w:t>
      </w:r>
      <w:r>
        <w:rPr>
          <w:rFonts w:ascii="Arial" w:cs="Arial" w:eastAsia="Arial" w:hAnsi="Arial"/>
          <w:sz w:val="22"/>
          <w:szCs w:val="22"/>
        </w:rPr>
        <w:t xml:space="preserve"> Volatile signals trigger defense priming in neighboring plants</w:t>
      </w:r>
    </w:p>
    <w:p>
      <w:pPr>
        <w:spacing w:after="120" w:line="300"/>
      </w:pPr>
      <w:r>
        <w:rPr>
          <w:rFonts w:ascii="Arial" w:cs="Arial" w:eastAsia="Arial" w:hAnsi="Arial"/>
          <w:sz w:val="22"/>
          <w:szCs w:val="22"/>
        </w:rPr>
        <w:t xml:space="preserve">These ecological relationships, while not directly relevant to cannabis pre-loading, demonstrate that terpinolene's biological activity is deeply woven into natural ecosystems—suggesting robustness of its pharmacological mechanisms across diverse biological contexts.</w:t>
      </w:r>
    </w:p>
    <w:p>
      <w:pPr>
        <w:spacing w:before="200"/>
      </w:pPr>
      <w:r>
        <w:drawing>
          <wp:inline distT="0" distB="0" distL="0" distR="0">
            <wp:extent cx="6191250" cy="47625"/>
            <wp:effectExtent t="0" r="0" b="0" l="0"/>
            <wp:docPr id="1" name="divider" descr="Section divider" title="div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47625"/>
                    </a:xfrm>
                    <a:prstGeom prst="rect">
                      <a:avLst/>
                    </a:prstGeom>
                  </pic:spPr>
                </pic:pic>
              </a:graphicData>
            </a:graphic>
          </wp:inline>
        </w:drawing>
      </w:r>
    </w:p>
    <w:p>
      <w:pPr>
        <w:pStyle w:val="Heading1"/>
        <w:spacing w:after="200" w:before="360"/>
      </w:pPr>
      <w:r>
        <w:rPr>
          <w:rFonts w:ascii="Arial" w:cs="Arial" w:eastAsia="Arial" w:hAnsi="Arial"/>
          <w:b/>
          <w:bCs/>
          <w:color w:val="00695C"/>
          <w:sz w:val="30"/>
          <w:szCs w:val="30"/>
        </w:rPr>
        <w:t xml:space="preserve">Industrial Applications</w:t>
      </w:r>
    </w:p>
    <w:p>
      <w:pPr>
        <w:spacing w:after="120" w:line="300"/>
      </w:pPr>
      <w:r>
        <w:rPr>
          <w:rFonts w:ascii="Arial" w:cs="Arial" w:eastAsia="Arial" w:hAnsi="Arial"/>
          <w:sz w:val="22"/>
          <w:szCs w:val="22"/>
        </w:rPr>
        <w:t xml:space="preserve">Beyond food, fragrance, and pharmaceutical contexts, terpinolene serves several industrial roles leveraging its volatile, lipophilic, and reactive chemical properties.</w:t>
      </w:r>
    </w:p>
    <w:p>
      <w:pPr>
        <w:pStyle w:val="Heading2"/>
        <w:spacing w:after="120" w:before="240"/>
      </w:pPr>
      <w:r>
        <w:rPr>
          <w:rFonts w:ascii="Arial" w:cs="Arial" w:eastAsia="Arial" w:hAnsi="Arial"/>
          <w:b/>
          <w:bCs/>
          <w:color w:val="333333"/>
          <w:sz w:val="26"/>
          <w:szCs w:val="26"/>
        </w:rPr>
        <w:t xml:space="preserve">Solvent Applications</w:t>
      </w:r>
    </w:p>
    <w:p>
      <w:pPr>
        <w:spacing w:after="120" w:line="300"/>
      </w:pPr>
      <w:r>
        <w:rPr>
          <w:rFonts w:ascii="Arial" w:cs="Arial" w:eastAsia="Arial" w:hAnsi="Arial"/>
          <w:b/>
          <w:bCs/>
          <w:sz w:val="22"/>
          <w:szCs w:val="22"/>
        </w:rPr>
        <w:t xml:space="preserve">Properties Supporting Solvent Use:</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Lipophilic (fat-soluble) character; miscible with most organic solvents</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Low viscosity; high volatility (bp 184–185°C)</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Pleasant odor (advantage in consumer-facing applications)</w:t>
      </w:r>
    </w:p>
    <w:p>
      <w:pPr>
        <w:spacing w:after="120" w:line="300"/>
      </w:pPr>
      <w:r>
        <w:rPr>
          <w:rFonts w:ascii="Arial" w:cs="Arial" w:eastAsia="Arial" w:hAnsi="Arial"/>
          <w:b/>
          <w:bCs/>
          <w:sz w:val="22"/>
          <w:szCs w:val="22"/>
        </w:rPr>
        <w:t xml:space="preserve">Industrial Solvent Uses:</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Resin Solvation:</w:t>
      </w:r>
      <w:r>
        <w:rPr>
          <w:rFonts w:ascii="Arial" w:cs="Arial" w:eastAsia="Arial" w:hAnsi="Arial"/>
          <w:sz w:val="22"/>
          <w:szCs w:val="22"/>
        </w:rPr>
        <w:t xml:space="preserve"> Dissolves and carries plant resins, waxes, and lipophilic compounds</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Essential Oil Vehicle:</w:t>
      </w:r>
      <w:r>
        <w:rPr>
          <w:rFonts w:ascii="Arial" w:cs="Arial" w:eastAsia="Arial" w:hAnsi="Arial"/>
          <w:sz w:val="22"/>
          <w:szCs w:val="22"/>
        </w:rPr>
        <w:t xml:space="preserve"> Used as a natural carrier for other essential oils in fragrance and cosmetic formulations</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Paint &amp; Coating Solvent:</w:t>
      </w:r>
      <w:r>
        <w:rPr>
          <w:rFonts w:ascii="Arial" w:cs="Arial" w:eastAsia="Arial" w:hAnsi="Arial"/>
          <w:sz w:val="22"/>
          <w:szCs w:val="22"/>
        </w:rPr>
        <w:t xml:space="preserve"> Replacing synthetic solvents in eco-conscious paint, varnish, and coating formulations</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Industrial Degreaser:</w:t>
      </w:r>
      <w:r>
        <w:rPr>
          <w:rFonts w:ascii="Arial" w:cs="Arial" w:eastAsia="Arial" w:hAnsi="Arial"/>
          <w:sz w:val="22"/>
          <w:szCs w:val="22"/>
        </w:rPr>
        <w:t xml:space="preserve"> Lipophilic nature aids removal of oils and greases from machinery and equipment</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Green Solvent Initiative:</w:t>
      </w:r>
      <w:r>
        <w:rPr>
          <w:rFonts w:ascii="Arial" w:cs="Arial" w:eastAsia="Arial" w:hAnsi="Arial"/>
          <w:sz w:val="22"/>
          <w:szCs w:val="22"/>
        </w:rPr>
        <w:t xml:space="preserve"> Part of the shift toward </w:t>
      </w:r>
      <w:r>
        <w:rPr>
          <w:rFonts w:ascii="Arial" w:cs="Arial" w:eastAsia="Arial" w:hAnsi="Arial"/>
          <w:b/>
          <w:bCs/>
          <w:sz w:val="22"/>
          <w:szCs w:val="22"/>
        </w:rPr>
        <w:t xml:space="preserve">biomass-derived solvents</w:t>
      </w:r>
      <w:r>
        <w:rPr>
          <w:rFonts w:ascii="Arial" w:cs="Arial" w:eastAsia="Arial" w:hAnsi="Arial"/>
          <w:sz w:val="22"/>
          <w:szCs w:val="22"/>
        </w:rPr>
        <w:t xml:space="preserve"> (terpenes derived from renewable plant sources) as replacements for petroleum-based solvents (hexane, toluene, xylene)</w:t>
      </w:r>
    </w:p>
    <w:p>
      <w:pPr>
        <w:pStyle w:val="Heading2"/>
        <w:spacing w:after="120" w:before="240"/>
      </w:pPr>
      <w:r>
        <w:rPr>
          <w:rFonts w:ascii="Arial" w:cs="Arial" w:eastAsia="Arial" w:hAnsi="Arial"/>
          <w:b/>
          <w:bCs/>
          <w:color w:val="333333"/>
          <w:sz w:val="26"/>
          <w:szCs w:val="26"/>
        </w:rPr>
        <w:t xml:space="preserve">Chemical Intermediate &amp; Synthesis</w:t>
      </w:r>
    </w:p>
    <w:p>
      <w:pPr>
        <w:spacing w:after="120" w:line="300"/>
      </w:pPr>
      <w:r>
        <w:rPr>
          <w:rFonts w:ascii="Arial" w:cs="Arial" w:eastAsia="Arial" w:hAnsi="Arial"/>
          <w:b/>
          <w:bCs/>
          <w:sz w:val="22"/>
          <w:szCs w:val="22"/>
        </w:rPr>
        <w:t xml:space="preserve">Terpinolene Epoxide:</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Synthesis:</w:t>
      </w:r>
      <w:r>
        <w:rPr>
          <w:rFonts w:ascii="Arial" w:cs="Arial" w:eastAsia="Arial" w:hAnsi="Arial"/>
          <w:sz w:val="22"/>
          <w:szCs w:val="22"/>
        </w:rPr>
        <w:t xml:space="preserve"> Terpinolene undergoes selective epoxidation (typically via peracid or catalytic oxidation) to form terpinolene epoxide</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Downstream Application:</w:t>
      </w:r>
      <w:r>
        <w:rPr>
          <w:rFonts w:ascii="Arial" w:cs="Arial" w:eastAsia="Arial" w:hAnsi="Arial"/>
          <w:sz w:val="22"/>
          <w:szCs w:val="22"/>
        </w:rPr>
        <w:t xml:space="preserve"> Terpinolene epoxide is a valuable </w:t>
      </w:r>
      <w:r>
        <w:rPr>
          <w:rFonts w:ascii="Arial" w:cs="Arial" w:eastAsia="Arial" w:hAnsi="Arial"/>
          <w:b/>
          <w:bCs/>
          <w:sz w:val="22"/>
          <w:szCs w:val="22"/>
        </w:rPr>
        <w:t xml:space="preserve">chemical intermediate</w:t>
      </w:r>
      <w:r>
        <w:rPr>
          <w:rFonts w:ascii="Arial" w:cs="Arial" w:eastAsia="Arial" w:hAnsi="Arial"/>
          <w:sz w:val="22"/>
          <w:szCs w:val="22"/>
        </w:rPr>
        <w:t xml:space="preserve"> in the industrial synthesis of </w:t>
      </w:r>
      <w:r>
        <w:rPr>
          <w:rFonts w:ascii="Arial" w:cs="Arial" w:eastAsia="Arial" w:hAnsi="Arial"/>
          <w:b/>
          <w:bCs/>
          <w:sz w:val="22"/>
          <w:szCs w:val="22"/>
        </w:rPr>
        <w:t xml:space="preserve">terpinen-4-ol</w:t>
      </w:r>
      <w:r>
        <w:rPr>
          <w:rFonts w:ascii="Arial" w:cs="Arial" w:eastAsia="Arial" w:hAnsi="Arial"/>
          <w:sz w:val="22"/>
          <w:szCs w:val="22"/>
        </w:rPr>
        <w:t xml:space="preserve"> (a naturally occurring monoterpene alcohol)</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Product Chain:</w:t>
      </w:r>
      <w:r>
        <w:rPr>
          <w:rFonts w:ascii="Arial" w:cs="Arial" w:eastAsia="Arial" w:hAnsi="Arial"/>
          <w:sz w:val="22"/>
          <w:szCs w:val="22"/>
        </w:rPr>
        <w:t xml:space="preserve"> Terpinolene → terpinolene epoxide → terpinen-4-ol → synthetic essential oils for fragrance and flavor industries</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Economic Significance:</w:t>
      </w:r>
      <w:r>
        <w:rPr>
          <w:rFonts w:ascii="Arial" w:cs="Arial" w:eastAsia="Arial" w:hAnsi="Arial"/>
          <w:sz w:val="22"/>
          <w:szCs w:val="22"/>
        </w:rPr>
        <w:t xml:space="preserve"> Synthetic terpinen-4-ol production via terpinolene is economically competitive with traditional tea tree oil extraction, supporting industrial-scale flavor and fragrance manufacturing</w:t>
      </w:r>
    </w:p>
    <w:p>
      <w:pPr>
        <w:spacing w:after="120" w:line="300"/>
      </w:pPr>
      <w:r>
        <w:rPr>
          <w:rFonts w:ascii="Arial" w:cs="Arial" w:eastAsia="Arial" w:hAnsi="Arial"/>
          <w:b/>
          <w:bCs/>
          <w:sz w:val="22"/>
          <w:szCs w:val="22"/>
        </w:rPr>
        <w:t xml:space="preserve">Additional Synthetic Applications:</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Catalyst substrate in radical polymerization reactions (controlling reaction kinetics)</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Precursor for synthetic terpene derivatives with enhanced properties (e.g., hydroxylated, oxidized, or esterified forms)</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Building block in total synthesis of complex natural products in pharmaceutical chemistry</w:t>
      </w:r>
    </w:p>
    <w:p>
      <w:pPr>
        <w:pStyle w:val="Heading2"/>
        <w:spacing w:after="120" w:before="240"/>
      </w:pPr>
      <w:r>
        <w:rPr>
          <w:rFonts w:ascii="Arial" w:cs="Arial" w:eastAsia="Arial" w:hAnsi="Arial"/>
          <w:b/>
          <w:bCs/>
          <w:color w:val="333333"/>
          <w:sz w:val="26"/>
          <w:szCs w:val="26"/>
        </w:rPr>
        <w:t xml:space="preserve">Food &amp; Beverage Additive</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Natural Flavoring Agent:</w:t>
      </w:r>
      <w:r>
        <w:rPr>
          <w:rFonts w:ascii="Arial" w:cs="Arial" w:eastAsia="Arial" w:hAnsi="Arial"/>
          <w:sz w:val="22"/>
          <w:szCs w:val="22"/>
        </w:rPr>
        <w:t xml:space="preserve"> GRAS-approved for use in food and beverages at trace concentrations</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Concentration Limits:</w:t>
      </w:r>
      <w:r>
        <w:rPr>
          <w:rFonts w:ascii="Arial" w:cs="Arial" w:eastAsia="Arial" w:hAnsi="Arial"/>
          <w:sz w:val="22"/>
          <w:szCs w:val="22"/>
        </w:rPr>
        <w:t xml:space="preserve"> &lt;0.5 ppm in finished products (due to volatility and potency)</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Typical Uses:</w:t>
      </w:r>
      <w:r>
        <w:rPr>
          <w:rFonts w:ascii="Arial" w:cs="Arial" w:eastAsia="Arial" w:hAnsi="Arial"/>
          <w:sz w:val="22"/>
          <w:szCs w:val="22"/>
        </w:rPr>
        <w:t xml:space="preserve"> Baked goods, beverages, confectionery, sauces, condiments</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Advantage:</w:t>
      </w:r>
      <w:r>
        <w:rPr>
          <w:rFonts w:ascii="Arial" w:cs="Arial" w:eastAsia="Arial" w:hAnsi="Arial"/>
          <w:sz w:val="22"/>
          <w:szCs w:val="22"/>
        </w:rPr>
        <w:t xml:space="preserve"> Provides fresh, piney, citrus notes without synthetic flavoring markers; "clean label" appeal</w:t>
      </w:r>
    </w:p>
    <w:p>
      <w:pPr>
        <w:pStyle w:val="Heading2"/>
        <w:spacing w:after="120" w:before="240"/>
      </w:pPr>
      <w:r>
        <w:rPr>
          <w:rFonts w:ascii="Arial" w:cs="Arial" w:eastAsia="Arial" w:hAnsi="Arial"/>
          <w:b/>
          <w:bCs/>
          <w:color w:val="333333"/>
          <w:sz w:val="26"/>
          <w:szCs w:val="26"/>
        </w:rPr>
        <w:t xml:space="preserve">Pest Repellent &amp; Biopesticide</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Insecticidal Properties:</w:t>
      </w:r>
      <w:r>
        <w:rPr>
          <w:rFonts w:ascii="Arial" w:cs="Arial" w:eastAsia="Arial" w:hAnsi="Arial"/>
          <w:sz w:val="22"/>
          <w:szCs w:val="22"/>
        </w:rPr>
        <w:t xml:space="preserve"> Terpinolene demonstrates activity against certain agricultural pests (empirical data limited)</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Mechanism:</w:t>
      </w:r>
      <w:r>
        <w:rPr>
          <w:rFonts w:ascii="Arial" w:cs="Arial" w:eastAsia="Arial" w:hAnsi="Arial"/>
          <w:sz w:val="22"/>
          <w:szCs w:val="22"/>
        </w:rPr>
        <w:t xml:space="preserve"> Lipophilic nature disrupts insect nervous system function and possibly chitin synthesis</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Research Gap:</w:t>
      </w:r>
      <w:r>
        <w:rPr>
          <w:rFonts w:ascii="Arial" w:cs="Arial" w:eastAsia="Arial" w:hAnsi="Arial"/>
          <w:sz w:val="22"/>
          <w:szCs w:val="22"/>
        </w:rPr>
        <w:t xml:space="preserve"> Most terpene biopesticide research focuses on limonene, α-pinene, and myrcene; terpinolene-specific data scarce</w:t>
      </w:r>
    </w:p>
    <w:p>
      <w:pPr>
        <w:spacing w:before="200"/>
      </w:pPr>
      <w:r>
        <w:drawing>
          <wp:inline distT="0" distB="0" distL="0" distR="0">
            <wp:extent cx="6191250" cy="47625"/>
            <wp:effectExtent t="0" r="0" b="0" l="0"/>
            <wp:docPr id="1" name="divider" descr="Section divider" title="div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47625"/>
                    </a:xfrm>
                    <a:prstGeom prst="rect">
                      <a:avLst/>
                    </a:prstGeom>
                  </pic:spPr>
                </pic:pic>
              </a:graphicData>
            </a:graphic>
          </wp:inline>
        </w:drawing>
      </w:r>
    </w:p>
    <w:p>
      <w:pPr>
        <w:pStyle w:val="Heading1"/>
        <w:spacing w:after="200" w:before="360"/>
      </w:pPr>
      <w:r>
        <w:rPr>
          <w:rFonts w:ascii="Arial" w:cs="Arial" w:eastAsia="Arial" w:hAnsi="Arial"/>
          <w:b/>
          <w:bCs/>
          <w:color w:val="00695C"/>
          <w:sz w:val="30"/>
          <w:szCs w:val="30"/>
        </w:rPr>
        <w:t xml:space="preserve">Contrarian Evidence &amp; The Sativa Paradox</w:t>
      </w:r>
    </w:p>
    <w:p>
      <w:pPr>
        <w:spacing w:after="120" w:line="300"/>
      </w:pPr>
      <w:r>
        <w:rPr>
          <w:rFonts w:ascii="Arial" w:cs="Arial" w:eastAsia="Arial" w:hAnsi="Arial"/>
          <w:sz w:val="22"/>
          <w:szCs w:val="22"/>
        </w:rPr>
        <w:t xml:space="preserve">Terpinolene presents a compelling </w:t>
      </w:r>
      <w:r>
        <w:rPr>
          <w:rFonts w:ascii="Arial" w:cs="Arial" w:eastAsia="Arial" w:hAnsi="Arial"/>
          <w:b/>
          <w:bCs/>
          <w:sz w:val="22"/>
          <w:szCs w:val="22"/>
        </w:rPr>
        <w:t xml:space="preserve">pharmacological paradox</w:t>
      </w:r>
      <w:r>
        <w:rPr>
          <w:rFonts w:ascii="Arial" w:cs="Arial" w:eastAsia="Arial" w:hAnsi="Arial"/>
          <w:sz w:val="22"/>
          <w:szCs w:val="22"/>
        </w:rPr>
        <w:t xml:space="preserve"> in cannabis research: isolated terpinolene exhibits sedative effects in animal models, yet terpinolene-dominant cannabis strains (e.g., Jack Herer, Super Lemon Haze) are consistently reported as energizing, uplifting, and mentally stimulating.</w:t>
      </w:r>
    </w:p>
    <w:p>
      <w:pPr>
        <w:pStyle w:val="Heading2"/>
        <w:spacing w:after="120" w:before="240"/>
      </w:pPr>
      <w:r>
        <w:rPr>
          <w:rFonts w:ascii="Arial" w:cs="Arial" w:eastAsia="Arial" w:hAnsi="Arial"/>
          <w:b/>
          <w:bCs/>
          <w:color w:val="333333"/>
          <w:sz w:val="26"/>
          <w:szCs w:val="26"/>
        </w:rPr>
        <w:t xml:space="preserve">The Empirical Paradox</w:t>
      </w:r>
    </w:p>
    <w:p>
      <w:pPr>
        <w:spacing w:after="100" w:before="200"/>
      </w:pPr>
      <w:r>
        <w:rPr>
          <w:rFonts w:ascii="Arial" w:cs="Arial" w:eastAsia="Arial" w:hAnsi="Arial"/>
          <w:b/>
          <w:bCs/>
          <w:color w:val="444444"/>
          <w:sz w:val="24"/>
          <w:szCs w:val="24"/>
        </w:rPr>
        <w:t xml:space="preserve">Isolated Terpinolene: Sedative Profile</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Ito &amp; Ito (2013):</w:t>
      </w:r>
      <w:r>
        <w:rPr>
          <w:rFonts w:ascii="Arial" w:cs="Arial" w:eastAsia="Arial" w:hAnsi="Arial"/>
          <w:sz w:val="22"/>
          <w:szCs w:val="22"/>
        </w:rPr>
        <w:t xml:space="preserve"> Inhaled terpinolene dose-dependently increased sleep time and reduced locomotor activity in mice</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Mechanism:</w:t>
      </w:r>
      <w:r>
        <w:rPr>
          <w:rFonts w:ascii="Arial" w:cs="Arial" w:eastAsia="Arial" w:hAnsi="Arial"/>
          <w:sz w:val="22"/>
          <w:szCs w:val="22"/>
        </w:rPr>
        <w:t xml:space="preserve"> Nasal absorption into systemic circulation (bypass of olfactory system); not olfactory-mediated</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Conclusion:</w:t>
      </w:r>
      <w:r>
        <w:rPr>
          <w:rFonts w:ascii="Arial" w:cs="Arial" w:eastAsia="Arial" w:hAnsi="Arial"/>
          <w:sz w:val="22"/>
          <w:szCs w:val="22"/>
        </w:rPr>
        <w:t xml:space="preserve"> Terpinolene demonstrates </w:t>
      </w:r>
      <w:r>
        <w:rPr>
          <w:rFonts w:ascii="Arial" w:cs="Arial" w:eastAsia="Arial" w:hAnsi="Arial"/>
          <w:b/>
          <w:bCs/>
          <w:sz w:val="22"/>
          <w:szCs w:val="22"/>
        </w:rPr>
        <w:t xml:space="preserve">intrinsic sedative pharmacology</w:t>
      </w:r>
      <w:r>
        <w:rPr>
          <w:rFonts w:ascii="Arial" w:cs="Arial" w:eastAsia="Arial" w:hAnsi="Arial"/>
          <w:sz w:val="22"/>
          <w:szCs w:val="22"/>
        </w:rPr>
        <w:t xml:space="preserve"> at isolated compound level</w:t>
      </w:r>
    </w:p>
    <w:p>
      <w:pPr>
        <w:spacing w:after="100" w:before="200"/>
      </w:pPr>
      <w:r>
        <w:rPr>
          <w:rFonts w:ascii="Arial" w:cs="Arial" w:eastAsia="Arial" w:hAnsi="Arial"/>
          <w:b/>
          <w:bCs/>
          <w:color w:val="444444"/>
          <w:sz w:val="24"/>
          <w:szCs w:val="24"/>
        </w:rPr>
        <w:t xml:space="preserve">Jack Herer Cannabis Strain: Energizing Profile</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Terpinolene Dominance:</w:t>
      </w:r>
      <w:r>
        <w:rPr>
          <w:rFonts w:ascii="Arial" w:cs="Arial" w:eastAsia="Arial" w:hAnsi="Arial"/>
          <w:sz w:val="22"/>
          <w:szCs w:val="22"/>
        </w:rPr>
        <w:t xml:space="preserve"> 34–36% terpinolene in flower (Abstrax Tech Signature Series data)</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Reported Effects:</w:t>
      </w:r>
      <w:r>
        <w:rPr>
          <w:rFonts w:ascii="Arial" w:cs="Arial" w:eastAsia="Arial" w:hAnsi="Arial"/>
          <w:sz w:val="22"/>
          <w:szCs w:val="22"/>
        </w:rPr>
        <w:t xml:space="preserve"> Clear-headed, focused energy; boost of mental acuity; NOT sedating</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User Profile:</w:t>
      </w:r>
      <w:r>
        <w:rPr>
          <w:rFonts w:ascii="Arial" w:cs="Arial" w:eastAsia="Arial" w:hAnsi="Arial"/>
          <w:sz w:val="22"/>
          <w:szCs w:val="22"/>
        </w:rPr>
        <w:t xml:space="preserve"> Wake-'n'-bake strain; used for depression and fatigue management without sedation</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Industry Consensus:</w:t>
      </w:r>
      <w:r>
        <w:rPr>
          <w:rFonts w:ascii="Arial" w:cs="Arial" w:eastAsia="Arial" w:hAnsi="Arial"/>
          <w:sz w:val="22"/>
          <w:szCs w:val="22"/>
        </w:rPr>
        <w:t xml:space="preserve"> Jack Herer is classified as an energizing "sativa" strain, contradicting pure terpinolene's sedative profile</w:t>
      </w:r>
    </w:p>
    <w:p>
      <w:pPr>
        <w:spacing w:after="100" w:before="200"/>
      </w:pPr>
      <w:r>
        <w:rPr>
          <w:rFonts w:ascii="Arial" w:cs="Arial" w:eastAsia="Arial" w:hAnsi="Arial"/>
          <w:b/>
          <w:bCs/>
          <w:color w:val="444444"/>
          <w:sz w:val="24"/>
          <w:szCs w:val="24"/>
        </w:rPr>
        <w:t xml:space="preserve">Contradiction</w:t>
      </w:r>
    </w:p>
    <w:p>
      <w:pPr>
        <w:spacing w:after="120" w:line="300"/>
      </w:pPr>
      <w:r>
        <w:rPr>
          <w:rFonts w:ascii="Arial" w:cs="Arial" w:eastAsia="Arial" w:hAnsi="Arial"/>
          <w:sz w:val="22"/>
          <w:szCs w:val="22"/>
        </w:rPr>
        <w:t xml:space="preserve">The same monoterpene (terpinolene) produces </w:t>
      </w:r>
      <w:r>
        <w:rPr>
          <w:rFonts w:ascii="Arial" w:cs="Arial" w:eastAsia="Arial" w:hAnsi="Arial"/>
          <w:b/>
          <w:bCs/>
          <w:sz w:val="22"/>
          <w:szCs w:val="22"/>
        </w:rPr>
        <w:t xml:space="preserve">opposite pharmacological outcomes</w:t>
      </w:r>
      <w:r>
        <w:rPr>
          <w:rFonts w:ascii="Arial" w:cs="Arial" w:eastAsia="Arial" w:hAnsi="Arial"/>
          <w:sz w:val="22"/>
          <w:szCs w:val="22"/>
        </w:rPr>
        <w:t xml:space="preserve"> depending on context:</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Isolated:</w:t>
      </w:r>
      <w:r>
        <w:rPr>
          <w:rFonts w:ascii="Arial" w:cs="Arial" w:eastAsia="Arial" w:hAnsi="Arial"/>
          <w:sz w:val="22"/>
          <w:szCs w:val="22"/>
        </w:rPr>
        <w:t xml:space="preserve"> Sedative</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In Cannabis Matrix:</w:t>
      </w:r>
      <w:r>
        <w:rPr>
          <w:rFonts w:ascii="Arial" w:cs="Arial" w:eastAsia="Arial" w:hAnsi="Arial"/>
          <w:sz w:val="22"/>
          <w:szCs w:val="22"/>
        </w:rPr>
        <w:t xml:space="preserve"> Energizing</w:t>
      </w:r>
    </w:p>
    <w:p>
      <w:pPr>
        <w:pStyle w:val="Heading2"/>
        <w:spacing w:after="120" w:before="240"/>
      </w:pPr>
      <w:r>
        <w:rPr>
          <w:rFonts w:ascii="Arial" w:cs="Arial" w:eastAsia="Arial" w:hAnsi="Arial"/>
          <w:b/>
          <w:bCs/>
          <w:color w:val="333333"/>
          <w:sz w:val="26"/>
          <w:szCs w:val="26"/>
        </w:rPr>
        <w:t xml:space="preserve">Possible Explanations</w:t>
      </w:r>
    </w:p>
    <w:p>
      <w:pPr>
        <w:spacing w:after="100" w:before="200"/>
      </w:pPr>
      <w:r>
        <w:rPr>
          <w:rFonts w:ascii="Arial" w:cs="Arial" w:eastAsia="Arial" w:hAnsi="Arial"/>
          <w:b/>
          <w:bCs/>
          <w:color w:val="444444"/>
          <w:sz w:val="24"/>
          <w:szCs w:val="24"/>
        </w:rPr>
        <w:t xml:space="preserve">1. Cannabinoid Context (Primary Hypothesis)</w:t>
      </w:r>
    </w:p>
    <w:p>
      <w:pPr>
        <w:spacing w:after="120" w:line="300"/>
      </w:pPr>
      <w:r>
        <w:rPr>
          <w:rFonts w:ascii="Arial" w:cs="Arial" w:eastAsia="Arial" w:hAnsi="Arial"/>
          <w:sz w:val="22"/>
          <w:szCs w:val="22"/>
        </w:rPr>
        <w:t xml:space="preserve">Cannabis strains with high terpinolene often contain:</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High THC (15–25%):</w:t>
      </w:r>
      <w:r>
        <w:rPr>
          <w:rFonts w:ascii="Arial" w:cs="Arial" w:eastAsia="Arial" w:hAnsi="Arial"/>
          <w:sz w:val="22"/>
          <w:szCs w:val="22"/>
        </w:rPr>
        <w:t xml:space="preserve"> Psychoactive, energizing, attention-focusing</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Variable CBD:</w:t>
      </w:r>
      <w:r>
        <w:rPr>
          <w:rFonts w:ascii="Arial" w:cs="Arial" w:eastAsia="Arial" w:hAnsi="Arial"/>
          <w:sz w:val="22"/>
          <w:szCs w:val="22"/>
        </w:rPr>
        <w:t xml:space="preserve"> May moderate THC's intensity but doesn't necessarily induce sedation</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Hypothesis:</w:t>
      </w:r>
      <w:r>
        <w:rPr>
          <w:rFonts w:ascii="Arial" w:cs="Arial" w:eastAsia="Arial" w:hAnsi="Arial"/>
          <w:sz w:val="22"/>
          <w:szCs w:val="22"/>
        </w:rPr>
        <w:t xml:space="preserve"> THC's energizing effects </w:t>
      </w:r>
      <w:r>
        <w:rPr>
          <w:rFonts w:ascii="Arial" w:cs="Arial" w:eastAsia="Arial" w:hAnsi="Arial"/>
          <w:b/>
          <w:bCs/>
          <w:sz w:val="22"/>
          <w:szCs w:val="22"/>
        </w:rPr>
        <w:t xml:space="preserve">dominate and override</w:t>
      </w:r>
      <w:r>
        <w:rPr>
          <w:rFonts w:ascii="Arial" w:cs="Arial" w:eastAsia="Arial" w:hAnsi="Arial"/>
          <w:sz w:val="22"/>
          <w:szCs w:val="22"/>
        </w:rPr>
        <w:t xml:space="preserve"> terpinolene's sedative pharmacology. The cannabinoid-centric entourage effect (THC + terpenes) skews toward the cannabinoid's primary activity profile rather than the terpene's isolated effect.</w:t>
      </w:r>
    </w:p>
    <w:p>
      <w:pPr>
        <w:spacing w:after="100" w:before="200"/>
      </w:pPr>
      <w:r>
        <w:rPr>
          <w:rFonts w:ascii="Arial" w:cs="Arial" w:eastAsia="Arial" w:hAnsi="Arial"/>
          <w:b/>
          <w:bCs/>
          <w:color w:val="444444"/>
          <w:sz w:val="24"/>
          <w:szCs w:val="24"/>
        </w:rPr>
        <w:t xml:space="preserve">2. Delivery Method Differences</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Ito &amp; Ito Study:</w:t>
      </w:r>
      <w:r>
        <w:rPr>
          <w:rFonts w:ascii="Arial" w:cs="Arial" w:eastAsia="Arial" w:hAnsi="Arial"/>
          <w:sz w:val="22"/>
          <w:szCs w:val="22"/>
        </w:rPr>
        <w:t xml:space="preserve"> Pure terpinolene inhaled as isolated aerosol (no combustion products, no cannabinoids)</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Cannabis Use:</w:t>
      </w:r>
      <w:r>
        <w:rPr>
          <w:rFonts w:ascii="Arial" w:cs="Arial" w:eastAsia="Arial" w:hAnsi="Arial"/>
          <w:sz w:val="22"/>
          <w:szCs w:val="22"/>
        </w:rPr>
        <w:t xml:space="preserve"> Combustion inhalation (produces CO, CO₂, PAHs, oxidants) or vaporization (temperature-dependent cannabinoid/terpene ratio)</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Hypothesis:</w:t>
      </w:r>
      <w:r>
        <w:rPr>
          <w:rFonts w:ascii="Arial" w:cs="Arial" w:eastAsia="Arial" w:hAnsi="Arial"/>
          <w:sz w:val="22"/>
          <w:szCs w:val="22"/>
        </w:rPr>
        <w:t xml:space="preserve"> Combustion byproducts or the specific cannabinoid/terpene ratio achieved during vaporization may create pharmacodynamic profiles unrepresentative of isolated terpinolene</w:t>
      </w:r>
    </w:p>
    <w:p>
      <w:pPr>
        <w:spacing w:after="100" w:before="200"/>
      </w:pPr>
      <w:r>
        <w:rPr>
          <w:rFonts w:ascii="Arial" w:cs="Arial" w:eastAsia="Arial" w:hAnsi="Arial"/>
          <w:b/>
          <w:bCs/>
          <w:color w:val="444444"/>
          <w:sz w:val="24"/>
          <w:szCs w:val="24"/>
        </w:rPr>
        <w:t xml:space="preserve">3. Dose &amp; Exposure Timing</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Ito &amp; Ito:</w:t>
      </w:r>
      <w:r>
        <w:rPr>
          <w:rFonts w:ascii="Arial" w:cs="Arial" w:eastAsia="Arial" w:hAnsi="Arial"/>
          <w:sz w:val="22"/>
          <w:szCs w:val="22"/>
        </w:rPr>
        <w:t xml:space="preserve"> Controlled dose of terpinolene alone; peak effects measured at specific timepoints</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Cannabis:</w:t>
      </w:r>
      <w:r>
        <w:rPr>
          <w:rFonts w:ascii="Arial" w:cs="Arial" w:eastAsia="Arial" w:hAnsi="Arial"/>
          <w:sz w:val="22"/>
          <w:szCs w:val="22"/>
        </w:rPr>
        <w:t xml:space="preserve"> Polypharmaceutical mixture with cannabinoids (fast-acting, high concentration), terpenes (volatile, lower concentration, potentially delayed peak)</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Hypothesis:</w:t>
      </w:r>
      <w:r>
        <w:rPr>
          <w:rFonts w:ascii="Arial" w:cs="Arial" w:eastAsia="Arial" w:hAnsi="Arial"/>
          <w:sz w:val="22"/>
          <w:szCs w:val="22"/>
        </w:rPr>
        <w:t xml:space="preserve"> Cannabis terpenes may contribute subtle modulation rather than dominant effects; cannabinoids' faster kinetics and higher concentration override terpene pharmacology</w:t>
      </w:r>
    </w:p>
    <w:p>
      <w:pPr>
        <w:spacing w:after="100" w:before="200"/>
      </w:pPr>
      <w:r>
        <w:rPr>
          <w:rFonts w:ascii="Arial" w:cs="Arial" w:eastAsia="Arial" w:hAnsi="Arial"/>
          <w:b/>
          <w:bCs/>
          <w:color w:val="444444"/>
          <w:sz w:val="24"/>
          <w:szCs w:val="24"/>
        </w:rPr>
        <w:t xml:space="preserve">4. Species-Specific Pharmacology (Rodent vs. Human)</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Ito &amp; Ito:</w:t>
      </w:r>
      <w:r>
        <w:rPr>
          <w:rFonts w:ascii="Arial" w:cs="Arial" w:eastAsia="Arial" w:hAnsi="Arial"/>
          <w:sz w:val="22"/>
          <w:szCs w:val="22"/>
        </w:rPr>
        <w:t xml:space="preserve"> Conducted in mice (C57BL/6 strain)</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User Reports:</w:t>
      </w:r>
      <w:r>
        <w:rPr>
          <w:rFonts w:ascii="Arial" w:cs="Arial" w:eastAsia="Arial" w:hAnsi="Arial"/>
          <w:sz w:val="22"/>
          <w:szCs w:val="22"/>
        </w:rPr>
        <w:t xml:space="preserve"> Human cannabis consumers</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Hypothesis:</w:t>
      </w:r>
      <w:r>
        <w:rPr>
          <w:rFonts w:ascii="Arial" w:cs="Arial" w:eastAsia="Arial" w:hAnsi="Arial"/>
          <w:sz w:val="22"/>
          <w:szCs w:val="22"/>
        </w:rPr>
        <w:t xml:space="preserve"> Terpinolene's sedative mechanisms may be more pronounced in rodents than humans; species differences in receptor expression, metabolism, and BBB penetration could explain divergent outcomes</w:t>
      </w:r>
    </w:p>
    <w:p>
      <w:pPr>
        <w:spacing w:after="100" w:before="200"/>
      </w:pPr>
      <w:r>
        <w:rPr>
          <w:rFonts w:ascii="Arial" w:cs="Arial" w:eastAsia="Arial" w:hAnsi="Arial"/>
          <w:b/>
          <w:bCs/>
          <w:color w:val="444444"/>
          <w:sz w:val="24"/>
          <w:szCs w:val="24"/>
        </w:rPr>
        <w:t xml:space="preserve">5. The "Uplifting Sativa" as Cultural Construct</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Cannabis Effects Literature:</w:t>
      </w:r>
      <w:r>
        <w:rPr>
          <w:rFonts w:ascii="Arial" w:cs="Arial" w:eastAsia="Arial" w:hAnsi="Arial"/>
          <w:sz w:val="22"/>
          <w:szCs w:val="22"/>
        </w:rPr>
        <w:t xml:space="preserve"> "Sativa" and "indica" are increasingly recognized as commercial/cultural categories rather than biologically meaningful plant taxa (recent genetic studies show no clear phylogenetic distinction)</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Hypothesis:</w:t>
      </w:r>
      <w:r>
        <w:rPr>
          <w:rFonts w:ascii="Arial" w:cs="Arial" w:eastAsia="Arial" w:hAnsi="Arial"/>
          <w:sz w:val="22"/>
          <w:szCs w:val="22"/>
        </w:rPr>
        <w:t xml:space="preserve"> Jack Herer's "energizing sativa" reputation may be partially driven by user expectation (placebo), strain marketing, and THC-centric effects rather than actual terpinolene pharmacology</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Supporting Data:</w:t>
      </w:r>
      <w:r>
        <w:rPr>
          <w:rFonts w:ascii="Arial" w:cs="Arial" w:eastAsia="Arial" w:hAnsi="Arial"/>
          <w:sz w:val="22"/>
          <w:szCs w:val="22"/>
        </w:rPr>
        <w:t xml:space="preserve"> Blind studies of cannabis effects (where THC/CBD ratios are controlled and users don't know strain classification) show much weaker "sativa" vs. "indica" differentiation than open-label studies</w:t>
      </w:r>
    </w:p>
    <w:p>
      <w:pPr>
        <w:spacing w:after="100" w:before="200"/>
      </w:pPr>
      <w:r>
        <w:rPr>
          <w:rFonts w:ascii="Arial" w:cs="Arial" w:eastAsia="Arial" w:hAnsi="Arial"/>
          <w:b/>
          <w:bCs/>
          <w:color w:val="444444"/>
          <w:sz w:val="24"/>
          <w:szCs w:val="24"/>
        </w:rPr>
        <w:t xml:space="preserve">6. Terpene Bioavailability &amp; CNS Penetration</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Ito &amp; Ito Finding:</w:t>
      </w:r>
      <w:r>
        <w:rPr>
          <w:rFonts w:ascii="Arial" w:cs="Arial" w:eastAsia="Arial" w:hAnsi="Arial"/>
          <w:sz w:val="22"/>
          <w:szCs w:val="22"/>
        </w:rPr>
        <w:t xml:space="preserve"> Terpinolene sedation occurs via </w:t>
      </w:r>
      <w:r>
        <w:rPr>
          <w:rFonts w:ascii="Arial" w:cs="Arial" w:eastAsia="Arial" w:hAnsi="Arial"/>
          <w:b/>
          <w:bCs/>
          <w:sz w:val="22"/>
          <w:szCs w:val="22"/>
        </w:rPr>
        <w:t xml:space="preserve">nasal absorption</w:t>
      </w:r>
      <w:r>
        <w:rPr>
          <w:rFonts w:ascii="Arial" w:cs="Arial" w:eastAsia="Arial" w:hAnsi="Arial"/>
          <w:sz w:val="22"/>
          <w:szCs w:val="22"/>
        </w:rPr>
        <w:t xml:space="preserve">, suggesting systemic circulation is necessary</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Hypothesis:</w:t>
      </w:r>
      <w:r>
        <w:rPr>
          <w:rFonts w:ascii="Arial" w:cs="Arial" w:eastAsia="Arial" w:hAnsi="Arial"/>
          <w:sz w:val="22"/>
          <w:szCs w:val="22"/>
        </w:rPr>
        <w:t xml:space="preserve"> Terpinolene's systemic bioavailability (especially CNS penetration) may be substantially reduced in the context of cannabis (competition from THC for absorption, metabolism, BBB transport)</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Evidence Needed:</w:t>
      </w:r>
      <w:r>
        <w:rPr>
          <w:rFonts w:ascii="Arial" w:cs="Arial" w:eastAsia="Arial" w:hAnsi="Arial"/>
          <w:sz w:val="22"/>
          <w:szCs w:val="22"/>
        </w:rPr>
        <w:t xml:space="preserve"> Pharmacokinetic studies comparing terpinolene alone vs. terpinolene + THC + other terpenes</w:t>
      </w:r>
    </w:p>
    <w:p>
      <w:pPr>
        <w:pStyle w:val="Heading2"/>
        <w:spacing w:after="120" w:before="240"/>
      </w:pPr>
      <w:r>
        <w:rPr>
          <w:rFonts w:ascii="Arial" w:cs="Arial" w:eastAsia="Arial" w:hAnsi="Arial"/>
          <w:b/>
          <w:bCs/>
          <w:color w:val="333333"/>
          <w:sz w:val="26"/>
          <w:szCs w:val="26"/>
        </w:rPr>
        <w:t xml:space="preserve">Implications for Cannabis Pre-Loading</w:t>
      </w:r>
    </w:p>
    <w:p>
      <w:pPr>
        <w:spacing w:after="120" w:line="300"/>
      </w:pPr>
      <w:r>
        <w:rPr>
          <w:rFonts w:ascii="Arial" w:cs="Arial" w:eastAsia="Arial" w:hAnsi="Arial"/>
          <w:sz w:val="22"/>
          <w:szCs w:val="22"/>
        </w:rPr>
        <w:t xml:space="preserve">The terpinolene paradox has profound implications for pre-loading efficacy:</w:t>
      </w:r>
    </w:p>
    <w:p>
      <w:pPr>
        <w:spacing w:after="100" w:before="200"/>
      </w:pPr>
      <w:r>
        <w:rPr>
          <w:rFonts w:ascii="Arial" w:cs="Arial" w:eastAsia="Arial" w:hAnsi="Arial"/>
          <w:b/>
          <w:bCs/>
          <w:color w:val="444444"/>
          <w:sz w:val="24"/>
          <w:szCs w:val="24"/>
        </w:rPr>
        <w:t xml:space="preserve">**Interpretation 1: Cannabinoid Dominance Model**</w:t>
      </w:r>
    </w:p>
    <w:p>
      <w:pPr>
        <w:spacing w:after="120" w:line="300"/>
      </w:pPr>
      <w:r>
        <w:rPr>
          <w:rFonts w:ascii="Arial" w:cs="Arial" w:eastAsia="Arial" w:hAnsi="Arial"/>
          <w:sz w:val="22"/>
          <w:szCs w:val="22"/>
        </w:rPr>
        <w:t xml:space="preserve">If THC/CBD effects override terpinolene's sedative pharmacology in cannabis context, pre-loading with terpinolene may have </w:t>
      </w:r>
      <w:r>
        <w:rPr>
          <w:rFonts w:ascii="Arial" w:cs="Arial" w:eastAsia="Arial" w:hAnsi="Arial"/>
          <w:b/>
          <w:bCs/>
          <w:sz w:val="22"/>
          <w:szCs w:val="22"/>
        </w:rPr>
        <w:t xml:space="preserve">limited efficacy</w:t>
      </w:r>
      <w:r>
        <w:rPr>
          <w:rFonts w:ascii="Arial" w:cs="Arial" w:eastAsia="Arial" w:hAnsi="Arial"/>
          <w:sz w:val="22"/>
          <w:szCs w:val="22"/>
        </w:rPr>
        <w:t xml:space="preserve"> for sedative priming. Instead:</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Pre-loading may provide </w:t>
      </w:r>
      <w:r>
        <w:rPr>
          <w:rFonts w:ascii="Arial" w:cs="Arial" w:eastAsia="Arial" w:hAnsi="Arial"/>
          <w:b/>
          <w:bCs/>
          <w:sz w:val="22"/>
          <w:szCs w:val="22"/>
        </w:rPr>
        <w:t xml:space="preserve">antioxidant protection</w:t>
      </w:r>
      <w:r>
        <w:rPr>
          <w:rFonts w:ascii="Arial" w:cs="Arial" w:eastAsia="Arial" w:hAnsi="Arial"/>
          <w:sz w:val="22"/>
          <w:szCs w:val="22"/>
        </w:rPr>
        <w:t xml:space="preserve"> (well-supported in vitro)</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Pre-loading may provide </w:t>
      </w:r>
      <w:r>
        <w:rPr>
          <w:rFonts w:ascii="Arial" w:cs="Arial" w:eastAsia="Arial" w:hAnsi="Arial"/>
          <w:b/>
          <w:bCs/>
          <w:sz w:val="22"/>
          <w:szCs w:val="22"/>
        </w:rPr>
        <w:t xml:space="preserve">anti-inflammatory priming</w:t>
      </w:r>
      <w:r>
        <w:rPr>
          <w:rFonts w:ascii="Arial" w:cs="Arial" w:eastAsia="Arial" w:hAnsi="Arial"/>
          <w:sz w:val="22"/>
          <w:szCs w:val="22"/>
        </w:rPr>
        <w:t xml:space="preserve"> (supported in animal models)</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Sedative pre-loading would require </w:t>
      </w:r>
      <w:r>
        <w:rPr>
          <w:rFonts w:ascii="Arial" w:cs="Arial" w:eastAsia="Arial" w:hAnsi="Arial"/>
          <w:b/>
          <w:bCs/>
          <w:sz w:val="22"/>
          <w:szCs w:val="22"/>
        </w:rPr>
        <w:t xml:space="preserve">higher terpinolene concentrations</w:t>
      </w:r>
      <w:r>
        <w:rPr>
          <w:rFonts w:ascii="Arial" w:cs="Arial" w:eastAsia="Arial" w:hAnsi="Arial"/>
          <w:sz w:val="22"/>
          <w:szCs w:val="22"/>
        </w:rPr>
        <w:t xml:space="preserve"> or </w:t>
      </w:r>
      <w:r>
        <w:rPr>
          <w:rFonts w:ascii="Arial" w:cs="Arial" w:eastAsia="Arial" w:hAnsi="Arial"/>
          <w:b/>
          <w:bCs/>
          <w:sz w:val="22"/>
          <w:szCs w:val="22"/>
        </w:rPr>
        <w:t xml:space="preserve">cannabinoid co-administration</w:t>
      </w:r>
      <w:r>
        <w:rPr>
          <w:rFonts w:ascii="Arial" w:cs="Arial" w:eastAsia="Arial" w:hAnsi="Arial"/>
          <w:sz w:val="22"/>
          <w:szCs w:val="22"/>
        </w:rPr>
        <w:t xml:space="preserve"> to achieve Ito &amp; Ito levels of sedation</w:t>
      </w:r>
    </w:p>
    <w:p>
      <w:pPr>
        <w:spacing w:after="100" w:before="200"/>
      </w:pPr>
      <w:r>
        <w:rPr>
          <w:rFonts w:ascii="Arial" w:cs="Arial" w:eastAsia="Arial" w:hAnsi="Arial"/>
          <w:b/>
          <w:bCs/>
          <w:color w:val="444444"/>
          <w:sz w:val="24"/>
          <w:szCs w:val="24"/>
        </w:rPr>
        <w:t xml:space="preserve">**Interpretation 2: Botanical Specificity Model**</w:t>
      </w:r>
    </w:p>
    <w:p>
      <w:pPr>
        <w:spacing w:after="120" w:line="300"/>
      </w:pPr>
      <w:r>
        <w:rPr>
          <w:rFonts w:ascii="Arial" w:cs="Arial" w:eastAsia="Arial" w:hAnsi="Arial"/>
          <w:sz w:val="22"/>
          <w:szCs w:val="22"/>
        </w:rPr>
        <w:t xml:space="preserve">If terpinolene sourced from tea tree or parsnip differs pharmacologically from cannabis terpinolene (different co-occurring terpenes, cannabinoid absence), pre-loading with non-cannabis botanicals may </w:t>
      </w:r>
      <w:r>
        <w:rPr>
          <w:rFonts w:ascii="Arial" w:cs="Arial" w:eastAsia="Arial" w:hAnsi="Arial"/>
          <w:b/>
          <w:bCs/>
          <w:sz w:val="22"/>
          <w:szCs w:val="22"/>
        </w:rPr>
        <w:t xml:space="preserve">enhance rather than mimic</w:t>
      </w:r>
      <w:r>
        <w:rPr>
          <w:rFonts w:ascii="Arial" w:cs="Arial" w:eastAsia="Arial" w:hAnsi="Arial"/>
          <w:sz w:val="22"/>
          <w:szCs w:val="22"/>
        </w:rPr>
        <w:t xml:space="preserve"> cannabis effects:</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Tea tree pre-loading might provide </w:t>
      </w:r>
      <w:r>
        <w:rPr>
          <w:rFonts w:ascii="Arial" w:cs="Arial" w:eastAsia="Arial" w:hAnsi="Arial"/>
          <w:b/>
          <w:bCs/>
          <w:sz w:val="22"/>
          <w:szCs w:val="22"/>
        </w:rPr>
        <w:t xml:space="preserve">orthogonal effects</w:t>
      </w:r>
      <w:r>
        <w:rPr>
          <w:rFonts w:ascii="Arial" w:cs="Arial" w:eastAsia="Arial" w:hAnsi="Arial"/>
          <w:sz w:val="22"/>
          <w:szCs w:val="22"/>
        </w:rPr>
        <w:t xml:space="preserve"> (antimicrobial, insecticidal, antioxidant) rather than redundant sedation</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Synergistic benefit could emerge from </w:t>
      </w:r>
      <w:r>
        <w:rPr>
          <w:rFonts w:ascii="Arial" w:cs="Arial" w:eastAsia="Arial" w:hAnsi="Arial"/>
          <w:b/>
          <w:bCs/>
          <w:sz w:val="22"/>
          <w:szCs w:val="22"/>
        </w:rPr>
        <w:t xml:space="preserve">multiple terpenes</w:t>
      </w:r>
      <w:r>
        <w:rPr>
          <w:rFonts w:ascii="Arial" w:cs="Arial" w:eastAsia="Arial" w:hAnsi="Arial"/>
          <w:sz w:val="22"/>
          <w:szCs w:val="22"/>
        </w:rPr>
        <w:t xml:space="preserve"> in tea tree (terpinolene + terpinen-4-ol + α-terpinene)</w:t>
      </w:r>
    </w:p>
    <w:p>
      <w:pPr>
        <w:spacing w:after="100" w:before="200"/>
      </w:pPr>
      <w:r>
        <w:rPr>
          <w:rFonts w:ascii="Arial" w:cs="Arial" w:eastAsia="Arial" w:hAnsi="Arial"/>
          <w:b/>
          <w:bCs/>
          <w:color w:val="444444"/>
          <w:sz w:val="24"/>
          <w:szCs w:val="24"/>
        </w:rPr>
        <w:t xml:space="preserve">**Interpretation 3: Dose-Response Model**</w:t>
      </w:r>
    </w:p>
    <w:p>
      <w:pPr>
        <w:spacing w:after="120" w:line="300"/>
      </w:pPr>
      <w:r>
        <w:rPr>
          <w:rFonts w:ascii="Arial" w:cs="Arial" w:eastAsia="Arial" w:hAnsi="Arial"/>
          <w:sz w:val="22"/>
          <w:szCs w:val="22"/>
        </w:rPr>
        <w:t xml:space="preserve">If Ito &amp; Ito sedation required </w:t>
      </w:r>
      <w:r>
        <w:rPr>
          <w:rFonts w:ascii="Arial" w:cs="Arial" w:eastAsia="Arial" w:hAnsi="Arial"/>
          <w:b/>
          <w:bCs/>
          <w:sz w:val="22"/>
          <w:szCs w:val="22"/>
        </w:rPr>
        <w:t xml:space="preserve">high systemic terpinolene concentrations</w:t>
      </w:r>
      <w:r>
        <w:rPr>
          <w:rFonts w:ascii="Arial" w:cs="Arial" w:eastAsia="Arial" w:hAnsi="Arial"/>
          <w:sz w:val="22"/>
          <w:szCs w:val="22"/>
        </w:rPr>
        <w:t xml:space="preserve"> (100+ mg/kg in rodents), typical pre-loading doses (5–20 mg of terpinolene via essential oil inhalation) may be </w:t>
      </w:r>
      <w:r>
        <w:rPr>
          <w:rFonts w:ascii="Arial" w:cs="Arial" w:eastAsia="Arial" w:hAnsi="Arial"/>
          <w:b/>
          <w:bCs/>
          <w:sz w:val="22"/>
          <w:szCs w:val="22"/>
        </w:rPr>
        <w:t xml:space="preserve">sub-threshold for sedation</w:t>
      </w:r>
      <w:r>
        <w:rPr>
          <w:rFonts w:ascii="Arial" w:cs="Arial" w:eastAsia="Arial" w:hAnsi="Arial"/>
          <w:sz w:val="22"/>
          <w:szCs w:val="22"/>
        </w:rPr>
        <w:t xml:space="preserve"> but still adequate for:</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Antioxidant effects (dose-dependent but achievable at lower concentrations)</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Anti-inflammatory priming</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Receptor occupancy and modulation without gross behavioral effects</w:t>
      </w:r>
    </w:p>
    <w:p>
      <w:pPr>
        <w:pStyle w:val="Heading2"/>
        <w:spacing w:after="120" w:before="240"/>
      </w:pPr>
      <w:r>
        <w:rPr>
          <w:rFonts w:ascii="Arial" w:cs="Arial" w:eastAsia="Arial" w:hAnsi="Arial"/>
          <w:b/>
          <w:bCs/>
          <w:color w:val="333333"/>
          <w:sz w:val="26"/>
          <w:szCs w:val="26"/>
        </w:rPr>
        <w:t xml:space="preserve">Conclusion: The Paradox as a Research Opportunity</w:t>
      </w:r>
    </w:p>
    <w:p>
      <w:pPr>
        <w:spacing w:after="120" w:line="300"/>
      </w:pPr>
      <w:r>
        <w:rPr>
          <w:rFonts w:ascii="Arial" w:cs="Arial" w:eastAsia="Arial" w:hAnsi="Arial"/>
          <w:sz w:val="22"/>
          <w:szCs w:val="22"/>
        </w:rPr>
        <w:t xml:space="preserve">The terpinolene paradox is </w:t>
      </w:r>
      <w:r>
        <w:rPr>
          <w:rFonts w:ascii="Arial" w:cs="Arial" w:eastAsia="Arial" w:hAnsi="Arial"/>
          <w:b/>
          <w:bCs/>
          <w:sz w:val="22"/>
          <w:szCs w:val="22"/>
        </w:rPr>
        <w:t xml:space="preserve">not a flaw in the science</w:t>
      </w:r>
      <w:r>
        <w:rPr>
          <w:rFonts w:ascii="Arial" w:cs="Arial" w:eastAsia="Arial" w:hAnsi="Arial"/>
          <w:sz w:val="22"/>
          <w:szCs w:val="22"/>
        </w:rPr>
        <w:t xml:space="preserve">—it's evidence that </w:t>
      </w:r>
      <w:r>
        <w:rPr>
          <w:rFonts w:ascii="Arial" w:cs="Arial" w:eastAsia="Arial" w:hAnsi="Arial"/>
          <w:b/>
          <w:bCs/>
          <w:sz w:val="22"/>
          <w:szCs w:val="22"/>
        </w:rPr>
        <w:t xml:space="preserve">cannabis pharmacology is multifactorial and context-dependent</w:t>
      </w:r>
      <w:r>
        <w:rPr>
          <w:rFonts w:ascii="Arial" w:cs="Arial" w:eastAsia="Arial" w:hAnsi="Arial"/>
          <w:sz w:val="22"/>
          <w:szCs w:val="22"/>
        </w:rPr>
        <w:t xml:space="preserve">. Rather than dismissing terpinolene's sedative data as irrelevant to cannabis use, this paradox invites rigorous mechanistic research:</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Pharmacokinetic Studies:</w:t>
      </w:r>
      <w:r>
        <w:rPr>
          <w:rFonts w:ascii="Arial" w:cs="Arial" w:eastAsia="Arial" w:hAnsi="Arial"/>
          <w:sz w:val="22"/>
          <w:szCs w:val="22"/>
        </w:rPr>
        <w:t xml:space="preserve"> Terpinolene absorption, distribution, metabolism, and CNS penetration in presence vs. absence of THC</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Receptor Binding Studies:</w:t>
      </w:r>
      <w:r>
        <w:rPr>
          <w:rFonts w:ascii="Arial" w:cs="Arial" w:eastAsia="Arial" w:hAnsi="Arial"/>
          <w:sz w:val="22"/>
          <w:szCs w:val="22"/>
        </w:rPr>
        <w:t xml:space="preserve"> Does terpinolene directly interact with CB1/CB2, GABAergic, or serotonergic receptors, or is it indirect?</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Polypharmaceutical Modeling:</w:t>
      </w:r>
      <w:r>
        <w:rPr>
          <w:rFonts w:ascii="Arial" w:cs="Arial" w:eastAsia="Arial" w:hAnsi="Arial"/>
          <w:sz w:val="22"/>
          <w:szCs w:val="22"/>
        </w:rPr>
        <w:t xml:space="preserve"> Use computational chemistry and cellular assays to predict terpinolene + THC + other terpenes outcomes</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Blinded Cannabis Studies:</w:t>
      </w:r>
      <w:r>
        <w:rPr>
          <w:rFonts w:ascii="Arial" w:cs="Arial" w:eastAsia="Arial" w:hAnsi="Arial"/>
          <w:sz w:val="22"/>
          <w:szCs w:val="22"/>
        </w:rPr>
        <w:t xml:space="preserve"> Administer terpinolene-dominant vs. terpinolene-depleted cannabis strains (matched for THC/CBD) to humans; measure subjective effects and biomarkers</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Pre-Loading Clinical Trials:</w:t>
      </w:r>
      <w:r>
        <w:rPr>
          <w:rFonts w:ascii="Arial" w:cs="Arial" w:eastAsia="Arial" w:hAnsi="Arial"/>
          <w:sz w:val="22"/>
          <w:szCs w:val="22"/>
        </w:rPr>
        <w:t xml:space="preserve"> Design controlled studies of botanical pre-loading with biomarker endpoints (cortisol, heart rate variability, EEG, etc.)</w:t>
      </w:r>
    </w:p>
    <w:p>
      <w:pPr>
        <w:spacing w:before="200"/>
      </w:pPr>
      <w:r>
        <w:drawing>
          <wp:inline distT="0" distB="0" distL="0" distR="0">
            <wp:extent cx="6191250" cy="47625"/>
            <wp:effectExtent t="0" r="0" b="0" l="0"/>
            <wp:docPr id="1" name="divider" descr="Section divider" title="div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47625"/>
                    </a:xfrm>
                    <a:prstGeom prst="rect">
                      <a:avLst/>
                    </a:prstGeom>
                  </pic:spPr>
                </pic:pic>
              </a:graphicData>
            </a:graphic>
          </wp:inline>
        </w:drawing>
      </w:r>
    </w:p>
    <w:p>
      <w:pPr>
        <w:pStyle w:val="Heading1"/>
        <w:spacing w:after="200" w:before="360"/>
      </w:pPr>
      <w:r>
        <w:rPr>
          <w:rFonts w:ascii="Arial" w:cs="Arial" w:eastAsia="Arial" w:hAnsi="Arial"/>
          <w:b/>
          <w:bCs/>
          <w:color w:val="00695C"/>
          <w:sz w:val="30"/>
          <w:szCs w:val="30"/>
        </w:rPr>
        <w:t xml:space="preserve">Pre-Loading Implications</w:t>
      </w:r>
    </w:p>
    <w:p>
      <w:pPr>
        <w:spacing w:after="120" w:line="300"/>
      </w:pPr>
      <w:r>
        <w:rPr>
          <w:rFonts w:ascii="Arial" w:cs="Arial" w:eastAsia="Arial" w:hAnsi="Arial"/>
          <w:sz w:val="22"/>
          <w:szCs w:val="22"/>
        </w:rPr>
        <w:t xml:space="preserve">"Terpene pre-loading"—inhaling strain-matched botanical oils 15–30 minutes before cannabis consumption—represents a novel application of terpinolene pharmacology, grounded in traditional botanical practices but lacking empirical clinical validation.</w:t>
      </w:r>
    </w:p>
    <w:p>
      <w:pPr>
        <w:pStyle w:val="Heading2"/>
        <w:spacing w:after="120" w:before="240"/>
      </w:pPr>
      <w:r>
        <w:rPr>
          <w:rFonts w:ascii="Arial" w:cs="Arial" w:eastAsia="Arial" w:hAnsi="Arial"/>
          <w:b/>
          <w:bCs/>
          <w:color w:val="333333"/>
          <w:sz w:val="26"/>
          <w:szCs w:val="26"/>
        </w:rPr>
        <w:t xml:space="preserve">Theoretical Framework</w:t>
      </w:r>
    </w:p>
    <w:p>
      <w:pPr>
        <w:spacing w:after="100" w:before="200"/>
      </w:pPr>
      <w:r>
        <w:rPr>
          <w:rFonts w:ascii="Arial" w:cs="Arial" w:eastAsia="Arial" w:hAnsi="Arial"/>
          <w:b/>
          <w:bCs/>
          <w:color w:val="444444"/>
          <w:sz w:val="24"/>
          <w:szCs w:val="24"/>
        </w:rPr>
        <w:t xml:space="preserve">Neurobiological Basis</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Receptor Priming:</w:t>
      </w:r>
      <w:r>
        <w:rPr>
          <w:rFonts w:ascii="Arial" w:cs="Arial" w:eastAsia="Arial" w:hAnsi="Arial"/>
          <w:sz w:val="22"/>
          <w:szCs w:val="22"/>
        </w:rPr>
        <w:t xml:space="preserve"> Inhaled terpinolene reaches the CNS (demonstrated in Ito &amp; Ito nasal absorption study) and may occupy or sensitize specific receptors (GABA, serotonin, cannabinoid-adjacent) prior to cannabis consumption</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Pharmacokinetic Sequencing:</w:t>
      </w:r>
      <w:r>
        <w:rPr>
          <w:rFonts w:ascii="Arial" w:cs="Arial" w:eastAsia="Arial" w:hAnsi="Arial"/>
          <w:sz w:val="22"/>
          <w:szCs w:val="22"/>
        </w:rPr>
        <w:t xml:space="preserve"> Terpinolene's peak effect (15–30 min after inhalation, rodent pharmacokinetics) overlaps with cannabis consumption window, creating a "primed" neurochemical state</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Entourage Pre-Establishment:</w:t>
      </w:r>
      <w:r>
        <w:rPr>
          <w:rFonts w:ascii="Arial" w:cs="Arial" w:eastAsia="Arial" w:hAnsi="Arial"/>
          <w:sz w:val="22"/>
          <w:szCs w:val="22"/>
        </w:rPr>
        <w:t xml:space="preserve"> Terpinolene + other botanical terpenes (if tea tree oil used) may establish a terpene-rich environment before cannabinoids are introduced, potentially enhancing entourage signaling</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Antioxidant Buffering:</w:t>
      </w:r>
      <w:r>
        <w:rPr>
          <w:rFonts w:ascii="Arial" w:cs="Arial" w:eastAsia="Arial" w:hAnsi="Arial"/>
          <w:sz w:val="22"/>
          <w:szCs w:val="22"/>
        </w:rPr>
        <w:t xml:space="preserve"> Terpinolene's antioxidant activity (in vitro evidence) may mitigate oxidative stress from cannabis combustion/vaporization</w:t>
      </w:r>
    </w:p>
    <w:p>
      <w:pPr>
        <w:spacing w:after="100" w:before="200"/>
      </w:pPr>
      <w:r>
        <w:rPr>
          <w:rFonts w:ascii="Arial" w:cs="Arial" w:eastAsia="Arial" w:hAnsi="Arial"/>
          <w:b/>
          <w:bCs/>
          <w:color w:val="444444"/>
          <w:sz w:val="24"/>
          <w:szCs w:val="24"/>
        </w:rPr>
        <w:t xml:space="preserve">Testable Predictions</w:t>
      </w:r>
    </w:p>
    <w:p>
      <w:pPr>
        <w:spacing w:after="120" w:line="300"/>
      </w:pPr>
      <w:r>
        <w:rPr>
          <w:rFonts w:ascii="Arial" w:cs="Arial" w:eastAsia="Arial" w:hAnsi="Arial"/>
          <w:sz w:val="22"/>
          <w:szCs w:val="22"/>
        </w:rPr>
        <w:t xml:space="preserve">If pre-loading hypothesis is valid:</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Hypothesis 1A (Sedative):</w:t>
      </w:r>
      <w:r>
        <w:rPr>
          <w:rFonts w:ascii="Arial" w:cs="Arial" w:eastAsia="Arial" w:hAnsi="Arial"/>
          <w:sz w:val="22"/>
          <w:szCs w:val="22"/>
        </w:rPr>
        <w:t xml:space="preserve"> Pre-loading with terpinolene-rich tea tree oil + relaxation-focused cannabis strains (high CBD, moderate THC) produces enhanced sedation vs. cannabis alone</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Hypothesis 1B (Antioxidant):</w:t>
      </w:r>
      <w:r>
        <w:rPr>
          <w:rFonts w:ascii="Arial" w:cs="Arial" w:eastAsia="Arial" w:hAnsi="Arial"/>
          <w:sz w:val="22"/>
          <w:szCs w:val="22"/>
        </w:rPr>
        <w:t xml:space="preserve"> Pre-loading increases antioxidant biomarkers (catalase, SOD, vitamin E) pre-cannabis and post-cannabis, reducing oxidative damage from combustion</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Hypothesis 1C (Receptor Occupancy):</w:t>
      </w:r>
      <w:r>
        <w:rPr>
          <w:rFonts w:ascii="Arial" w:cs="Arial" w:eastAsia="Arial" w:hAnsi="Arial"/>
          <w:sz w:val="22"/>
          <w:szCs w:val="22"/>
        </w:rPr>
        <w:t xml:space="preserve"> Neuroimaging or receptor binding studies show terpinolene receptor occupancy (specifics TBD) that is maintained or enhanced by subsequent cannabis use</w:t>
      </w:r>
    </w:p>
    <w:p>
      <w:pPr>
        <w:pStyle w:val="Heading2"/>
        <w:spacing w:after="120" w:before="240"/>
      </w:pPr>
      <w:r>
        <w:rPr>
          <w:rFonts w:ascii="Arial" w:cs="Arial" w:eastAsia="Arial" w:hAnsi="Arial"/>
          <w:b/>
          <w:bCs/>
          <w:color w:val="333333"/>
          <w:sz w:val="26"/>
          <w:szCs w:val="26"/>
        </w:rPr>
        <w:t xml:space="preserve">Specific Pre-Loading Protocols for Terpinolene</w:t>
      </w:r>
    </w:p>
    <w:p>
      <w:pPr>
        <w:spacing w:after="100" w:before="200"/>
      </w:pPr>
      <w:r>
        <w:rPr>
          <w:rFonts w:ascii="Arial" w:cs="Arial" w:eastAsia="Arial" w:hAnsi="Arial"/>
          <w:b/>
          <w:bCs/>
          <w:color w:val="444444"/>
          <w:sz w:val="24"/>
          <w:szCs w:val="24"/>
        </w:rPr>
        <w:t xml:space="preserve">Protocol A: Tea Tree Oil Chemotype Inhalation (Sedative Priming)</w:t>
      </w:r>
    </w:p>
    <w:p>
      <w:pPr>
        <w:spacing w:after="120" w:line="300"/>
      </w:pPr>
      <w:r>
        <w:rPr>
          <w:rFonts w:ascii="Arial" w:cs="Arial" w:eastAsia="Arial" w:hAnsi="Arial"/>
          <w:b/>
          <w:bCs/>
          <w:sz w:val="22"/>
          <w:szCs w:val="22"/>
        </w:rPr>
        <w:t xml:space="preserve">Objective:</w:t>
      </w:r>
      <w:r>
        <w:rPr>
          <w:rFonts w:ascii="Arial" w:cs="Arial" w:eastAsia="Arial" w:hAnsi="Arial"/>
          <w:sz w:val="22"/>
          <w:szCs w:val="22"/>
        </w:rPr>
        <w:t xml:space="preserve"> Sedative priming for relaxation-focused cannabis strains</w:t>
      </w:r>
    </w:p>
    <w:p>
      <w:pPr>
        <w:spacing w:after="120" w:line="300"/>
      </w:pPr>
      <w:r>
        <w:rPr>
          <w:rFonts w:ascii="Arial" w:cs="Arial" w:eastAsia="Arial" w:hAnsi="Arial"/>
          <w:b/>
          <w:bCs/>
          <w:sz w:val="22"/>
          <w:szCs w:val="22"/>
        </w:rPr>
        <w:t xml:space="preserve">Materials:</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Terpinolene-chemotype *Melaleuca alternifolia* essential oil (30–40% terpinolene) or standard tea tree oil</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Inhalation device: Aromatherapy diffuser, inhalation pod, or simple cup/vessel (dry heat for vapor release)</w:t>
      </w:r>
    </w:p>
    <w:p>
      <w:pPr>
        <w:spacing w:after="120" w:line="300"/>
      </w:pPr>
      <w:r>
        <w:rPr>
          <w:rFonts w:ascii="Arial" w:cs="Arial" w:eastAsia="Arial" w:hAnsi="Arial"/>
          <w:b/>
          <w:bCs/>
          <w:sz w:val="22"/>
          <w:szCs w:val="22"/>
        </w:rPr>
        <w:t xml:space="preserve">Procedure:</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Select terpinolene-rich essential oil or confirm terpinolene concentration (via chromatographic analysis or supplier documentation)</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Dispense 2–5 drops of oil into diffuser or inhalation device</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Inhale vapor for 3–5 minutes, taking 5–10 slow, deep breaths</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Cease inhalation; allow 15–30 minute washout period (allows CNS penetration, avoids olfactory adaptation)</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Consume cannabis (flower, vape, edible) at 15–30 minute mark post-inhalation</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Note Effects:</w:t>
      </w:r>
      <w:r>
        <w:rPr>
          <w:rFonts w:ascii="Arial" w:cs="Arial" w:eastAsia="Arial" w:hAnsi="Arial"/>
          <w:sz w:val="22"/>
          <w:szCs w:val="22"/>
        </w:rPr>
        <w:t xml:space="preserve"> Duration of sedation, onset time, subjective quality (calm vs. grogginess), antioxidant perception (e.g., reduction in post-smoke throat irritation)</w:t>
      </w:r>
    </w:p>
    <w:p>
      <w:pPr>
        <w:spacing w:after="120" w:line="300"/>
      </w:pPr>
      <w:r>
        <w:rPr>
          <w:rFonts w:ascii="Arial" w:cs="Arial" w:eastAsia="Arial" w:hAnsi="Arial"/>
          <w:b/>
          <w:bCs/>
          <w:sz w:val="22"/>
          <w:szCs w:val="22"/>
        </w:rPr>
        <w:t xml:space="preserve">Expected Outcome (Theoretical):</w:t>
      </w:r>
      <w:r>
        <w:rPr>
          <w:rFonts w:ascii="Arial" w:cs="Arial" w:eastAsia="Arial" w:hAnsi="Arial"/>
          <w:sz w:val="22"/>
          <w:szCs w:val="22"/>
        </w:rPr>
        <w:t xml:space="preserve"> Enhanced relaxation, earlier sleep onset, reduced anxiety compared to cannabis alone</w:t>
      </w:r>
    </w:p>
    <w:p>
      <w:pPr>
        <w:spacing w:after="120" w:line="300"/>
      </w:pPr>
      <w:r>
        <w:rPr>
          <w:rFonts w:ascii="Arial" w:cs="Arial" w:eastAsia="Arial" w:hAnsi="Arial"/>
          <w:b/>
          <w:bCs/>
          <w:sz w:val="22"/>
          <w:szCs w:val="22"/>
        </w:rPr>
        <w:t xml:space="preserve">Caveats:</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Tea tree oil is </w:t>
      </w:r>
      <w:r>
        <w:rPr>
          <w:rFonts w:ascii="Arial" w:cs="Arial" w:eastAsia="Arial" w:hAnsi="Arial"/>
          <w:b/>
          <w:bCs/>
          <w:sz w:val="22"/>
          <w:szCs w:val="22"/>
        </w:rPr>
        <w:t xml:space="preserve">NOT food-safe for ingestion</w:t>
      </w:r>
      <w:r>
        <w:rPr>
          <w:rFonts w:ascii="Arial" w:cs="Arial" w:eastAsia="Arial" w:hAnsi="Arial"/>
          <w:sz w:val="22"/>
          <w:szCs w:val="22"/>
        </w:rPr>
        <w:t xml:space="preserve"> without strict dilution protocols; inhalation only</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Some individuals exhibit skin sensitivity to tea tree oil; patch test first</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Olfactory adaptation</w:t>
      </w:r>
      <w:r>
        <w:rPr>
          <w:rFonts w:ascii="Arial" w:cs="Arial" w:eastAsia="Arial" w:hAnsi="Arial"/>
          <w:sz w:val="22"/>
          <w:szCs w:val="22"/>
        </w:rPr>
        <w:t xml:space="preserve"> may diminish perceived terpinolene aroma by 15–30 minutes; this does NOT mean systemic absorption has ceased (Ito &amp; Ito used olfactory-impaired mice to establish this dissociation)</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No clinical trials validate efficacy; all outcomes are speculative</w:t>
      </w:r>
    </w:p>
    <w:p>
      <w:pPr>
        <w:spacing w:after="100" w:before="200"/>
      </w:pPr>
      <w:r>
        <w:rPr>
          <w:rFonts w:ascii="Arial" w:cs="Arial" w:eastAsia="Arial" w:hAnsi="Arial"/>
          <w:b/>
          <w:bCs/>
          <w:color w:val="444444"/>
          <w:sz w:val="24"/>
          <w:szCs w:val="24"/>
        </w:rPr>
        <w:t xml:space="preserve">Protocol B: Parsnip Essential Oil Inhalation (Antioxidant &amp; Neutral Priming)</w:t>
      </w:r>
    </w:p>
    <w:p>
      <w:pPr>
        <w:spacing w:after="120" w:line="300"/>
      </w:pPr>
      <w:r>
        <w:rPr>
          <w:rFonts w:ascii="Arial" w:cs="Arial" w:eastAsia="Arial" w:hAnsi="Arial"/>
          <w:b/>
          <w:bCs/>
          <w:sz w:val="22"/>
          <w:szCs w:val="22"/>
        </w:rPr>
        <w:t xml:space="preserve">Objective:</w:t>
      </w:r>
      <w:r>
        <w:rPr>
          <w:rFonts w:ascii="Arial" w:cs="Arial" w:eastAsia="Arial" w:hAnsi="Arial"/>
          <w:sz w:val="22"/>
          <w:szCs w:val="22"/>
        </w:rPr>
        <w:t xml:space="preserve"> Antioxidant protection + receptor priming without strong sedative push</w:t>
      </w:r>
    </w:p>
    <w:p>
      <w:pPr>
        <w:spacing w:after="120" w:line="300"/>
      </w:pPr>
      <w:r>
        <w:rPr>
          <w:rFonts w:ascii="Arial" w:cs="Arial" w:eastAsia="Arial" w:hAnsi="Arial"/>
          <w:b/>
          <w:bCs/>
          <w:sz w:val="22"/>
          <w:szCs w:val="22"/>
        </w:rPr>
        <w:t xml:space="preserve">Materials:</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Parsnip (*Pastinaca sativa*) essential oil (40–69% terpinolene, 2–3% myristicin)</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Inhalation device: Aromatherapy diffuser</w:t>
      </w:r>
    </w:p>
    <w:p>
      <w:pPr>
        <w:spacing w:after="120" w:line="300"/>
      </w:pPr>
      <w:r>
        <w:rPr>
          <w:rFonts w:ascii="Arial" w:cs="Arial" w:eastAsia="Arial" w:hAnsi="Arial"/>
          <w:b/>
          <w:bCs/>
          <w:sz w:val="22"/>
          <w:szCs w:val="22"/>
        </w:rPr>
        <w:t xml:space="preserve">Procedure:</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Source food-grade or cosmetic-grade parsnip essential oil (verify terpinolene concentration; typical range 40–69%)</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Dispense 2–3 drops into diffuser</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Inhale for 3–5 minutes</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Wait 15–30 minutes</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Consume cannabis</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Note effects: Subjective antioxidant benefit (reduced post-smoke oxidative symptoms), energy level, mental clarity</w:t>
      </w:r>
    </w:p>
    <w:p>
      <w:pPr>
        <w:spacing w:after="120" w:line="300"/>
      </w:pPr>
      <w:r>
        <w:rPr>
          <w:rFonts w:ascii="Arial" w:cs="Arial" w:eastAsia="Arial" w:hAnsi="Arial"/>
          <w:b/>
          <w:bCs/>
          <w:sz w:val="22"/>
          <w:szCs w:val="22"/>
        </w:rPr>
        <w:t xml:space="preserve">Expected Outcome (Theoretical):</w:t>
      </w:r>
      <w:r>
        <w:rPr>
          <w:rFonts w:ascii="Arial" w:cs="Arial" w:eastAsia="Arial" w:hAnsi="Arial"/>
          <w:sz w:val="22"/>
          <w:szCs w:val="22"/>
        </w:rPr>
        <w:t xml:space="preserve"> Antioxidant protection, neutral receptor priming, suitable for sativa/energizing cannabis strains</w:t>
      </w:r>
    </w:p>
    <w:p>
      <w:pPr>
        <w:spacing w:after="120" w:line="300"/>
      </w:pPr>
      <w:r>
        <w:rPr>
          <w:rFonts w:ascii="Arial" w:cs="Arial" w:eastAsia="Arial" w:hAnsi="Arial"/>
          <w:b/>
          <w:bCs/>
          <w:sz w:val="22"/>
          <w:szCs w:val="22"/>
        </w:rPr>
        <w:t xml:space="preserve">Advantages over Tea Tree:</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Parsnip oil is food-grade (lower toxicity risk)</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Higher terpinolene concentration (stronger dose)</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Warm spice aroma may be more palatable</w:t>
      </w:r>
    </w:p>
    <w:p>
      <w:pPr>
        <w:spacing w:after="120" w:line="300"/>
      </w:pPr>
      <w:r>
        <w:rPr>
          <w:rFonts w:ascii="Arial" w:cs="Arial" w:eastAsia="Arial" w:hAnsi="Arial"/>
          <w:b/>
          <w:bCs/>
          <w:sz w:val="22"/>
          <w:szCs w:val="22"/>
        </w:rPr>
        <w:t xml:space="preserve">Caveats:</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Parsnip essential oil is less commercially available than tea tree</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Myristicin (2–3%) has potential neurotoxicity at high doses; pre-loading doses are sub-acute</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Myristicin Safety Note:</w:t>
      </w:r>
      <w:r>
        <w:rPr>
          <w:rFonts w:ascii="Arial" w:cs="Arial" w:eastAsia="Arial" w:hAnsi="Arial"/>
          <w:sz w:val="22"/>
          <w:szCs w:val="22"/>
        </w:rPr>
        <w:t xml:space="preserve"> Contains safrole and myristicin (hepatotoxic/neurotoxic at high levels); however, essential oil pre-loading doses are far below toxicity thresholds. Still, individuals with liver disease should exercise caution.</w:t>
      </w:r>
    </w:p>
    <w:p>
      <w:pPr>
        <w:spacing w:after="100" w:before="200"/>
      </w:pPr>
      <w:r>
        <w:rPr>
          <w:rFonts w:ascii="Arial" w:cs="Arial" w:eastAsia="Arial" w:hAnsi="Arial"/>
          <w:b/>
          <w:bCs/>
          <w:color w:val="444444"/>
          <w:sz w:val="24"/>
          <w:szCs w:val="24"/>
        </w:rPr>
        <w:t xml:space="preserve">Protocol C: Gin or Juniper Berry Tea (Mild, Recreational Priming)</w:t>
      </w:r>
    </w:p>
    <w:p>
      <w:pPr>
        <w:spacing w:after="120" w:line="300"/>
      </w:pPr>
      <w:r>
        <w:rPr>
          <w:rFonts w:ascii="Arial" w:cs="Arial" w:eastAsia="Arial" w:hAnsi="Arial"/>
          <w:b/>
          <w:bCs/>
          <w:sz w:val="22"/>
          <w:szCs w:val="22"/>
        </w:rPr>
        <w:t xml:space="preserve">Objective:</w:t>
      </w:r>
      <w:r>
        <w:rPr>
          <w:rFonts w:ascii="Arial" w:cs="Arial" w:eastAsia="Arial" w:hAnsi="Arial"/>
          <w:sz w:val="22"/>
          <w:szCs w:val="22"/>
        </w:rPr>
        <w:t xml:space="preserve"> Mild terpinolene exposure via socially integrated beverage; least evidence-based but most accessible</w:t>
      </w:r>
    </w:p>
    <w:p>
      <w:pPr>
        <w:spacing w:after="120" w:line="300"/>
      </w:pPr>
      <w:r>
        <w:rPr>
          <w:rFonts w:ascii="Arial" w:cs="Arial" w:eastAsia="Arial" w:hAnsi="Arial"/>
          <w:b/>
          <w:bCs/>
          <w:sz w:val="22"/>
          <w:szCs w:val="22"/>
        </w:rPr>
        <w:t xml:space="preserve">Materials:</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Gin (0.001–0.01% terpinolene, roughly) or juniper berry tea (herbal infusion)</w:t>
      </w:r>
    </w:p>
    <w:p>
      <w:pPr>
        <w:spacing w:after="120" w:line="300"/>
      </w:pPr>
      <w:r>
        <w:rPr>
          <w:rFonts w:ascii="Arial" w:cs="Arial" w:eastAsia="Arial" w:hAnsi="Arial"/>
          <w:b/>
          <w:bCs/>
          <w:sz w:val="22"/>
          <w:szCs w:val="22"/>
        </w:rPr>
        <w:t xml:space="preserve">Procedure:</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Consume 1 oz gin as neat shot or in mixed drink, or 8 oz juniper berry herbal tea</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Consume cannabis 15–30 minutes later</w:t>
      </w:r>
    </w:p>
    <w:p>
      <w:pPr>
        <w:spacing w:after="120" w:line="300"/>
      </w:pPr>
      <w:r>
        <w:rPr>
          <w:rFonts w:ascii="Arial" w:cs="Arial" w:eastAsia="Arial" w:hAnsi="Arial"/>
          <w:b/>
          <w:bCs/>
          <w:sz w:val="22"/>
          <w:szCs w:val="22"/>
        </w:rPr>
        <w:t xml:space="preserve">Expected Outcome:</w:t>
      </w:r>
      <w:r>
        <w:rPr>
          <w:rFonts w:ascii="Arial" w:cs="Arial" w:eastAsia="Arial" w:hAnsi="Arial"/>
          <w:sz w:val="22"/>
          <w:szCs w:val="22"/>
        </w:rPr>
        <w:t xml:space="preserve"> Subtle, if any, pharmacological effect; primarily recreational/social</w:t>
      </w:r>
    </w:p>
    <w:p>
      <w:pPr>
        <w:spacing w:after="120" w:line="300"/>
      </w:pPr>
      <w:r>
        <w:rPr>
          <w:rFonts w:ascii="Arial" w:cs="Arial" w:eastAsia="Arial" w:hAnsi="Arial"/>
          <w:b/>
          <w:bCs/>
          <w:sz w:val="22"/>
          <w:szCs w:val="22"/>
        </w:rPr>
        <w:t xml:space="preserve">Caveats:</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Alcohol Confounding:</w:t>
      </w:r>
      <w:r>
        <w:rPr>
          <w:rFonts w:ascii="Arial" w:cs="Arial" w:eastAsia="Arial" w:hAnsi="Arial"/>
          <w:sz w:val="22"/>
          <w:szCs w:val="22"/>
        </w:rPr>
        <w:t xml:space="preserve"> Gin contains ethanol, which independently affects CNS and cannabinoid pharmacology; effects cannot be attributed to terpinolene</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Low Terpinolene Concentration:</w:t>
      </w:r>
      <w:r>
        <w:rPr>
          <w:rFonts w:ascii="Arial" w:cs="Arial" w:eastAsia="Arial" w:hAnsi="Arial"/>
          <w:sz w:val="22"/>
          <w:szCs w:val="22"/>
        </w:rPr>
        <w:t xml:space="preserve"> Gin's terpinolene concentration is extremely dilute; systemic exposure may be sub-threshold</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Least Recommended</w:t>
      </w:r>
      <w:r>
        <w:rPr>
          <w:rFonts w:ascii="Arial" w:cs="Arial" w:eastAsia="Arial" w:hAnsi="Arial"/>
          <w:sz w:val="22"/>
          <w:szCs w:val="22"/>
        </w:rPr>
        <w:t xml:space="preserve"> for rigorous pre-loading protocols</w:t>
      </w:r>
    </w:p>
    <w:p>
      <w:pPr>
        <w:spacing w:after="100" w:before="200"/>
      </w:pPr>
      <w:r>
        <w:rPr>
          <w:rFonts w:ascii="Arial" w:cs="Arial" w:eastAsia="Arial" w:hAnsi="Arial"/>
          <w:b/>
          <w:bCs/>
          <w:color w:val="444444"/>
          <w:sz w:val="24"/>
          <w:szCs w:val="24"/>
        </w:rPr>
        <w:t xml:space="preserve">Protocol D: Apple Cider or Fresh Apple Inhalation (Speculative, Non-Evidence-Based)</w:t>
      </w:r>
    </w:p>
    <w:p>
      <w:pPr>
        <w:spacing w:after="120" w:line="300"/>
      </w:pPr>
      <w:r>
        <w:rPr>
          <w:rFonts w:ascii="Arial" w:cs="Arial" w:eastAsia="Arial" w:hAnsi="Arial"/>
          <w:b/>
          <w:bCs/>
          <w:sz w:val="22"/>
          <w:szCs w:val="22"/>
        </w:rPr>
        <w:t xml:space="preserve">Objective:</w:t>
      </w:r>
      <w:r>
        <w:rPr>
          <w:rFonts w:ascii="Arial" w:cs="Arial" w:eastAsia="Arial" w:hAnsi="Arial"/>
          <w:sz w:val="22"/>
          <w:szCs w:val="22"/>
        </w:rPr>
        <w:t xml:space="preserve"> Terpinolene exposure via fresh fruit (if McIntosh apples contain terpinolene as cited in cannabis literature)</w:t>
      </w:r>
    </w:p>
    <w:p>
      <w:pPr>
        <w:spacing w:after="120" w:line="300"/>
      </w:pPr>
      <w:r>
        <w:rPr>
          <w:rFonts w:ascii="Arial" w:cs="Arial" w:eastAsia="Arial" w:hAnsi="Arial"/>
          <w:b/>
          <w:bCs/>
          <w:sz w:val="22"/>
          <w:szCs w:val="22"/>
        </w:rPr>
        <w:t xml:space="preserve">Status:</w:t>
      </w:r>
      <w:r>
        <w:rPr>
          <w:rFonts w:ascii="Arial" w:cs="Arial" w:eastAsia="Arial" w:hAnsi="Arial"/>
          <w:sz w:val="22"/>
          <w:szCs w:val="22"/>
        </w:rPr>
        <w:t xml:space="preserve"> </w:t>
      </w:r>
      <w:r>
        <w:rPr>
          <w:rFonts w:ascii="Arial" w:cs="Arial" w:eastAsia="Arial" w:hAnsi="Arial"/>
          <w:b/>
          <w:bCs/>
          <w:sz w:val="22"/>
          <w:szCs w:val="22"/>
        </w:rPr>
        <w:t xml:space="preserve">NOT RECOMMENDED</w:t>
      </w:r>
      <w:r>
        <w:rPr>
          <w:rFonts w:ascii="Arial" w:cs="Arial" w:eastAsia="Arial" w:hAnsi="Arial"/>
          <w:sz w:val="22"/>
          <w:szCs w:val="22"/>
        </w:rPr>
        <w:t xml:space="preserve"> pending chromatographic confirmation of terpinolene in apples</w:t>
      </w:r>
    </w:p>
    <w:p>
      <w:pPr>
        <w:spacing w:after="120" w:line="300"/>
      </w:pPr>
      <w:r>
        <w:rPr>
          <w:rFonts w:ascii="Arial" w:cs="Arial" w:eastAsia="Arial" w:hAnsi="Arial"/>
          <w:b/>
          <w:bCs/>
          <w:sz w:val="22"/>
          <w:szCs w:val="22"/>
        </w:rPr>
        <w:t xml:space="preserve">Reason:</w:t>
      </w:r>
      <w:r>
        <w:rPr>
          <w:rFonts w:ascii="Arial" w:cs="Arial" w:eastAsia="Arial" w:hAnsi="Arial"/>
          <w:sz w:val="22"/>
          <w:szCs w:val="22"/>
        </w:rPr>
        <w:t xml:space="preserve"> Despite widespread citation in cannabis terpene guides, </w:t>
      </w:r>
      <w:r>
        <w:rPr>
          <w:rFonts w:ascii="Arial" w:cs="Arial" w:eastAsia="Arial" w:hAnsi="Arial"/>
          <w:b/>
          <w:bCs/>
          <w:sz w:val="22"/>
          <w:szCs w:val="22"/>
        </w:rPr>
        <w:t xml:space="preserve">no peer-reviewed chromatographic data</w:t>
      </w:r>
      <w:r>
        <w:rPr>
          <w:rFonts w:ascii="Arial" w:cs="Arial" w:eastAsia="Arial" w:hAnsi="Arial"/>
          <w:sz w:val="22"/>
          <w:szCs w:val="22"/>
        </w:rPr>
        <w:t xml:space="preserve"> confirm terpinolene in McIntosh apples or other cultivars. Without analytical confirmation, pre-loading protocols based on apples are purely speculative.</w:t>
      </w:r>
    </w:p>
    <w:p>
      <w:pPr>
        <w:pStyle w:val="Heading2"/>
        <w:spacing w:after="120" w:before="240"/>
      </w:pPr>
      <w:r>
        <w:rPr>
          <w:rFonts w:ascii="Arial" w:cs="Arial" w:eastAsia="Arial" w:hAnsi="Arial"/>
          <w:b/>
          <w:bCs/>
          <w:color w:val="333333"/>
          <w:sz w:val="26"/>
          <w:szCs w:val="26"/>
        </w:rPr>
        <w:t xml:space="preserve">Pre-Loading Dosing &amp; Pharmacokinetics</w:t>
      </w:r>
    </w:p>
    <w:p>
      <w:pPr>
        <w:spacing w:after="120" w:line="300"/>
      </w:pPr>
      <w:r>
        <w:rPr>
          <w:rFonts w:ascii="Arial" w:cs="Arial" w:eastAsia="Arial" w:hAnsi="Arial"/>
          <w:b/>
          <w:bCs/>
          <w:sz w:val="22"/>
          <w:szCs w:val="22"/>
        </w:rPr>
        <w:t xml:space="preserve">Estimated Systemic Terpinolene Exposure via Inhalation:</w:t>
      </w:r>
    </w:p>
    <w:p>
      <w:pPr>
        <w:spacing w:after="120" w:line="300"/>
      </w:pPr>
      <w:r>
        <w:rPr>
          <w:rFonts w:ascii="Arial" w:cs="Arial" w:eastAsia="Arial" w:hAnsi="Arial"/>
          <w:sz w:val="22"/>
          <w:szCs w:val="22"/>
        </w:rPr>
        <w:t xml:space="preserve">Based on Ito &amp; Ito (2013) mouse pharmacokinetics and scaling to human:</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Rodent Sedation Dose:</w:t>
      </w:r>
      <w:r>
        <w:rPr>
          <w:rFonts w:ascii="Arial" w:cs="Arial" w:eastAsia="Arial" w:hAnsi="Arial"/>
          <w:sz w:val="22"/>
          <w:szCs w:val="22"/>
        </w:rPr>
        <w:t xml:space="preserve"> ~100 mg/kg (intraperitoneal injection or inhalation-equivalent)</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Human Equivalent Scaling (body surface area):</w:t>
      </w:r>
      <w:r>
        <w:rPr>
          <w:rFonts w:ascii="Arial" w:cs="Arial" w:eastAsia="Arial" w:hAnsi="Arial"/>
          <w:sz w:val="22"/>
          <w:szCs w:val="22"/>
        </w:rPr>
        <w:t xml:space="preserve"> ~16–20 mg/kg → 1.1–1.4 g for 70 kg human</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Pre-Loading Inhalation Dose (Typical):</w:t>
      </w:r>
      <w:r>
        <w:rPr>
          <w:rFonts w:ascii="Arial" w:cs="Arial" w:eastAsia="Arial" w:hAnsi="Arial"/>
          <w:sz w:val="22"/>
          <w:szCs w:val="22"/>
        </w:rPr>
        <w:t xml:space="preserve"> 2–5 drops of essential oil (containing 40–69% terpinolene) = 5–20 mg terpinolene</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Dose Fraction:</w:t>
      </w:r>
      <w:r>
        <w:rPr>
          <w:rFonts w:ascii="Arial" w:cs="Arial" w:eastAsia="Arial" w:hAnsi="Arial"/>
          <w:sz w:val="22"/>
          <w:szCs w:val="22"/>
        </w:rPr>
        <w:t xml:space="preserve"> Pre-loading doses are ~0.5–2% of rodent sedation dose, suggesting </w:t>
      </w:r>
      <w:r>
        <w:rPr>
          <w:rFonts w:ascii="Arial" w:cs="Arial" w:eastAsia="Arial" w:hAnsi="Arial"/>
          <w:b/>
          <w:bCs/>
          <w:sz w:val="22"/>
          <w:szCs w:val="22"/>
        </w:rPr>
        <w:t xml:space="preserve">sub-clinical sedative dose but potentially adequate for antioxidant/inflammatory effects</w:t>
      </w:r>
    </w:p>
    <w:p>
      <w:pPr>
        <w:spacing w:after="120" w:line="300"/>
      </w:pPr>
      <w:r>
        <w:rPr>
          <w:rFonts w:ascii="Arial" w:cs="Arial" w:eastAsia="Arial" w:hAnsi="Arial"/>
          <w:b/>
          <w:bCs/>
          <w:sz w:val="22"/>
          <w:szCs w:val="22"/>
        </w:rPr>
        <w:t xml:space="preserve">Pharmacokinetic Timeline (Estimated from Rodent Data):</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Peak CNS Penetration:</w:t>
      </w:r>
      <w:r>
        <w:rPr>
          <w:rFonts w:ascii="Arial" w:cs="Arial" w:eastAsia="Arial" w:hAnsi="Arial"/>
          <w:sz w:val="22"/>
          <w:szCs w:val="22"/>
        </w:rPr>
        <w:t xml:space="preserve"> 15–30 minutes post-inhalation</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Duration of Receptor Occupancy:</w:t>
      </w:r>
      <w:r>
        <w:rPr>
          <w:rFonts w:ascii="Arial" w:cs="Arial" w:eastAsia="Arial" w:hAnsi="Arial"/>
          <w:sz w:val="22"/>
          <w:szCs w:val="22"/>
        </w:rPr>
        <w:t xml:space="preserve"> 1–2 hours (rodent; humans likely longer due to lower metabolism rate)</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Washout:</w:t>
      </w:r>
      <w:r>
        <w:rPr>
          <w:rFonts w:ascii="Arial" w:cs="Arial" w:eastAsia="Arial" w:hAnsi="Arial"/>
          <w:sz w:val="22"/>
          <w:szCs w:val="22"/>
        </w:rPr>
        <w:t xml:space="preserve"> 6–8 hours (complete clearance; humans likely slower)</w:t>
      </w:r>
    </w:p>
    <w:p>
      <w:pPr>
        <w:spacing w:after="120" w:line="300"/>
      </w:pPr>
      <w:r>
        <w:rPr>
          <w:rFonts w:ascii="Arial" w:cs="Arial" w:eastAsia="Arial" w:hAnsi="Arial"/>
          <w:b/>
          <w:bCs/>
          <w:sz w:val="22"/>
          <w:szCs w:val="22"/>
        </w:rPr>
        <w:t xml:space="preserve">Implication:</w:t>
      </w:r>
      <w:r>
        <w:rPr>
          <w:rFonts w:ascii="Arial" w:cs="Arial" w:eastAsia="Arial" w:hAnsi="Arial"/>
          <w:sz w:val="22"/>
          <w:szCs w:val="22"/>
        </w:rPr>
        <w:t xml:space="preserve"> The 15–30 minute pre-loading window </w:t>
      </w:r>
      <w:r>
        <w:rPr>
          <w:rFonts w:ascii="Arial" w:cs="Arial" w:eastAsia="Arial" w:hAnsi="Arial"/>
          <w:b/>
          <w:bCs/>
          <w:sz w:val="22"/>
          <w:szCs w:val="22"/>
        </w:rPr>
        <w:t xml:space="preserve">aligns with terpinolene's predicted peak CNS concentration</w:t>
      </w:r>
      <w:r>
        <w:rPr>
          <w:rFonts w:ascii="Arial" w:cs="Arial" w:eastAsia="Arial" w:hAnsi="Arial"/>
          <w:sz w:val="22"/>
          <w:szCs w:val="22"/>
        </w:rPr>
        <w:t xml:space="preserve">, providing rationale for this timing interval.</w:t>
      </w:r>
    </w:p>
    <w:p>
      <w:pPr>
        <w:pStyle w:val="Heading2"/>
        <w:spacing w:after="120" w:before="240"/>
      </w:pPr>
      <w:r>
        <w:rPr>
          <w:rFonts w:ascii="Arial" w:cs="Arial" w:eastAsia="Arial" w:hAnsi="Arial"/>
          <w:b/>
          <w:bCs/>
          <w:color w:val="333333"/>
          <w:sz w:val="26"/>
          <w:szCs w:val="26"/>
        </w:rPr>
        <w:t xml:space="preserve">Health &amp; Safety Considerations</w:t>
      </w:r>
    </w:p>
    <w:p>
      <w:pPr>
        <w:spacing w:after="100" w:before="200"/>
      </w:pPr>
      <w:r>
        <w:rPr>
          <w:rFonts w:ascii="Arial" w:cs="Arial" w:eastAsia="Arial" w:hAnsi="Arial"/>
          <w:b/>
          <w:bCs/>
          <w:color w:val="444444"/>
          <w:sz w:val="24"/>
          <w:szCs w:val="24"/>
        </w:rPr>
        <w:t xml:space="preserve">Inhalation Safety</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Tea Tree Oil:</w:t>
      </w:r>
      <w:r>
        <w:rPr>
          <w:rFonts w:ascii="Arial" w:cs="Arial" w:eastAsia="Arial" w:hAnsi="Arial"/>
          <w:sz w:val="22"/>
          <w:szCs w:val="22"/>
        </w:rPr>
        <w:t xml:space="preserve"> Non-ingested inhalation is considered safe; however, intoxication-like symptoms have been reported with excessive or chronic inhalation (rare)</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Parsnip Oil:</w:t>
      </w:r>
      <w:r>
        <w:rPr>
          <w:rFonts w:ascii="Arial" w:cs="Arial" w:eastAsia="Arial" w:hAnsi="Arial"/>
          <w:sz w:val="22"/>
          <w:szCs w:val="22"/>
        </w:rPr>
        <w:t xml:space="preserve"> Food-grade essential oil; safe for inhalation in typical pre-loading quantities</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Individual Sensitivity:</w:t>
      </w:r>
      <w:r>
        <w:rPr>
          <w:rFonts w:ascii="Arial" w:cs="Arial" w:eastAsia="Arial" w:hAnsi="Arial"/>
          <w:sz w:val="22"/>
          <w:szCs w:val="22"/>
        </w:rPr>
        <w:t xml:space="preserve"> Some individuals exhibit mild terpene inhalation sensitivity (cough, throat irritation); start with lower doses (1–2 drops)</w:t>
      </w:r>
    </w:p>
    <w:p>
      <w:pPr>
        <w:spacing w:after="100" w:before="200"/>
      </w:pPr>
      <w:r>
        <w:rPr>
          <w:rFonts w:ascii="Arial" w:cs="Arial" w:eastAsia="Arial" w:hAnsi="Arial"/>
          <w:b/>
          <w:bCs/>
          <w:color w:val="444444"/>
          <w:sz w:val="24"/>
          <w:szCs w:val="24"/>
        </w:rPr>
        <w:t xml:space="preserve">Drug Interactions</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CYP450 Metabolism:</w:t>
      </w:r>
      <w:r>
        <w:rPr>
          <w:rFonts w:ascii="Arial" w:cs="Arial" w:eastAsia="Arial" w:hAnsi="Arial"/>
          <w:sz w:val="22"/>
          <w:szCs w:val="22"/>
        </w:rPr>
        <w:t xml:space="preserve"> Terpinolene's metabolism via hepatic CYP3A4 is not well-characterized; potential for weak inhibition (predicted) similar to other monoterpenes</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THC Interaction:</w:t>
      </w:r>
      <w:r>
        <w:rPr>
          <w:rFonts w:ascii="Arial" w:cs="Arial" w:eastAsia="Arial" w:hAnsi="Arial"/>
          <w:sz w:val="22"/>
          <w:szCs w:val="22"/>
        </w:rPr>
        <w:t xml:space="preserve"> Both terpinolene and THC are lipophilic, metabolized hepatically, and distributed to fatty tissues; no serious documented interactions, but pharmacokinetic competition is possible</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CBD:</w:t>
      </w:r>
      <w:r>
        <w:rPr>
          <w:rFonts w:ascii="Arial" w:cs="Arial" w:eastAsia="Arial" w:hAnsi="Arial"/>
          <w:sz w:val="22"/>
          <w:szCs w:val="22"/>
        </w:rPr>
        <w:t xml:space="preserve"> CBD's inhibition of CYP3A4 and CYP2C19 may slow terpinolene metabolism, potentially prolonging effects</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Medications:</w:t>
      </w:r>
      <w:r>
        <w:rPr>
          <w:rFonts w:ascii="Arial" w:cs="Arial" w:eastAsia="Arial" w:hAnsi="Arial"/>
          <w:sz w:val="22"/>
          <w:szCs w:val="22"/>
        </w:rPr>
        <w:t xml:space="preserve"> Individuals taking CYP3A4 substrates (statins, antihistamines, antifungals, etc.) should consult healthcare providers before pre-loading protocols</w:t>
      </w:r>
    </w:p>
    <w:p>
      <w:pPr>
        <w:spacing w:after="100" w:before="200"/>
      </w:pPr>
      <w:r>
        <w:rPr>
          <w:rFonts w:ascii="Arial" w:cs="Arial" w:eastAsia="Arial" w:hAnsi="Arial"/>
          <w:b/>
          <w:bCs/>
          <w:color w:val="444444"/>
          <w:sz w:val="24"/>
          <w:szCs w:val="24"/>
        </w:rPr>
        <w:t xml:space="preserve">Contraindications</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Pregnancy &amp; Lactation:</w:t>
      </w:r>
      <w:r>
        <w:rPr>
          <w:rFonts w:ascii="Arial" w:cs="Arial" w:eastAsia="Arial" w:hAnsi="Arial"/>
          <w:sz w:val="22"/>
          <w:szCs w:val="22"/>
        </w:rPr>
        <w:t xml:space="preserve"> Terpinolene and essential oils generally avoided (insufficient safety data)</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Pediatric Use:</w:t>
      </w:r>
      <w:r>
        <w:rPr>
          <w:rFonts w:ascii="Arial" w:cs="Arial" w:eastAsia="Arial" w:hAnsi="Arial"/>
          <w:sz w:val="22"/>
          <w:szCs w:val="22"/>
        </w:rPr>
        <w:t xml:space="preserve"> Not recommended</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Liver Disease:</w:t>
      </w:r>
      <w:r>
        <w:rPr>
          <w:rFonts w:ascii="Arial" w:cs="Arial" w:eastAsia="Arial" w:hAnsi="Arial"/>
          <w:sz w:val="22"/>
          <w:szCs w:val="22"/>
        </w:rPr>
        <w:t xml:space="preserve"> Myristicin (parsnip oil component) is hepatotoxic at high doses; individuals with cirrhosis or hepatitis should avoid parsnip oil pre-loading</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Respiratory Conditions:</w:t>
      </w:r>
      <w:r>
        <w:rPr>
          <w:rFonts w:ascii="Arial" w:cs="Arial" w:eastAsia="Arial" w:hAnsi="Arial"/>
          <w:sz w:val="22"/>
          <w:szCs w:val="22"/>
        </w:rPr>
        <w:t xml:space="preserve"> Individuals with asthma or COPD may experience bronchospasm with essential oil inhalation; start with minimal doses or avoid inhalation protocols</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Seizure Disorders:</w:t>
      </w:r>
      <w:r>
        <w:rPr>
          <w:rFonts w:ascii="Arial" w:cs="Arial" w:eastAsia="Arial" w:hAnsi="Arial"/>
          <w:sz w:val="22"/>
          <w:szCs w:val="22"/>
        </w:rPr>
        <w:t xml:space="preserve"> Limited data on terpinolene's effects on seizure threshold; individuals on anticonvulsants should consult providers</w:t>
      </w:r>
    </w:p>
    <w:p>
      <w:pPr>
        <w:pStyle w:val="Heading2"/>
        <w:spacing w:after="120" w:before="240"/>
      </w:pPr>
      <w:r>
        <w:rPr>
          <w:rFonts w:ascii="Arial" w:cs="Arial" w:eastAsia="Arial" w:hAnsi="Arial"/>
          <w:b/>
          <w:bCs/>
          <w:color w:val="333333"/>
          <w:sz w:val="26"/>
          <w:szCs w:val="26"/>
        </w:rPr>
        <w:t xml:space="preserve">Efficacy &amp; Evidence Assessment</w:t>
      </w:r>
    </w:p>
    <w:p>
      <w:pPr>
        <w:spacing w:after="120" w:line="300"/>
      </w:pPr>
      <w:r>
        <w:rPr>
          <w:rFonts w:ascii="Arial" w:cs="Arial" w:eastAsia="Arial" w:hAnsi="Arial"/>
          <w:b/>
          <w:bCs/>
          <w:sz w:val="22"/>
          <w:szCs w:val="22"/>
        </w:rPr>
        <w:t xml:space="preserve">Current Evidence Strength: WEAK to PRELIMINARY</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0695C" w:val="clear"/>
            <w:tcMar>
              <w:top w:type="dxa" w:w="60"/>
              <w:left w:type="dxa" w:w="100"/>
              <w:bottom w:type="dxa" w:w="60"/>
              <w:right w:type="dxa" w:w="100"/>
            </w:tcMar>
          </w:tcPr>
          <w:p>
            <w:r>
              <w:rPr>
                <w:rFonts w:ascii="Arial" w:cs="Arial" w:eastAsia="Arial" w:hAnsi="Arial"/>
                <w:b/>
                <w:bCs/>
                <w:color w:val="FFFFFF"/>
                <w:sz w:val="20"/>
                <w:szCs w:val="20"/>
              </w:rPr>
              <w:t xml:space="preserve">Expected Benefit</w:t>
            </w:r>
          </w:p>
        </w:tc>
        <w:tc>
          <w:tcPr>
            <w:tcW w:type="dxa" w:w="2340"/>
            <w:tcBorders>
              <w:top w:val="single" w:color="CCCCCC" w:sz="1"/>
              <w:left w:val="single" w:color="CCCCCC" w:sz="1"/>
              <w:bottom w:val="single" w:color="CCCCCC" w:sz="1"/>
              <w:right w:val="single" w:color="CCCCCC" w:sz="1"/>
            </w:tcBorders>
            <w:shd w:fill="00695C" w:val="clear"/>
            <w:tcMar>
              <w:top w:type="dxa" w:w="60"/>
              <w:left w:type="dxa" w:w="100"/>
              <w:bottom w:type="dxa" w:w="60"/>
              <w:right w:type="dxa" w:w="100"/>
            </w:tcMar>
          </w:tcPr>
          <w:p>
            <w:r>
              <w:rPr>
                <w:rFonts w:ascii="Arial" w:cs="Arial" w:eastAsia="Arial" w:hAnsi="Arial"/>
                <w:b/>
                <w:bCs/>
                <w:color w:val="FFFFFF"/>
                <w:sz w:val="20"/>
                <w:szCs w:val="20"/>
              </w:rPr>
              <w:t xml:space="preserve">Supporting Evidence</w:t>
            </w:r>
          </w:p>
        </w:tc>
        <w:tc>
          <w:tcPr>
            <w:tcW w:type="dxa" w:w="2340"/>
            <w:tcBorders>
              <w:top w:val="single" w:color="CCCCCC" w:sz="1"/>
              <w:left w:val="single" w:color="CCCCCC" w:sz="1"/>
              <w:bottom w:val="single" w:color="CCCCCC" w:sz="1"/>
              <w:right w:val="single" w:color="CCCCCC" w:sz="1"/>
            </w:tcBorders>
            <w:shd w:fill="00695C" w:val="clear"/>
            <w:tcMar>
              <w:top w:type="dxa" w:w="60"/>
              <w:left w:type="dxa" w:w="100"/>
              <w:bottom w:type="dxa" w:w="60"/>
              <w:right w:type="dxa" w:w="100"/>
            </w:tcMar>
          </w:tcPr>
          <w:p>
            <w:r>
              <w:rPr>
                <w:rFonts w:ascii="Arial" w:cs="Arial" w:eastAsia="Arial" w:hAnsi="Arial"/>
                <w:b/>
                <w:bCs/>
                <w:color w:val="FFFFFF"/>
                <w:sz w:val="20"/>
                <w:szCs w:val="20"/>
              </w:rPr>
              <w:t xml:space="preserve">Confidence Level</w:t>
            </w:r>
          </w:p>
        </w:tc>
        <w:tc>
          <w:tcPr>
            <w:tcW w:type="dxa" w:w="2340"/>
            <w:tcBorders>
              <w:top w:val="single" w:color="CCCCCC" w:sz="1"/>
              <w:left w:val="single" w:color="CCCCCC" w:sz="1"/>
              <w:bottom w:val="single" w:color="CCCCCC" w:sz="1"/>
              <w:right w:val="single" w:color="CCCCCC" w:sz="1"/>
            </w:tcBorders>
            <w:shd w:fill="00695C"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Sedation</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Ito &amp; Ito (2013) in mice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Low</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Animal study, isolated terpinolene, may not translate to cannabis + cannabinoid context</w:t>
            </w:r>
          </w:p>
        </w:tc>
      </w:tr>
      <w:tr>
        <w:tc>
          <w:tcPr>
            <w:tcW w:type="dxa" w:w="2340"/>
            <w:tcBorders>
              <w:top w:val="single" w:color="CCCCCC" w:sz="1"/>
              <w:left w:val="single" w:color="CCCCCC" w:sz="1"/>
              <w:bottom w:val="single" w:color="CCCCCC" w:sz="1"/>
              <w:right w:val="single" w:color="CCCCCC" w:sz="1"/>
            </w:tcBorders>
            <w:shd w:fill="E0F2F1" w:val="clear"/>
            <w:tcMar>
              <w:top w:type="dxa" w:w="60"/>
              <w:left w:type="dxa" w:w="100"/>
              <w:bottom w:type="dxa" w:w="60"/>
              <w:right w:type="dxa" w:w="100"/>
            </w:tcMar>
          </w:tcPr>
          <w:p>
            <w:r>
              <w:rPr>
                <w:rFonts w:ascii="Arial" w:cs="Arial" w:eastAsia="Arial" w:hAnsi="Arial"/>
                <w:b w:val="false"/>
                <w:bCs w:val="false"/>
                <w:color w:val="333333"/>
                <w:sz w:val="20"/>
                <w:szCs w:val="20"/>
              </w:rPr>
              <w:t xml:space="preserve">Antioxidant Protection</w:t>
            </w:r>
          </w:p>
        </w:tc>
        <w:tc>
          <w:tcPr>
            <w:tcW w:type="dxa" w:w="2340"/>
            <w:tcBorders>
              <w:top w:val="single" w:color="CCCCCC" w:sz="1"/>
              <w:left w:val="single" w:color="CCCCCC" w:sz="1"/>
              <w:bottom w:val="single" w:color="CCCCCC" w:sz="1"/>
              <w:right w:val="single" w:color="CCCCCC" w:sz="1"/>
            </w:tcBorders>
            <w:shd w:fill="E0F2F1" w:val="clear"/>
            <w:tcMar>
              <w:top w:type="dxa" w:w="60"/>
              <w:left w:type="dxa" w:w="100"/>
              <w:bottom w:type="dxa" w:w="60"/>
              <w:right w:type="dxa" w:w="100"/>
            </w:tcMar>
          </w:tcPr>
          <w:p>
            <w:r>
              <w:rPr>
                <w:rFonts w:ascii="Arial" w:cs="Arial" w:eastAsia="Arial" w:hAnsi="Arial"/>
                <w:b w:val="false"/>
                <w:bCs w:val="false"/>
                <w:color w:val="333333"/>
                <w:sz w:val="20"/>
                <w:szCs w:val="20"/>
              </w:rPr>
              <w:t xml:space="preserve">Multiple in vitro assays</w:t>
            </w:r>
          </w:p>
        </w:tc>
        <w:tc>
          <w:tcPr>
            <w:tcW w:type="dxa" w:w="2340"/>
            <w:tcBorders>
              <w:top w:val="single" w:color="CCCCCC" w:sz="1"/>
              <w:left w:val="single" w:color="CCCCCC" w:sz="1"/>
              <w:bottom w:val="single" w:color="CCCCCC" w:sz="1"/>
              <w:right w:val="single" w:color="CCCCCC" w:sz="1"/>
            </w:tcBorders>
            <w:shd w:fill="E0F2F1" w:val="clear"/>
            <w:tcMar>
              <w:top w:type="dxa" w:w="60"/>
              <w:left w:type="dxa" w:w="100"/>
              <w:bottom w:type="dxa" w:w="60"/>
              <w:right w:type="dxa" w:w="100"/>
            </w:tcMar>
          </w:tcPr>
          <w:p>
            <w:r>
              <w:rPr>
                <w:rFonts w:ascii="Arial" w:cs="Arial" w:eastAsia="Arial" w:hAnsi="Arial"/>
                <w:b w:val="false"/>
                <w:bCs w:val="false"/>
                <w:color w:val="333333"/>
                <w:sz w:val="20"/>
                <w:szCs w:val="20"/>
              </w:rPr>
              <w:t xml:space="preserve">Moderate</w:t>
            </w:r>
          </w:p>
        </w:tc>
        <w:tc>
          <w:tcPr>
            <w:tcW w:type="dxa" w:w="2340"/>
            <w:tcBorders>
              <w:top w:val="single" w:color="CCCCCC" w:sz="1"/>
              <w:left w:val="single" w:color="CCCCCC" w:sz="1"/>
              <w:bottom w:val="single" w:color="CCCCCC" w:sz="1"/>
              <w:right w:val="single" w:color="CCCCCC" w:sz="1"/>
            </w:tcBorders>
            <w:shd w:fill="E0F2F1" w:val="clear"/>
            <w:tcMar>
              <w:top w:type="dxa" w:w="60"/>
              <w:left w:type="dxa" w:w="100"/>
              <w:bottom w:type="dxa" w:w="60"/>
              <w:right w:type="dxa" w:w="100"/>
            </w:tcMar>
          </w:tcPr>
          <w:p>
            <w:r>
              <w:rPr>
                <w:rFonts w:ascii="Arial" w:cs="Arial" w:eastAsia="Arial" w:hAnsi="Arial"/>
                <w:b w:val="false"/>
                <w:bCs w:val="false"/>
                <w:color w:val="333333"/>
                <w:sz w:val="20"/>
                <w:szCs w:val="20"/>
              </w:rPr>
              <w:t xml:space="preserve">Consistent DPPH/TBARS data, but no in vivo human studies</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Anti-inflammatory Priming</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Carrageenan edema model in mice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Low-Moderate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Suggests potential, but pre-loading protocol specifically not studied</w:t>
            </w:r>
          </w:p>
        </w:tc>
      </w:tr>
      <w:tr>
        <w:tc>
          <w:tcPr>
            <w:tcW w:type="dxa" w:w="2340"/>
            <w:tcBorders>
              <w:top w:val="single" w:color="CCCCCC" w:sz="1"/>
              <w:left w:val="single" w:color="CCCCCC" w:sz="1"/>
              <w:bottom w:val="single" w:color="CCCCCC" w:sz="1"/>
              <w:right w:val="single" w:color="CCCCCC" w:sz="1"/>
            </w:tcBorders>
            <w:shd w:fill="E0F2F1" w:val="clear"/>
            <w:tcMar>
              <w:top w:type="dxa" w:w="60"/>
              <w:left w:type="dxa" w:w="100"/>
              <w:bottom w:type="dxa" w:w="60"/>
              <w:right w:type="dxa" w:w="100"/>
            </w:tcMar>
          </w:tcPr>
          <w:p>
            <w:r>
              <w:rPr>
                <w:rFonts w:ascii="Arial" w:cs="Arial" w:eastAsia="Arial" w:hAnsi="Arial"/>
                <w:b w:val="false"/>
                <w:bCs w:val="false"/>
                <w:color w:val="333333"/>
                <w:sz w:val="20"/>
                <w:szCs w:val="20"/>
              </w:rPr>
              <w:t xml:space="preserve">AChE Inhibition</w:t>
            </w:r>
          </w:p>
        </w:tc>
        <w:tc>
          <w:tcPr>
            <w:tcW w:type="dxa" w:w="2340"/>
            <w:tcBorders>
              <w:top w:val="single" w:color="CCCCCC" w:sz="1"/>
              <w:left w:val="single" w:color="CCCCCC" w:sz="1"/>
              <w:bottom w:val="single" w:color="CCCCCC" w:sz="1"/>
              <w:right w:val="single" w:color="CCCCCC" w:sz="1"/>
            </w:tcBorders>
            <w:shd w:fill="E0F2F1" w:val="clear"/>
            <w:tcMar>
              <w:top w:type="dxa" w:w="60"/>
              <w:left w:type="dxa" w:w="100"/>
              <w:bottom w:type="dxa" w:w="60"/>
              <w:right w:type="dxa" w:w="100"/>
            </w:tcMar>
          </w:tcPr>
          <w:p>
            <w:r>
              <w:rPr>
                <w:rFonts w:ascii="Arial" w:cs="Arial" w:eastAsia="Arial" w:hAnsi="Arial"/>
                <w:b w:val="false"/>
                <w:bCs w:val="false"/>
                <w:color w:val="333333"/>
                <w:sz w:val="20"/>
                <w:szCs w:val="20"/>
              </w:rPr>
              <w:t xml:space="preserve">In vitro IC50 data</w:t>
            </w:r>
          </w:p>
        </w:tc>
        <w:tc>
          <w:tcPr>
            <w:tcW w:type="dxa" w:w="2340"/>
            <w:tcBorders>
              <w:top w:val="single" w:color="CCCCCC" w:sz="1"/>
              <w:left w:val="single" w:color="CCCCCC" w:sz="1"/>
              <w:bottom w:val="single" w:color="CCCCCC" w:sz="1"/>
              <w:right w:val="single" w:color="CCCCCC" w:sz="1"/>
            </w:tcBorders>
            <w:shd w:fill="E0F2F1" w:val="clear"/>
            <w:tcMar>
              <w:top w:type="dxa" w:w="60"/>
              <w:left w:type="dxa" w:w="100"/>
              <w:bottom w:type="dxa" w:w="60"/>
              <w:right w:type="dxa" w:w="100"/>
            </w:tcMar>
          </w:tcPr>
          <w:p>
            <w:r>
              <w:rPr>
                <w:rFonts w:ascii="Arial" w:cs="Arial" w:eastAsia="Arial" w:hAnsi="Arial"/>
                <w:b w:val="false"/>
                <w:bCs w:val="false"/>
                <w:color w:val="333333"/>
                <w:sz w:val="20"/>
                <w:szCs w:val="20"/>
              </w:rPr>
              <w:t xml:space="preserve">Low</w:t>
            </w:r>
          </w:p>
        </w:tc>
        <w:tc>
          <w:tcPr>
            <w:tcW w:type="dxa" w:w="2340"/>
            <w:tcBorders>
              <w:top w:val="single" w:color="CCCCCC" w:sz="1"/>
              <w:left w:val="single" w:color="CCCCCC" w:sz="1"/>
              <w:bottom w:val="single" w:color="CCCCCC" w:sz="1"/>
              <w:right w:val="single" w:color="CCCCCC" w:sz="1"/>
            </w:tcBorders>
            <w:shd w:fill="E0F2F1" w:val="clear"/>
            <w:tcMar>
              <w:top w:type="dxa" w:w="60"/>
              <w:left w:type="dxa" w:w="100"/>
              <w:bottom w:type="dxa" w:w="60"/>
              <w:right w:type="dxa" w:w="100"/>
            </w:tcMar>
          </w:tcPr>
          <w:p>
            <w:r>
              <w:rPr>
                <w:rFonts w:ascii="Arial" w:cs="Arial" w:eastAsia="Arial" w:hAnsi="Arial"/>
                <w:b w:val="false"/>
                <w:bCs w:val="false"/>
                <w:color w:val="333333"/>
                <w:sz w:val="20"/>
                <w:szCs w:val="20"/>
              </w:rPr>
              <w:t xml:space="preserve">May benefit cognition, but no pre-loading studies; no human trials</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Receptor Priming/Entourage Enhancement</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Theoretical cannabinoid receptor modulation</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Very Low</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Highly speculative; no empirical pre-loading studies exist</w:t>
            </w:r>
          </w:p>
        </w:tc>
      </w:tr>
    </w:tbl>
    <w:p>
      <w:pPr>
        <w:spacing w:after="120"/>
      </w:pPr>
    </w:p>
    <w:p>
      <w:pPr>
        <w:spacing w:after="120" w:line="300"/>
      </w:pPr>
      <w:r>
        <w:rPr>
          <w:rFonts w:ascii="Arial" w:cs="Arial" w:eastAsia="Arial" w:hAnsi="Arial"/>
          <w:b/>
          <w:bCs/>
          <w:sz w:val="22"/>
          <w:szCs w:val="22"/>
        </w:rPr>
        <w:t xml:space="preserve">Conclusion:</w:t>
      </w:r>
      <w:r>
        <w:rPr>
          <w:rFonts w:ascii="Arial" w:cs="Arial" w:eastAsia="Arial" w:hAnsi="Arial"/>
          <w:sz w:val="22"/>
          <w:szCs w:val="22"/>
        </w:rPr>
        <w:t xml:space="preserve"> Pre-loading is a </w:t>
      </w:r>
      <w:r>
        <w:rPr>
          <w:rFonts w:ascii="Arial" w:cs="Arial" w:eastAsia="Arial" w:hAnsi="Arial"/>
          <w:b/>
          <w:bCs/>
          <w:sz w:val="22"/>
          <w:szCs w:val="22"/>
        </w:rPr>
        <w:t xml:space="preserve">plausible but unvalidated</w:t>
      </w:r>
      <w:r>
        <w:rPr>
          <w:rFonts w:ascii="Arial" w:cs="Arial" w:eastAsia="Arial" w:hAnsi="Arial"/>
          <w:sz w:val="22"/>
          <w:szCs w:val="22"/>
        </w:rPr>
        <w:t xml:space="preserve"> application of terpinolene pharmacology. Rigorous clinical trials are needed to assess efficacy, optimal dosing, timing, and safety.</w:t>
      </w:r>
    </w:p>
    <w:p>
      <w:pPr>
        <w:spacing w:before="200"/>
      </w:pPr>
      <w:r>
        <w:drawing>
          <wp:inline distT="0" distB="0" distL="0" distR="0">
            <wp:extent cx="6191250" cy="47625"/>
            <wp:effectExtent t="0" r="0" b="0" l="0"/>
            <wp:docPr id="1" name="divider" descr="Section divider" title="div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47625"/>
                    </a:xfrm>
                    <a:prstGeom prst="rect">
                      <a:avLst/>
                    </a:prstGeom>
                  </pic:spPr>
                </pic:pic>
              </a:graphicData>
            </a:graphic>
          </wp:inline>
        </w:drawing>
      </w:r>
    </w:p>
    <w:p>
      <w:pPr>
        <w:pStyle w:val="Heading1"/>
        <w:spacing w:after="200" w:before="360"/>
      </w:pPr>
      <w:r>
        <w:rPr>
          <w:rFonts w:ascii="Arial" w:cs="Arial" w:eastAsia="Arial" w:hAnsi="Arial"/>
          <w:b/>
          <w:bCs/>
          <w:color w:val="00695C"/>
          <w:sz w:val="30"/>
          <w:szCs w:val="30"/>
        </w:rPr>
        <w:t xml:space="preserve">Research Gaps &amp; Future Directions</w:t>
      </w:r>
    </w:p>
    <w:p>
      <w:pPr>
        <w:spacing w:after="120" w:line="300"/>
      </w:pPr>
      <w:r>
        <w:rPr>
          <w:rFonts w:ascii="Arial" w:cs="Arial" w:eastAsia="Arial" w:hAnsi="Arial"/>
          <w:sz w:val="22"/>
          <w:szCs w:val="22"/>
        </w:rPr>
        <w:t xml:space="preserve">Terpinolene exemplifies the </w:t>
      </w:r>
      <w:r>
        <w:rPr>
          <w:rFonts w:ascii="Arial" w:cs="Arial" w:eastAsia="Arial" w:hAnsi="Arial"/>
          <w:b/>
          <w:bCs/>
          <w:sz w:val="22"/>
          <w:szCs w:val="22"/>
        </w:rPr>
        <w:t xml:space="preserve">profound gaps</w:t>
      </w:r>
      <w:r>
        <w:rPr>
          <w:rFonts w:ascii="Arial" w:cs="Arial" w:eastAsia="Arial" w:hAnsi="Arial"/>
          <w:sz w:val="22"/>
          <w:szCs w:val="22"/>
        </w:rPr>
        <w:t xml:space="preserve"> in cannabis science: a major terpene with documented pharmacological activity yet minimal human clinical investigation and zero pre-loading studies.</w:t>
      </w:r>
    </w:p>
    <w:p>
      <w:pPr>
        <w:pStyle w:val="Heading2"/>
        <w:spacing w:after="120" w:before="240"/>
      </w:pPr>
      <w:r>
        <w:rPr>
          <w:rFonts w:ascii="Arial" w:cs="Arial" w:eastAsia="Arial" w:hAnsi="Arial"/>
          <w:b/>
          <w:bCs/>
          <w:color w:val="333333"/>
          <w:sz w:val="26"/>
          <w:szCs w:val="26"/>
        </w:rPr>
        <w:t xml:space="preserve">Priority Research Questions</w:t>
      </w:r>
    </w:p>
    <w:p>
      <w:pPr>
        <w:spacing w:after="100" w:before="200"/>
      </w:pPr>
      <w:r>
        <w:rPr>
          <w:rFonts w:ascii="Arial" w:cs="Arial" w:eastAsia="Arial" w:hAnsi="Arial"/>
          <w:b/>
          <w:bCs/>
          <w:color w:val="444444"/>
          <w:sz w:val="24"/>
          <w:szCs w:val="24"/>
        </w:rPr>
        <w:t xml:space="preserve">1. Cannabinoid-Terpene Pharmacokinetics</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Question:</w:t>
      </w:r>
      <w:r>
        <w:rPr>
          <w:rFonts w:ascii="Arial" w:cs="Arial" w:eastAsia="Arial" w:hAnsi="Arial"/>
          <w:sz w:val="22"/>
          <w:szCs w:val="22"/>
        </w:rPr>
        <w:t xml:space="preserve"> How does terpinolene's absorption, distribution, metabolism, and CNS penetration change in the presence of THC, CBD, and other cannabis terpenes?</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Study Design:</w:t>
      </w:r>
      <w:r>
        <w:rPr>
          <w:rFonts w:ascii="Arial" w:cs="Arial" w:eastAsia="Arial" w:hAnsi="Arial"/>
          <w:sz w:val="22"/>
          <w:szCs w:val="22"/>
        </w:rPr>
        <w:t xml:space="preserve"> Controlled pharmacokinetic study comparing:</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Isolated terpinolene (IV, oral, inhalation)</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Terpinolene + THC</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Terpinolene + THC + CBD</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Full cannabis plant extract (chemotype-controlled)</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Outcomes:</w:t>
      </w:r>
      <w:r>
        <w:rPr>
          <w:rFonts w:ascii="Arial" w:cs="Arial" w:eastAsia="Arial" w:hAnsi="Arial"/>
          <w:sz w:val="22"/>
          <w:szCs w:val="22"/>
        </w:rPr>
        <w:t xml:space="preserve"> Plasma concentration, CSF penetration (microdialysis), receptor occupancy (PET imaging)</w:t>
      </w:r>
    </w:p>
    <w:p>
      <w:pPr>
        <w:spacing w:after="100" w:before="200"/>
      </w:pPr>
      <w:r>
        <w:rPr>
          <w:rFonts w:ascii="Arial" w:cs="Arial" w:eastAsia="Arial" w:hAnsi="Arial"/>
          <w:b/>
          <w:bCs/>
          <w:color w:val="444444"/>
          <w:sz w:val="24"/>
          <w:szCs w:val="24"/>
        </w:rPr>
        <w:t xml:space="preserve">2. Receptor Mechanism of Action</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Question:</w:t>
      </w:r>
      <w:r>
        <w:rPr>
          <w:rFonts w:ascii="Arial" w:cs="Arial" w:eastAsia="Arial" w:hAnsi="Arial"/>
          <w:sz w:val="22"/>
          <w:szCs w:val="22"/>
        </w:rPr>
        <w:t xml:space="preserve"> Which CNS receptors mediate terpinolene's sedative, anti-inflammatory, and neuroprotective effects?</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Study Design:</w:t>
      </w:r>
      <w:r>
        <w:rPr>
          <w:rFonts w:ascii="Arial" w:cs="Arial" w:eastAsia="Arial" w:hAnsi="Arial"/>
          <w:sz w:val="22"/>
          <w:szCs w:val="22"/>
        </w:rPr>
        <w:t xml:space="preserve"> Receptor binding assays, knockout mouse models, functional patch-clamp electrophysiology</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Outcomes:</w:t>
      </w:r>
      <w:r>
        <w:rPr>
          <w:rFonts w:ascii="Arial" w:cs="Arial" w:eastAsia="Arial" w:hAnsi="Arial"/>
          <w:sz w:val="22"/>
          <w:szCs w:val="22"/>
        </w:rPr>
        <w:t xml:space="preserve"> Affinity for GABA-A, serotonin, dopamine, adenosine, CB1/CB2 receptors; confirmation of on-target vs. off-target effects</w:t>
      </w:r>
    </w:p>
    <w:p>
      <w:pPr>
        <w:spacing w:after="100" w:before="200"/>
      </w:pPr>
      <w:r>
        <w:rPr>
          <w:rFonts w:ascii="Arial" w:cs="Arial" w:eastAsia="Arial" w:hAnsi="Arial"/>
          <w:b/>
          <w:bCs/>
          <w:color w:val="444444"/>
          <w:sz w:val="24"/>
          <w:szCs w:val="24"/>
        </w:rPr>
        <w:t xml:space="preserve">3. Human Sleep &amp; Cognitive Studies</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Question:</w:t>
      </w:r>
      <w:r>
        <w:rPr>
          <w:rFonts w:ascii="Arial" w:cs="Arial" w:eastAsia="Arial" w:hAnsi="Arial"/>
          <w:sz w:val="22"/>
          <w:szCs w:val="22"/>
        </w:rPr>
        <w:t xml:space="preserve"> Does terpinolene pre-loading enhance sleep quality, latency, or cognitive performance in humans with cannabis co-administration?</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Study Design:</w:t>
      </w:r>
      <w:r>
        <w:rPr>
          <w:rFonts w:ascii="Arial" w:cs="Arial" w:eastAsia="Arial" w:hAnsi="Arial"/>
          <w:sz w:val="22"/>
          <w:szCs w:val="22"/>
        </w:rPr>
        <w:t xml:space="preserve"> Randomized, placebo-controlled, crossover trial</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Groups:</w:t>
      </w:r>
      <w:r>
        <w:rPr>
          <w:rFonts w:ascii="Arial" w:cs="Arial" w:eastAsia="Arial" w:hAnsi="Arial"/>
          <w:sz w:val="22"/>
          <w:szCs w:val="22"/>
        </w:rPr>
        <w:t xml:space="preserve"> Terpinolene inhalation + cannabis vs. sham inhalation + cannabis vs. terpinolene alone vs. cannabis alone</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Outcomes:</w:t>
      </w:r>
      <w:r>
        <w:rPr>
          <w:rFonts w:ascii="Arial" w:cs="Arial" w:eastAsia="Arial" w:hAnsi="Arial"/>
          <w:sz w:val="22"/>
          <w:szCs w:val="22"/>
        </w:rPr>
        <w:t xml:space="preserve"> Sleep latency, duration, architecture (polysomnography); cognitive testing; subjective effects</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Participants:</w:t>
      </w:r>
      <w:r>
        <w:rPr>
          <w:rFonts w:ascii="Arial" w:cs="Arial" w:eastAsia="Arial" w:hAnsi="Arial"/>
          <w:sz w:val="22"/>
          <w:szCs w:val="22"/>
        </w:rPr>
        <w:t xml:space="preserve"> n=50–100 healthy volunteers; n=20–30 clinical insomnia patients (separate cohort)</w:t>
      </w:r>
    </w:p>
    <w:p>
      <w:pPr>
        <w:spacing w:after="100" w:before="200"/>
      </w:pPr>
      <w:r>
        <w:rPr>
          <w:rFonts w:ascii="Arial" w:cs="Arial" w:eastAsia="Arial" w:hAnsi="Arial"/>
          <w:b/>
          <w:bCs/>
          <w:color w:val="444444"/>
          <w:sz w:val="24"/>
          <w:szCs w:val="24"/>
        </w:rPr>
        <w:t xml:space="preserve">4. Antioxidant Efficacy in Vivo</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Question:</w:t>
      </w:r>
      <w:r>
        <w:rPr>
          <w:rFonts w:ascii="Arial" w:cs="Arial" w:eastAsia="Arial" w:hAnsi="Arial"/>
          <w:sz w:val="22"/>
          <w:szCs w:val="22"/>
        </w:rPr>
        <w:t xml:space="preserve"> Does terpinolene pre-loading reduce oxidative biomarkers (8-OHdG, malondialdehyde, etc.) following cannabis combustion?</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Study Design:</w:t>
      </w:r>
      <w:r>
        <w:rPr>
          <w:rFonts w:ascii="Arial" w:cs="Arial" w:eastAsia="Arial" w:hAnsi="Arial"/>
          <w:sz w:val="22"/>
          <w:szCs w:val="22"/>
        </w:rPr>
        <w:t xml:space="preserve"> Controlled exposure study</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Protocol:</w:t>
      </w:r>
      <w:r>
        <w:rPr>
          <w:rFonts w:ascii="Arial" w:cs="Arial" w:eastAsia="Arial" w:hAnsi="Arial"/>
          <w:sz w:val="22"/>
          <w:szCs w:val="22"/>
        </w:rPr>
        <w:t xml:space="preserve"> Terpinolene inhalation 15 min pre-cannabis combustion; measure plasma/urine antioxidant markers, oxidative stress markers, and free radical scavenging capacity</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Outcomes:</w:t>
      </w:r>
      <w:r>
        <w:rPr>
          <w:rFonts w:ascii="Arial" w:cs="Arial" w:eastAsia="Arial" w:hAnsi="Arial"/>
          <w:sz w:val="22"/>
          <w:szCs w:val="22"/>
        </w:rPr>
        <w:t xml:space="preserve"> Oxidative stress biomarkers, antioxidant capacity, lung function (FEV1)</w:t>
      </w:r>
    </w:p>
    <w:p>
      <w:pPr>
        <w:spacing w:after="100" w:before="200"/>
      </w:pPr>
      <w:r>
        <w:rPr>
          <w:rFonts w:ascii="Arial" w:cs="Arial" w:eastAsia="Arial" w:hAnsi="Arial"/>
          <w:b/>
          <w:bCs/>
          <w:color w:val="444444"/>
          <w:sz w:val="24"/>
          <w:szCs w:val="24"/>
        </w:rPr>
        <w:t xml:space="preserve">5. Pre-Loading Protocol Optimization</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Question:</w:t>
      </w:r>
      <w:r>
        <w:rPr>
          <w:rFonts w:ascii="Arial" w:cs="Arial" w:eastAsia="Arial" w:hAnsi="Arial"/>
          <w:sz w:val="22"/>
          <w:szCs w:val="22"/>
        </w:rPr>
        <w:t xml:space="preserve"> What are optimal dosing, timing, botanical source, and delivery method for terpinolene pre-loading?</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Study Design:</w:t>
      </w:r>
      <w:r>
        <w:rPr>
          <w:rFonts w:ascii="Arial" w:cs="Arial" w:eastAsia="Arial" w:hAnsi="Arial"/>
          <w:sz w:val="22"/>
          <w:szCs w:val="22"/>
        </w:rPr>
        <w:t xml:space="preserve"> Dose-response and pharmacodynamic studies</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Variables:</w:t>
      </w:r>
      <w:r>
        <w:rPr>
          <w:rFonts w:ascii="Arial" w:cs="Arial" w:eastAsia="Arial" w:hAnsi="Arial"/>
          <w:sz w:val="22"/>
          <w:szCs w:val="22"/>
        </w:rPr>
        <w:t xml:space="preserve"> Terpinolene dose (1–50 mg), timing (5–60 min pre-cannabis), source (tea tree, parsnip, synthetic), delivery (diffusion, inhalation pod, essential oil spray)</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Outcomes:</w:t>
      </w:r>
      <w:r>
        <w:rPr>
          <w:rFonts w:ascii="Arial" w:cs="Arial" w:eastAsia="Arial" w:hAnsi="Arial"/>
          <w:sz w:val="22"/>
          <w:szCs w:val="22"/>
        </w:rPr>
        <w:t xml:space="preserve"> Subjective effects, biomarkers, safety</w:t>
      </w:r>
    </w:p>
    <w:p>
      <w:pPr>
        <w:spacing w:after="100" w:before="200"/>
      </w:pPr>
      <w:r>
        <w:rPr>
          <w:rFonts w:ascii="Arial" w:cs="Arial" w:eastAsia="Arial" w:hAnsi="Arial"/>
          <w:b/>
          <w:bCs/>
          <w:color w:val="444444"/>
          <w:sz w:val="24"/>
          <w:szCs w:val="24"/>
        </w:rPr>
        <w:t xml:space="preserve">6. Terpinolene Synthase in Cannabis</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Question:</w:t>
      </w:r>
      <w:r>
        <w:rPr>
          <w:rFonts w:ascii="Arial" w:cs="Arial" w:eastAsia="Arial" w:hAnsi="Arial"/>
          <w:sz w:val="22"/>
          <w:szCs w:val="22"/>
        </w:rPr>
        <w:t xml:space="preserve"> Which enzyme(s) in Cannabis sativa produce terpinolene? Why is terpinolene a major terpene in some strains and absent in others?</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Study Design:</w:t>
      </w:r>
      <w:r>
        <w:rPr>
          <w:rFonts w:ascii="Arial" w:cs="Arial" w:eastAsia="Arial" w:hAnsi="Arial"/>
          <w:sz w:val="22"/>
          <w:szCs w:val="22"/>
        </w:rPr>
        <w:t xml:space="preserve"> Molecular biology (transcriptomics, enzyme characterization)</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Approach:</w:t>
      </w:r>
      <w:r>
        <w:rPr>
          <w:rFonts w:ascii="Arial" w:cs="Arial" w:eastAsia="Arial" w:hAnsi="Arial"/>
          <w:sz w:val="22"/>
          <w:szCs w:val="22"/>
        </w:rPr>
        <w:t xml:space="preserve"> Identify terpinolene synthase gene(s) in high-terpinolene cannabis strains; validate via CRISPR knockdown; characterize enzyme kinetics</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Outcomes:</w:t>
      </w:r>
      <w:r>
        <w:rPr>
          <w:rFonts w:ascii="Arial" w:cs="Arial" w:eastAsia="Arial" w:hAnsi="Arial"/>
          <w:sz w:val="22"/>
          <w:szCs w:val="22"/>
        </w:rPr>
        <w:t xml:space="preserve"> Mechanistic understanding of strain-specific terpene profiles</w:t>
      </w:r>
    </w:p>
    <w:p>
      <w:pPr>
        <w:spacing w:after="100" w:before="200"/>
      </w:pPr>
      <w:r>
        <w:rPr>
          <w:rFonts w:ascii="Arial" w:cs="Arial" w:eastAsia="Arial" w:hAnsi="Arial"/>
          <w:b/>
          <w:bCs/>
          <w:color w:val="444444"/>
          <w:sz w:val="24"/>
          <w:szCs w:val="24"/>
        </w:rPr>
        <w:t xml:space="preserve">7. Cannabis Sativa Phenotypic Classification</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Question:</w:t>
      </w:r>
      <w:r>
        <w:rPr>
          <w:rFonts w:ascii="Arial" w:cs="Arial" w:eastAsia="Arial" w:hAnsi="Arial"/>
          <w:sz w:val="22"/>
          <w:szCs w:val="22"/>
        </w:rPr>
        <w:t xml:space="preserve"> Does terpinolene concentration correlate with subjective "sativa" effects independent of THC/CBD ratio?</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Study Design:</w:t>
      </w:r>
      <w:r>
        <w:rPr>
          <w:rFonts w:ascii="Arial" w:cs="Arial" w:eastAsia="Arial" w:hAnsi="Arial"/>
          <w:sz w:val="22"/>
          <w:szCs w:val="22"/>
        </w:rPr>
        <w:t xml:space="preserve"> Blind, controlled cannabis trial with terpene profiling</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Protocol:</w:t>
      </w:r>
      <w:r>
        <w:rPr>
          <w:rFonts w:ascii="Arial" w:cs="Arial" w:eastAsia="Arial" w:hAnsi="Arial"/>
          <w:sz w:val="22"/>
          <w:szCs w:val="22"/>
        </w:rPr>
        <w:t xml:space="preserve"> Administer terpinolene-high vs. terpinolene-low cannabis strains (matched THC/CBD) to humans; measure subjective effects and biomarkers</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Outcomes:</w:t>
      </w:r>
      <w:r>
        <w:rPr>
          <w:rFonts w:ascii="Arial" w:cs="Arial" w:eastAsia="Arial" w:hAnsi="Arial"/>
          <w:sz w:val="22"/>
          <w:szCs w:val="22"/>
        </w:rPr>
        <w:t xml:space="preserve"> Clarify whether terpinolene-dominant strains are inherently "energizing" or whether THC/CBD ratio drives the effect</w:t>
      </w:r>
    </w:p>
    <w:p>
      <w:pPr>
        <w:spacing w:after="100" w:before="200"/>
      </w:pPr>
      <w:r>
        <w:rPr>
          <w:rFonts w:ascii="Arial" w:cs="Arial" w:eastAsia="Arial" w:hAnsi="Arial"/>
          <w:b/>
          <w:bCs/>
          <w:color w:val="444444"/>
          <w:sz w:val="24"/>
          <w:szCs w:val="24"/>
        </w:rPr>
        <w:t xml:space="preserve">8. Terpinolene Safety in Humans</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Question:</w:t>
      </w:r>
      <w:r>
        <w:rPr>
          <w:rFonts w:ascii="Arial" w:cs="Arial" w:eastAsia="Arial" w:hAnsi="Arial"/>
          <w:sz w:val="22"/>
          <w:szCs w:val="22"/>
        </w:rPr>
        <w:t xml:space="preserve"> What are the acute and chronic safety limits for terpinolene inhalation and ingestion?</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Study Design:</w:t>
      </w:r>
      <w:r>
        <w:rPr>
          <w:rFonts w:ascii="Arial" w:cs="Arial" w:eastAsia="Arial" w:hAnsi="Arial"/>
          <w:sz w:val="22"/>
          <w:szCs w:val="22"/>
        </w:rPr>
        <w:t xml:space="preserve"> Safety &amp; toxicology studies</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Acute:</w:t>
      </w:r>
      <w:r>
        <w:rPr>
          <w:rFonts w:ascii="Arial" w:cs="Arial" w:eastAsia="Arial" w:hAnsi="Arial"/>
          <w:sz w:val="22"/>
          <w:szCs w:val="22"/>
        </w:rPr>
        <w:t xml:space="preserve"> Single-dose inhalation/ingestion at 1–100 mg; measure vital signs, adverse events, CNS effects</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Chronic:</w:t>
      </w:r>
      <w:r>
        <w:rPr>
          <w:rFonts w:ascii="Arial" w:cs="Arial" w:eastAsia="Arial" w:hAnsi="Arial"/>
          <w:sz w:val="22"/>
          <w:szCs w:val="22"/>
        </w:rPr>
        <w:t xml:space="preserve"> Repeated dosing (28–90 days) at therapeutic doses; measure organ function (liver, kidney), hematology, immunology</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Participants:</w:t>
      </w:r>
      <w:r>
        <w:rPr>
          <w:rFonts w:ascii="Arial" w:cs="Arial" w:eastAsia="Arial" w:hAnsi="Arial"/>
          <w:sz w:val="22"/>
          <w:szCs w:val="22"/>
        </w:rPr>
        <w:t xml:space="preserve"> Healthy volunteers; special populations (elderly, liver disease, respiratory disease)</w:t>
      </w:r>
    </w:p>
    <w:p>
      <w:pPr>
        <w:pStyle w:val="Heading2"/>
        <w:spacing w:after="120" w:before="240"/>
      </w:pPr>
      <w:r>
        <w:rPr>
          <w:rFonts w:ascii="Arial" w:cs="Arial" w:eastAsia="Arial" w:hAnsi="Arial"/>
          <w:b/>
          <w:bCs/>
          <w:color w:val="333333"/>
          <w:sz w:val="26"/>
          <w:szCs w:val="26"/>
        </w:rPr>
        <w:t xml:space="preserve">Methodological Priorities</w:t>
      </w:r>
    </w:p>
    <w:p>
      <w:pPr>
        <w:spacing w:after="100" w:before="200"/>
      </w:pPr>
      <w:r>
        <w:rPr>
          <w:rFonts w:ascii="Arial" w:cs="Arial" w:eastAsia="Arial" w:hAnsi="Arial"/>
          <w:b/>
          <w:bCs/>
          <w:color w:val="444444"/>
          <w:sz w:val="24"/>
          <w:szCs w:val="24"/>
        </w:rPr>
        <w:t xml:space="preserve">Standardization &amp; Sourcing</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Essential Oil Testing:</w:t>
      </w:r>
      <w:r>
        <w:rPr>
          <w:rFonts w:ascii="Arial" w:cs="Arial" w:eastAsia="Arial" w:hAnsi="Arial"/>
          <w:sz w:val="22"/>
          <w:szCs w:val="22"/>
        </w:rPr>
        <w:t xml:space="preserve"> All pre-clinical and clinical studies must use chromatographically verified (GC-MS/HPLC) terpinolene-containing botanicals; no reliance on vendor claims</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Botanical Authentication:</w:t>
      </w:r>
      <w:r>
        <w:rPr>
          <w:rFonts w:ascii="Arial" w:cs="Arial" w:eastAsia="Arial" w:hAnsi="Arial"/>
          <w:sz w:val="22"/>
          <w:szCs w:val="22"/>
        </w:rPr>
        <w:t xml:space="preserve"> Plant material must be botanically authenticated (herbarium vouchers) and chemically characterized for terpinolene and co-occurring compounds</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Synthetic Terpinolene:</w:t>
      </w:r>
      <w:r>
        <w:rPr>
          <w:rFonts w:ascii="Arial" w:cs="Arial" w:eastAsia="Arial" w:hAnsi="Arial"/>
          <w:sz w:val="22"/>
          <w:szCs w:val="22"/>
        </w:rPr>
        <w:t xml:space="preserve"> Studies should employ GC-verified synthetic terpinolene (&gt;99% purity) for mechanistic studies</w:t>
      </w:r>
    </w:p>
    <w:p>
      <w:pPr>
        <w:spacing w:after="100" w:before="200"/>
      </w:pPr>
      <w:r>
        <w:rPr>
          <w:rFonts w:ascii="Arial" w:cs="Arial" w:eastAsia="Arial" w:hAnsi="Arial"/>
          <w:b/>
          <w:bCs/>
          <w:color w:val="444444"/>
          <w:sz w:val="24"/>
          <w:szCs w:val="24"/>
        </w:rPr>
        <w:t xml:space="preserve">Outcome Measures</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Biomarkers:</w:t>
      </w:r>
      <w:r>
        <w:rPr>
          <w:rFonts w:ascii="Arial" w:cs="Arial" w:eastAsia="Arial" w:hAnsi="Arial"/>
          <w:sz w:val="22"/>
          <w:szCs w:val="22"/>
        </w:rPr>
        <w:t xml:space="preserve"> Standardized oxidative stress (8-OHdG, isoprostanes), inflammatory (TNF-α, IL-6, IL-1β, CRP), and antioxidant (SOD, catalase, glutathione) assays</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Sleep:</w:t>
      </w:r>
      <w:r>
        <w:rPr>
          <w:rFonts w:ascii="Arial" w:cs="Arial" w:eastAsia="Arial" w:hAnsi="Arial"/>
          <w:sz w:val="22"/>
          <w:szCs w:val="22"/>
        </w:rPr>
        <w:t xml:space="preserve"> Gold-standard polysomnography + wearable actigraphy; subjective Pittsburgh Sleep Quality Index (PSQI)</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Cognitive:</w:t>
      </w:r>
      <w:r>
        <w:rPr>
          <w:rFonts w:ascii="Arial" w:cs="Arial" w:eastAsia="Arial" w:hAnsi="Arial"/>
          <w:sz w:val="22"/>
          <w:szCs w:val="22"/>
        </w:rPr>
        <w:t xml:space="preserve"> Standardized neuropsychological batteries (CANTAB, NIH Toolbox)</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Safety:</w:t>
      </w:r>
      <w:r>
        <w:rPr>
          <w:rFonts w:ascii="Arial" w:cs="Arial" w:eastAsia="Arial" w:hAnsi="Arial"/>
          <w:sz w:val="22"/>
          <w:szCs w:val="22"/>
        </w:rPr>
        <w:t xml:space="preserve"> Liver function tests (AST, ALT, GGT), hematology, lung function (spirometry)</w:t>
      </w:r>
    </w:p>
    <w:p>
      <w:pPr>
        <w:spacing w:after="100" w:before="200"/>
      </w:pPr>
      <w:r>
        <w:rPr>
          <w:rFonts w:ascii="Arial" w:cs="Arial" w:eastAsia="Arial" w:hAnsi="Arial"/>
          <w:b/>
          <w:bCs/>
          <w:color w:val="444444"/>
          <w:sz w:val="24"/>
          <w:szCs w:val="24"/>
        </w:rPr>
        <w:t xml:space="preserve">Study Population Considerations</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Diversity:</w:t>
      </w:r>
      <w:r>
        <w:rPr>
          <w:rFonts w:ascii="Arial" w:cs="Arial" w:eastAsia="Arial" w:hAnsi="Arial"/>
          <w:sz w:val="22"/>
          <w:szCs w:val="22"/>
        </w:rPr>
        <w:t xml:space="preserve"> Current cannabis research is biased toward healthy young adults; future terpinolene studies must include:</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Aged populations (65+ years; higher seizure/neurotoxicity risk)</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Individuals with chronic diseases (insomnia, chronic pain, anxiety, neurodegenerative disease)</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Special populations (pregnant, pediatric, hepatic/renal impairment)</w:t>
      </w:r>
    </w:p>
    <w:p>
      <w:pPr>
        <w:pStyle w:val="Heading2"/>
        <w:spacing w:after="120" w:before="240"/>
      </w:pPr>
      <w:r>
        <w:rPr>
          <w:rFonts w:ascii="Arial" w:cs="Arial" w:eastAsia="Arial" w:hAnsi="Arial"/>
          <w:b/>
          <w:bCs/>
          <w:color w:val="333333"/>
          <w:sz w:val="26"/>
          <w:szCs w:val="26"/>
        </w:rPr>
        <w:t xml:space="preserve">Long-Term Vision</w:t>
      </w:r>
    </w:p>
    <w:p>
      <w:pPr>
        <w:spacing w:after="120" w:line="300"/>
      </w:pPr>
      <w:r>
        <w:rPr>
          <w:rFonts w:ascii="Arial" w:cs="Arial" w:eastAsia="Arial" w:hAnsi="Arial"/>
          <w:sz w:val="22"/>
          <w:szCs w:val="22"/>
        </w:rPr>
        <w:t xml:space="preserve">Terpinolene research should evolve toward:</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Personalized Cannabis Medicine:</w:t>
      </w:r>
      <w:r>
        <w:rPr>
          <w:rFonts w:ascii="Arial" w:cs="Arial" w:eastAsia="Arial" w:hAnsi="Arial"/>
          <w:sz w:val="22"/>
          <w:szCs w:val="22"/>
        </w:rPr>
        <w:t xml:space="preserve"> Matching terpene profiles (including terpinolene) to individual patient phenotypes (sleep disorder, pain profile, cognitive status) for optimized therapeutic outcomes</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Botanical Synergy Science:</w:t>
      </w:r>
      <w:r>
        <w:rPr>
          <w:rFonts w:ascii="Arial" w:cs="Arial" w:eastAsia="Arial" w:hAnsi="Arial"/>
          <w:sz w:val="22"/>
          <w:szCs w:val="22"/>
        </w:rPr>
        <w:t xml:space="preserve"> Moving beyond single-terpene studies toward </w:t>
      </w:r>
      <w:r>
        <w:rPr>
          <w:rFonts w:ascii="Arial" w:cs="Arial" w:eastAsia="Arial" w:hAnsi="Arial"/>
          <w:b/>
          <w:bCs/>
          <w:sz w:val="22"/>
          <w:szCs w:val="22"/>
        </w:rPr>
        <w:t xml:space="preserve">defined botanical blends</w:t>
      </w:r>
      <w:r>
        <w:rPr>
          <w:rFonts w:ascii="Arial" w:cs="Arial" w:eastAsia="Arial" w:hAnsi="Arial"/>
          <w:sz w:val="22"/>
          <w:szCs w:val="22"/>
        </w:rPr>
        <w:t xml:space="preserve"> (e.g., terpinolene + terpinen-4-ol + limonene) to model traditional wisdom and optimize entourage effects</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Metabolomic Profiling:</w:t>
      </w:r>
      <w:r>
        <w:rPr>
          <w:rFonts w:ascii="Arial" w:cs="Arial" w:eastAsia="Arial" w:hAnsi="Arial"/>
          <w:sz w:val="22"/>
          <w:szCs w:val="22"/>
        </w:rPr>
        <w:t xml:space="preserve"> Integrating terpinolene pharmacology with cannabinoid metabolomics to predict individual cannabis response trajectories</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Regulatory Integration:</w:t>
      </w:r>
      <w:r>
        <w:rPr>
          <w:rFonts w:ascii="Arial" w:cs="Arial" w:eastAsia="Arial" w:hAnsi="Arial"/>
          <w:sz w:val="22"/>
          <w:szCs w:val="22"/>
        </w:rPr>
        <w:t xml:space="preserve"> Developing evidence-based terpene labeling and quality standards for cannabis products, moving beyond imprecise "sativa/indica" classifications toward terpene fingerprinting</w:t>
      </w:r>
    </w:p>
    <w:p>
      <w:pPr>
        <w:spacing w:before="200"/>
      </w:pPr>
      <w:r>
        <w:drawing>
          <wp:inline distT="0" distB="0" distL="0" distR="0">
            <wp:extent cx="6191250" cy="47625"/>
            <wp:effectExtent t="0" r="0" b="0" l="0"/>
            <wp:docPr id="1" name="divider" descr="Section divider" title="div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47625"/>
                    </a:xfrm>
                    <a:prstGeom prst="rect">
                      <a:avLst/>
                    </a:prstGeom>
                  </pic:spPr>
                </pic:pic>
              </a:graphicData>
            </a:graphic>
          </wp:inline>
        </w:drawing>
      </w:r>
    </w:p>
    <w:p>
      <w:pPr>
        <w:pStyle w:val="Heading1"/>
        <w:spacing w:after="200" w:before="360"/>
      </w:pPr>
      <w:r>
        <w:rPr>
          <w:rFonts w:ascii="Arial" w:cs="Arial" w:eastAsia="Arial" w:hAnsi="Arial"/>
          <w:b/>
          <w:bCs/>
          <w:color w:val="00695C"/>
          <w:sz w:val="30"/>
          <w:szCs w:val="30"/>
        </w:rPr>
        <w:t xml:space="preserve">References</w:t>
      </w:r>
    </w:p>
    <w:p>
      <w:pPr>
        <w:pStyle w:val="Heading2"/>
        <w:spacing w:after="120" w:before="240"/>
      </w:pPr>
      <w:r>
        <w:rPr>
          <w:rFonts w:ascii="Arial" w:cs="Arial" w:eastAsia="Arial" w:hAnsi="Arial"/>
          <w:b/>
          <w:bCs/>
          <w:color w:val="333333"/>
          <w:sz w:val="26"/>
          <w:szCs w:val="26"/>
        </w:rPr>
        <w:t xml:space="preserve">Primary Literature &amp; Peer-Reviewed Sources</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Ito, K., &amp; Ito, M.</w:t>
      </w:r>
      <w:r>
        <w:rPr>
          <w:rFonts w:ascii="Arial" w:cs="Arial" w:eastAsia="Arial" w:hAnsi="Arial"/>
          <w:sz w:val="22"/>
          <w:szCs w:val="22"/>
        </w:rPr>
        <w:t xml:space="preserve"> (2013). "The sedative effect of inhaled terpinolene in mice and its structure-activity relationships." *Journal of Natural Medicines*, 67(4), 833-837. doi:10.1007/s11418-012-0732-1</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Seminal sedation study; inhalation in mice; nasal absorption mechanism; structure-activity data</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Okumura, T., Yoshida, M., Nishimura, Y., Kitagishi, Y., &amp; Matsuda, S.</w:t>
      </w:r>
      <w:r>
        <w:rPr>
          <w:rFonts w:ascii="Arial" w:cs="Arial" w:eastAsia="Arial" w:hAnsi="Arial"/>
          <w:sz w:val="22"/>
          <w:szCs w:val="22"/>
        </w:rPr>
        <w:t xml:space="preserve"> (2012). "Terpinolene, a component of herbal sage, downregulates AKT1 expression in K562 cells." *Oncology Letters*, 3(6), 1269-1272.</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Anti-proliferative study; K562 leukemia cells; AKT1 downregulation; apoptosis induction</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Gochev, V. F., et al.</w:t>
      </w:r>
      <w:r>
        <w:rPr>
          <w:rFonts w:ascii="Arial" w:cs="Arial" w:eastAsia="Arial" w:hAnsi="Arial"/>
          <w:sz w:val="22"/>
          <w:szCs w:val="22"/>
        </w:rPr>
        <w:t xml:space="preserve"> (2010). "Acetylcholinesterase and butyrylcholinesterase inhibitory activity of Pinus species essential oils and their constituents." *Journal of Enzyme Inhibition and Medicinal Chemistry*, 25(3), 329-334.</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AChE/BuChE inhibition; IC50 values; comparative potency among volatiles</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Bakkali, F., Averbeck, S., Averbeck, D., &amp; Idaomar, M.</w:t>
      </w:r>
      <w:r>
        <w:rPr>
          <w:rFonts w:ascii="Arial" w:cs="Arial" w:eastAsia="Arial" w:hAnsi="Arial"/>
          <w:sz w:val="22"/>
          <w:szCs w:val="22"/>
        </w:rPr>
        <w:t xml:space="preserve"> (2008). "Biological effects of essential oils—a review." *Food and Chemical Toxicology*, 46(2), 446-475.</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Comprehensive review of terpene toxicology and biological activity; antioxidant mechanisms</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Russo, E. B.</w:t>
      </w:r>
      <w:r>
        <w:rPr>
          <w:rFonts w:ascii="Arial" w:cs="Arial" w:eastAsia="Arial" w:hAnsi="Arial"/>
          <w:sz w:val="22"/>
          <w:szCs w:val="22"/>
        </w:rPr>
        <w:t xml:space="preserve"> (2011). "Taming THC: potential cannabis synergy and phytocannabinoid-terpenoid entourage effects." *British Journal of Pharmacology*, 163(7), 1344-1364.</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Entourage effect framework; terpinolene mentioned as modulator</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Carson, C. F., Hammer, K. A., &amp; Riley, T. V.</w:t>
      </w:r>
      <w:r>
        <w:rPr>
          <w:rFonts w:ascii="Arial" w:cs="Arial" w:eastAsia="Arial" w:hAnsi="Arial"/>
          <w:sz w:val="22"/>
          <w:szCs w:val="22"/>
        </w:rPr>
        <w:t xml:space="preserve"> (2006). "Melaleuca alternifolia (Tea Tree) Oil: a Review of Antimicrobial and Other Medicinal Properties." *Clinical Microbiology Reviews*, 19(1), 50-62.</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Tea tree oil composition; chemotypes; terpinolene-type M. alternifolia; antimicrobial data</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Tisserand, R., &amp; Young, R.</w:t>
      </w:r>
      <w:r>
        <w:rPr>
          <w:rFonts w:ascii="Arial" w:cs="Arial" w:eastAsia="Arial" w:hAnsi="Arial"/>
          <w:sz w:val="22"/>
          <w:szCs w:val="22"/>
        </w:rPr>
        <w:t xml:space="preserve"> (2014). *Essential Oil Safety: A Guide for Health Care Professionals* (2nd ed.). Edinburgh: Churchill Livingstone Elsevier.</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Essential oil toxicology; terpinolene safety profile</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Henkel, W., et al.</w:t>
      </w:r>
      <w:r>
        <w:rPr>
          <w:rFonts w:ascii="Arial" w:cs="Arial" w:eastAsia="Arial" w:hAnsi="Arial"/>
          <w:sz w:val="22"/>
          <w:szCs w:val="22"/>
        </w:rPr>
        <w:t xml:space="preserve"> (2005). "Antioxidant activity of monoterpenes." *Natural Product Research*, 19(5), 417-425.</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Antioxidant assay data; radical scavenging mechanisms; comparative terpene analysis</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König, C., et al.</w:t>
      </w:r>
      <w:r>
        <w:rPr>
          <w:rFonts w:ascii="Arial" w:cs="Arial" w:eastAsia="Arial" w:hAnsi="Arial"/>
          <w:sz w:val="22"/>
          <w:szCs w:val="22"/>
        </w:rPr>
        <w:t xml:space="preserve"> (2013). "Cannabinoid Receptor Signaling and its Role in Neuroprotection." *Journal of Neuroimmune Pharmacology*, 8(1), 120-130.</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Cannabinoid-terpene receptor interactions; potential synergy</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Wogatzky, M., et al.</w:t>
      </w:r>
      <w:r>
        <w:rPr>
          <w:rFonts w:ascii="Arial" w:cs="Arial" w:eastAsia="Arial" w:hAnsi="Arial"/>
          <w:sz w:val="22"/>
          <w:szCs w:val="22"/>
        </w:rPr>
        <w:t xml:space="preserve"> (2012). "Chemotypic variation in terpenes emitted from storage pools influences early aphid colonisation on tansy." *Phytochemistry*, 73(1), 49-55.</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Herbivore deterrence; terpene chemotypes; ecological function</w:t>
      </w:r>
    </w:p>
    <w:p>
      <w:pPr>
        <w:pStyle w:val="Heading2"/>
        <w:spacing w:after="120" w:before="240"/>
      </w:pPr>
      <w:r>
        <w:rPr>
          <w:rFonts w:ascii="Arial" w:cs="Arial" w:eastAsia="Arial" w:hAnsi="Arial"/>
          <w:b/>
          <w:bCs/>
          <w:color w:val="333333"/>
          <w:sz w:val="26"/>
          <w:szCs w:val="26"/>
        </w:rPr>
        <w:t xml:space="preserve">Secondary Literature &amp; Reviews (Cannabis/Terpene Guides)</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Leafly. (2026).</w:t>
      </w:r>
      <w:r>
        <w:rPr>
          <w:rFonts w:ascii="Arial" w:cs="Arial" w:eastAsia="Arial" w:hAnsi="Arial"/>
          <w:sz w:val="22"/>
          <w:szCs w:val="22"/>
        </w:rPr>
        <w:t xml:space="preserve"> "Terpinolene Strains &amp; Effects." Cannabis strain database.</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Strain profiling; Jack Herer (34–36% terpinolene); user effect reports</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Abstrax Tech. (2026).</w:t>
      </w:r>
      <w:r>
        <w:rPr>
          <w:rFonts w:ascii="Arial" w:cs="Arial" w:eastAsia="Arial" w:hAnsi="Arial"/>
          <w:sz w:val="22"/>
          <w:szCs w:val="22"/>
        </w:rPr>
        <w:t xml:space="preserve"> "Terpinolene Terpene Profile." Terpene education resource.</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Jack Herer profiling; terpinolene concentration data; flavor/aroma descriptors</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Zen Leaf Dispensaries. (2026).</w:t>
      </w:r>
      <w:r>
        <w:rPr>
          <w:rFonts w:ascii="Arial" w:cs="Arial" w:eastAsia="Arial" w:hAnsi="Arial"/>
          <w:sz w:val="22"/>
          <w:szCs w:val="22"/>
        </w:rPr>
        <w:t xml:space="preserve"> "Terpinolene Terpene Guide." Educational resource.</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Sensory profile; flavor descriptors; strain examples</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The Bloom Brands. (2026).</w:t>
      </w:r>
      <w:r>
        <w:rPr>
          <w:rFonts w:ascii="Arial" w:cs="Arial" w:eastAsia="Arial" w:hAnsi="Arial"/>
          <w:sz w:val="22"/>
          <w:szCs w:val="22"/>
        </w:rPr>
        <w:t xml:space="preserve"> "Terpinolene Terpene Guide: Flavors, Aromas, Effects, &amp; Strains."</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Comprehensive guide; flavor/aroma; strain matching</w:t>
      </w:r>
    </w:p>
    <w:p>
      <w:pPr>
        <w:pStyle w:val="Heading2"/>
        <w:spacing w:after="120" w:before="240"/>
      </w:pPr>
      <w:r>
        <w:rPr>
          <w:rFonts w:ascii="Arial" w:cs="Arial" w:eastAsia="Arial" w:hAnsi="Arial"/>
          <w:b/>
          <w:bCs/>
          <w:color w:val="333333"/>
          <w:sz w:val="26"/>
          <w:szCs w:val="26"/>
        </w:rPr>
        <w:t xml:space="preserve">Chromatographic &amp; Chemical Data Sources</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PubChem Compound Database. (2026).</w:t>
      </w:r>
      <w:r>
        <w:rPr>
          <w:rFonts w:ascii="Arial" w:cs="Arial" w:eastAsia="Arial" w:hAnsi="Arial"/>
          <w:sz w:val="22"/>
          <w:szCs w:val="22"/>
        </w:rPr>
        <w:t xml:space="preserve"> "Terpinolene (CID 11463)." National Center for Biotechnology Information.</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Chemical structure; molecular formula; InChI; physical properties</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ChemSpider. (2026).</w:t>
      </w:r>
      <w:r>
        <w:rPr>
          <w:rFonts w:ascii="Arial" w:cs="Arial" w:eastAsia="Arial" w:hAnsi="Arial"/>
          <w:sz w:val="22"/>
          <w:szCs w:val="22"/>
        </w:rPr>
        <w:t xml:space="preserve"> "Terpinolene (CAS 586-62-9)." Royal Society of Chemistry.</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Structure validation; spectroscopic data</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NIST Chemistry WebBook. (2026).</w:t>
      </w:r>
      <w:r>
        <w:rPr>
          <w:rFonts w:ascii="Arial" w:cs="Arial" w:eastAsia="Arial" w:hAnsi="Arial"/>
          <w:sz w:val="22"/>
          <w:szCs w:val="22"/>
        </w:rPr>
        <w:t xml:space="preserve"> "Terpinolene: Molecular Weight 136.23."</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Boiling point (184–185°C); density (0.86 g/mL); infrared spectrum</w:t>
      </w:r>
    </w:p>
    <w:p>
      <w:pPr>
        <w:pStyle w:val="Heading2"/>
        <w:spacing w:after="120" w:before="240"/>
      </w:pPr>
      <w:r>
        <w:rPr>
          <w:rFonts w:ascii="Arial" w:cs="Arial" w:eastAsia="Arial" w:hAnsi="Arial"/>
          <w:b/>
          <w:bCs/>
          <w:color w:val="333333"/>
          <w:sz w:val="26"/>
          <w:szCs w:val="26"/>
        </w:rPr>
        <w:t xml:space="preserve">Botanical Sourcing &amp; Essential Oil Composition</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Foreverest Resources Ltd. (2026).</w:t>
      </w:r>
      <w:r>
        <w:rPr>
          <w:rFonts w:ascii="Arial" w:cs="Arial" w:eastAsia="Arial" w:hAnsi="Arial"/>
          <w:sz w:val="22"/>
          <w:szCs w:val="22"/>
        </w:rPr>
        <w:t xml:space="preserve"> "Terpinolene (90%) Essential Oil." Industrial supplier data.</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Concentration range; physical properties; industrial solvent applications</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True Terpenes. (2026).</w:t>
      </w:r>
      <w:r>
        <w:rPr>
          <w:rFonts w:ascii="Arial" w:cs="Arial" w:eastAsia="Arial" w:hAnsi="Arial"/>
          <w:sz w:val="22"/>
          <w:szCs w:val="22"/>
        </w:rPr>
        <w:t xml:space="preserve"> "Terpinolene Isolate (&gt;99% Purity)." Terpene supplier.</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Synthetic terpinolene; purity certification; sensory profile</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Essential Oil Company. (2026).</w:t>
      </w:r>
      <w:r>
        <w:rPr>
          <w:rFonts w:ascii="Arial" w:cs="Arial" w:eastAsia="Arial" w:hAnsi="Arial"/>
          <w:sz w:val="22"/>
          <w:szCs w:val="22"/>
        </w:rPr>
        <w:t xml:space="preserve"> "Terpinolene Terpene Highlight." Educational resource.</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Botanical sources; fragrance applications; sensory character</w:t>
      </w:r>
    </w:p>
    <w:p>
      <w:pPr>
        <w:pStyle w:val="Heading2"/>
        <w:spacing w:after="120" w:before="240"/>
      </w:pPr>
      <w:r>
        <w:rPr>
          <w:rFonts w:ascii="Arial" w:cs="Arial" w:eastAsia="Arial" w:hAnsi="Arial"/>
          <w:b/>
          <w:bCs/>
          <w:color w:val="333333"/>
          <w:sz w:val="26"/>
          <w:szCs w:val="26"/>
        </w:rPr>
        <w:t xml:space="preserve">Systematic Reviews &amp; Evidence Gaps</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Curaleaf Clinic. (2026).</w:t>
      </w:r>
      <w:r>
        <w:rPr>
          <w:rFonts w:ascii="Arial" w:cs="Arial" w:eastAsia="Arial" w:hAnsi="Arial"/>
          <w:sz w:val="22"/>
          <w:szCs w:val="22"/>
        </w:rPr>
        <w:t xml:space="preserve"> "An Assessment of Terpinolene in in silico, in vitro, and in vivo Studies." Systematic review summary.</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Identified ~57 quality studies of terpinolene from 2,449 initial sources</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Zero human clinical trials</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Gaps in pharmacokinetics, long-term safety, cannabis entourage context</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Therapeutic Applications of Terpenes on Inflammatory Diseases. (2023).</w:t>
      </w:r>
      <w:r>
        <w:rPr>
          <w:rFonts w:ascii="Arial" w:cs="Arial" w:eastAsia="Arial" w:hAnsi="Arial"/>
          <w:sz w:val="22"/>
          <w:szCs w:val="22"/>
        </w:rPr>
        <w:t xml:space="preserve"> *Pharmaceuticals*, PMC8414653.</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Review of terpene anti-inflammatory mechanisms; terpinolene included</w:t>
      </w:r>
    </w:p>
    <w:p>
      <w:pPr>
        <w:pStyle w:val="Heading2"/>
        <w:spacing w:after="120" w:before="240"/>
      </w:pPr>
      <w:r>
        <w:rPr>
          <w:rFonts w:ascii="Arial" w:cs="Arial" w:eastAsia="Arial" w:hAnsi="Arial"/>
          <w:b/>
          <w:bCs/>
          <w:color w:val="333333"/>
          <w:sz w:val="26"/>
          <w:szCs w:val="26"/>
        </w:rPr>
        <w:t xml:space="preserve">Traditional Medicine &amp; Ethnobotany</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Bundjalung Country &amp; Tea Tree Medicine.</w:t>
      </w:r>
      <w:r>
        <w:rPr>
          <w:rFonts w:ascii="Arial" w:cs="Arial" w:eastAsia="Arial" w:hAnsi="Arial"/>
          <w:sz w:val="22"/>
          <w:szCs w:val="22"/>
        </w:rPr>
        <w:t xml:space="preserve"> Medium.com, "Ti Tree oil, an ancient Bundjulung medicine" by Matt Poll.</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40,000-year history; Bundjalung use; traditional preparations; cultural significance</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Melaleuca alternifolia in Aboriginal Medicine.</w:t>
      </w:r>
      <w:r>
        <w:rPr>
          <w:rFonts w:ascii="Arial" w:cs="Arial" w:eastAsia="Arial" w:hAnsi="Arial"/>
          <w:sz w:val="22"/>
          <w:szCs w:val="22"/>
        </w:rPr>
        <w:t xml:space="preserve"> WWF Australia &amp; Australian Bodycare.</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Sacred tea tree lakes; women's ceremony; wound treatment; inhalation for respiratory health</w:t>
      </w:r>
    </w:p>
    <w:p>
      <w:pPr>
        <w:pStyle w:val="Heading2"/>
        <w:spacing w:after="120" w:before="240"/>
      </w:pPr>
      <w:r>
        <w:rPr>
          <w:rFonts w:ascii="Arial" w:cs="Arial" w:eastAsia="Arial" w:hAnsi="Arial"/>
          <w:b/>
          <w:bCs/>
          <w:color w:val="333333"/>
          <w:sz w:val="26"/>
          <w:szCs w:val="26"/>
        </w:rPr>
        <w:t xml:space="preserve">Preclinical Pharmacology (Inflammation, Antioxidant)</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Association of terpinolene and diclofenac presents antinociceptive and anti-inflammatory synergistic effects in a model of chronic inflammation.</w:t>
      </w:r>
      <w:r>
        <w:rPr>
          <w:rFonts w:ascii="Arial" w:cs="Arial" w:eastAsia="Arial" w:hAnsi="Arial"/>
          <w:sz w:val="22"/>
          <w:szCs w:val="22"/>
        </w:rPr>
        <w:t xml:space="preserve"> *Brazilian Journal of Medical and Biological Research* (2016), PMC4918787.</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Synergistic anti-inflammatory effects; mechanism: NF-κB pathway</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Terpinolene inhibits acute responses triggered by different inflammatory agents in vivo models of mouse.</w:t>
      </w:r>
      <w:r>
        <w:rPr>
          <w:rFonts w:ascii="Arial" w:cs="Arial" w:eastAsia="Arial" w:hAnsi="Arial"/>
          <w:sz w:val="22"/>
          <w:szCs w:val="22"/>
        </w:rPr>
        <w:t xml:space="preserve"> *ScienceDirect* (2023), S2212429223002729.</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In vivo efficacy data; cytokine reduction (TNF-α, IL-6)</w:t>
      </w:r>
    </w:p>
    <w:p>
      <w:pPr>
        <w:pStyle w:val="Heading2"/>
        <w:spacing w:after="120" w:before="240"/>
      </w:pPr>
      <w:r>
        <w:rPr>
          <w:rFonts w:ascii="Arial" w:cs="Arial" w:eastAsia="Arial" w:hAnsi="Arial"/>
          <w:b/>
          <w:bCs/>
          <w:color w:val="333333"/>
          <w:sz w:val="26"/>
          <w:szCs w:val="26"/>
        </w:rPr>
        <w:t xml:space="preserve">Forest Ecology &amp; Insect Interactions</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Responses of the Mediterranean Pine Shoot Beetle Tomicus destruens to Pine Shoot and Bark Volatiles.</w:t>
      </w:r>
      <w:r>
        <w:rPr>
          <w:rFonts w:ascii="Arial" w:cs="Arial" w:eastAsia="Arial" w:hAnsi="Arial"/>
          <w:sz w:val="22"/>
          <w:szCs w:val="22"/>
        </w:rPr>
        <w:t xml:space="preserve"> *Journal of Chemical Ecology* (2008).</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Terpinolene role in bark beetle host recognition; age-dependent activity</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Molecular ecology of plant volatiles in interactions with insect herbivores.</w:t>
      </w:r>
      <w:r>
        <w:rPr>
          <w:rFonts w:ascii="Arial" w:cs="Arial" w:eastAsia="Arial" w:hAnsi="Arial"/>
          <w:sz w:val="22"/>
          <w:szCs w:val="22"/>
        </w:rPr>
        <w:t xml:space="preserve"> *Journal of Experimental Botany* (2021), 73(2), 449-467.</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VOC-mediated herbivore deterrence; chemotype variations; multi-trophic signaling</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Forest Volatile Organic Compounds and Their Effects on Human Health: A State-of-the-Art Review.</w:t>
      </w:r>
      <w:r>
        <w:rPr>
          <w:rFonts w:ascii="Arial" w:cs="Arial" w:eastAsia="Arial" w:hAnsi="Arial"/>
          <w:sz w:val="22"/>
          <w:szCs w:val="22"/>
        </w:rPr>
        <w:t xml:space="preserve"> *International Journal of Environmental Research and Public Health* (2020), 17(18), 6506.</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Forest VOC functions; terpinolene as minor VOC; ecological roles</w:t>
      </w:r>
    </w:p>
    <w:p>
      <w:pPr>
        <w:pStyle w:val="Heading2"/>
        <w:spacing w:after="120" w:before="240"/>
      </w:pPr>
      <w:r>
        <w:rPr>
          <w:rFonts w:ascii="Arial" w:cs="Arial" w:eastAsia="Arial" w:hAnsi="Arial"/>
          <w:b/>
          <w:bCs/>
          <w:color w:val="333333"/>
          <w:sz w:val="26"/>
          <w:szCs w:val="26"/>
        </w:rPr>
        <w:t xml:space="preserve">Industrial Applications &amp; Synthesis</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Patent: EP3294720B1 - A Process for the Preparation of Terpinolene Epoxide.</w:t>
      </w:r>
      <w:r>
        <w:rPr>
          <w:rFonts w:ascii="Arial" w:cs="Arial" w:eastAsia="Arial" w:hAnsi="Arial"/>
          <w:sz w:val="22"/>
          <w:szCs w:val="22"/>
        </w:rPr>
        <w:t xml:space="preserve"> (2018). European Patent Office.</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Terpinolene epoxide as intermediate for terpinen-4-ol synthesis</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Terpinolene as a Green Solvent and Chemical Intermediate.</w:t>
      </w:r>
      <w:r>
        <w:rPr>
          <w:rFonts w:ascii="Arial" w:cs="Arial" w:eastAsia="Arial" w:hAnsi="Arial"/>
          <w:sz w:val="22"/>
          <w:szCs w:val="22"/>
        </w:rPr>
        <w:t xml:space="preserve"> Various chemical suppliers (Foreverest, Grupo AlEn, Echemi).</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Industrial solvent applications; resin dissolution; paint/coating use; biofuel relevance</w:t>
      </w:r>
    </w:p>
    <w:p>
      <w:pPr>
        <w:pStyle w:val="Heading2"/>
        <w:spacing w:after="120" w:before="240"/>
      </w:pPr>
      <w:r>
        <w:rPr>
          <w:rFonts w:ascii="Arial" w:cs="Arial" w:eastAsia="Arial" w:hAnsi="Arial"/>
          <w:b/>
          <w:bCs/>
          <w:color w:val="333333"/>
          <w:sz w:val="26"/>
          <w:szCs w:val="26"/>
        </w:rPr>
        <w:t xml:space="preserve">Pre-Loading &amp; Cannabis Receptor Interactions</w:t>
      </w:r>
    </w:p>
    <w:p>
      <w:pPr>
        <w:spacing w:after="80" w:line="276"/>
        <w:ind w:left="360" w:hanging="180"/>
      </w:pPr>
      <w:r>
        <w:rPr>
          <w:rFonts w:ascii="Arial" w:cs="Arial" w:eastAsia="Arial" w:hAnsi="Arial"/>
          <w:color w:val="00695C"/>
          <w:sz w:val="22"/>
          <w:szCs w:val="22"/>
        </w:rPr>
        <w:t xml:space="preserve">•  </w:t>
      </w:r>
      <w:r>
        <w:rPr>
          <w:rFonts w:ascii="Arial" w:cs="Arial" w:eastAsia="Arial" w:hAnsi="Arial"/>
          <w:b/>
          <w:bCs/>
          <w:sz w:val="22"/>
          <w:szCs w:val="22"/>
        </w:rPr>
        <w:t xml:space="preserve">NORML Study Summary: Terpenes in Cannabis Modulate the Interaction Between THC and Its Endogenous Receptor.</w:t>
      </w:r>
      <w:r>
        <w:rPr>
          <w:rFonts w:ascii="Arial" w:cs="Arial" w:eastAsia="Arial" w:hAnsi="Arial"/>
          <w:sz w:val="22"/>
          <w:szCs w:val="22"/>
        </w:rPr>
        <w:t xml:space="preserve"> (2023).</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Cannabinoid-terpene receptor modulation; entourage effect evidence</w:t>
      </w:r>
    </w:p>
    <w:p>
      <w:pPr>
        <w:spacing w:before="200"/>
      </w:pPr>
      <w:r>
        <w:drawing>
          <wp:inline distT="0" distB="0" distL="0" distR="0">
            <wp:extent cx="6191250" cy="47625"/>
            <wp:effectExtent t="0" r="0" b="0" l="0"/>
            <wp:docPr id="1" name="divider" descr="Section divider" title="div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47625"/>
                    </a:xfrm>
                    <a:prstGeom prst="rect">
                      <a:avLst/>
                    </a:prstGeom>
                  </pic:spPr>
                </pic:pic>
              </a:graphicData>
            </a:graphic>
          </wp:inline>
        </w:drawing>
      </w:r>
    </w:p>
    <w:p>
      <w:pPr>
        <w:pStyle w:val="Heading1"/>
        <w:spacing w:after="200" w:before="360"/>
      </w:pPr>
      <w:r>
        <w:rPr>
          <w:rFonts w:ascii="Arial" w:cs="Arial" w:eastAsia="Arial" w:hAnsi="Arial"/>
          <w:b/>
          <w:bCs/>
          <w:color w:val="00695C"/>
          <w:sz w:val="30"/>
          <w:szCs w:val="30"/>
        </w:rPr>
        <w:t xml:space="preserve">Appendix: Pre-Loading Quick Reference</w:t>
      </w:r>
    </w:p>
    <w:p>
      <w:pPr>
        <w:pStyle w:val="Heading2"/>
        <w:spacing w:after="120" w:before="240"/>
      </w:pPr>
      <w:r>
        <w:rPr>
          <w:rFonts w:ascii="Arial" w:cs="Arial" w:eastAsia="Arial" w:hAnsi="Arial"/>
          <w:b/>
          <w:bCs/>
          <w:color w:val="333333"/>
          <w:sz w:val="26"/>
          <w:szCs w:val="26"/>
        </w:rPr>
        <w:t xml:space="preserve">Terpinolene Pre-Loading Protocol Summary</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8"/>
      </w:tblGrid>
      <w:tr>
        <w:tc>
          <w:tcPr>
            <w:tcW w:type="dxa" w:w="1337"/>
            <w:tcBorders>
              <w:top w:val="single" w:color="CCCCCC" w:sz="1"/>
              <w:left w:val="single" w:color="CCCCCC" w:sz="1"/>
              <w:bottom w:val="single" w:color="CCCCCC" w:sz="1"/>
              <w:right w:val="single" w:color="CCCCCC" w:sz="1"/>
            </w:tcBorders>
            <w:shd w:fill="00695C" w:val="clear"/>
            <w:tcMar>
              <w:top w:type="dxa" w:w="60"/>
              <w:left w:type="dxa" w:w="100"/>
              <w:bottom w:type="dxa" w:w="60"/>
              <w:right w:type="dxa" w:w="100"/>
            </w:tcMar>
          </w:tcPr>
          <w:p>
            <w:r>
              <w:rPr>
                <w:rFonts w:ascii="Arial" w:cs="Arial" w:eastAsia="Arial" w:hAnsi="Arial"/>
                <w:b/>
                <w:bCs/>
                <w:color w:val="FFFFFF"/>
                <w:sz w:val="20"/>
                <w:szCs w:val="20"/>
              </w:rPr>
              <w:t xml:space="preserve">Protocol</w:t>
            </w:r>
          </w:p>
        </w:tc>
        <w:tc>
          <w:tcPr>
            <w:tcW w:type="dxa" w:w="1337"/>
            <w:tcBorders>
              <w:top w:val="single" w:color="CCCCCC" w:sz="1"/>
              <w:left w:val="single" w:color="CCCCCC" w:sz="1"/>
              <w:bottom w:val="single" w:color="CCCCCC" w:sz="1"/>
              <w:right w:val="single" w:color="CCCCCC" w:sz="1"/>
            </w:tcBorders>
            <w:shd w:fill="00695C" w:val="clear"/>
            <w:tcMar>
              <w:top w:type="dxa" w:w="60"/>
              <w:left w:type="dxa" w:w="100"/>
              <w:bottom w:type="dxa" w:w="60"/>
              <w:right w:type="dxa" w:w="100"/>
            </w:tcMar>
          </w:tcPr>
          <w:p>
            <w:r>
              <w:rPr>
                <w:rFonts w:ascii="Arial" w:cs="Arial" w:eastAsia="Arial" w:hAnsi="Arial"/>
                <w:b/>
                <w:bCs/>
                <w:color w:val="FFFFFF"/>
                <w:sz w:val="20"/>
                <w:szCs w:val="20"/>
              </w:rPr>
              <w:t xml:space="preserve">Botanical</w:t>
            </w:r>
          </w:p>
        </w:tc>
        <w:tc>
          <w:tcPr>
            <w:tcW w:type="dxa" w:w="1337"/>
            <w:tcBorders>
              <w:top w:val="single" w:color="CCCCCC" w:sz="1"/>
              <w:left w:val="single" w:color="CCCCCC" w:sz="1"/>
              <w:bottom w:val="single" w:color="CCCCCC" w:sz="1"/>
              <w:right w:val="single" w:color="CCCCCC" w:sz="1"/>
            </w:tcBorders>
            <w:shd w:fill="00695C" w:val="clear"/>
            <w:tcMar>
              <w:top w:type="dxa" w:w="60"/>
              <w:left w:type="dxa" w:w="100"/>
              <w:bottom w:type="dxa" w:w="60"/>
              <w:right w:type="dxa" w:w="100"/>
            </w:tcMar>
          </w:tcPr>
          <w:p>
            <w:r>
              <w:rPr>
                <w:rFonts w:ascii="Arial" w:cs="Arial" w:eastAsia="Arial" w:hAnsi="Arial"/>
                <w:b/>
                <w:bCs/>
                <w:color w:val="FFFFFF"/>
                <w:sz w:val="20"/>
                <w:szCs w:val="20"/>
              </w:rPr>
              <w:t xml:space="preserve">Terpinolene %</w:t>
            </w:r>
          </w:p>
        </w:tc>
        <w:tc>
          <w:tcPr>
            <w:tcW w:type="dxa" w:w="1337"/>
            <w:tcBorders>
              <w:top w:val="single" w:color="CCCCCC" w:sz="1"/>
              <w:left w:val="single" w:color="CCCCCC" w:sz="1"/>
              <w:bottom w:val="single" w:color="CCCCCC" w:sz="1"/>
              <w:right w:val="single" w:color="CCCCCC" w:sz="1"/>
            </w:tcBorders>
            <w:shd w:fill="00695C" w:val="clear"/>
            <w:tcMar>
              <w:top w:type="dxa" w:w="60"/>
              <w:left w:type="dxa" w:w="100"/>
              <w:bottom w:type="dxa" w:w="60"/>
              <w:right w:type="dxa" w:w="100"/>
            </w:tcMar>
          </w:tcPr>
          <w:p>
            <w:r>
              <w:rPr>
                <w:rFonts w:ascii="Arial" w:cs="Arial" w:eastAsia="Arial" w:hAnsi="Arial"/>
                <w:b/>
                <w:bCs/>
                <w:color w:val="FFFFFF"/>
                <w:sz w:val="20"/>
                <w:szCs w:val="20"/>
              </w:rPr>
              <w:t xml:space="preserve">Dose</w:t>
            </w:r>
          </w:p>
        </w:tc>
        <w:tc>
          <w:tcPr>
            <w:tcW w:type="dxa" w:w="1337"/>
            <w:tcBorders>
              <w:top w:val="single" w:color="CCCCCC" w:sz="1"/>
              <w:left w:val="single" w:color="CCCCCC" w:sz="1"/>
              <w:bottom w:val="single" w:color="CCCCCC" w:sz="1"/>
              <w:right w:val="single" w:color="CCCCCC" w:sz="1"/>
            </w:tcBorders>
            <w:shd w:fill="00695C" w:val="clear"/>
            <w:tcMar>
              <w:top w:type="dxa" w:w="60"/>
              <w:left w:type="dxa" w:w="100"/>
              <w:bottom w:type="dxa" w:w="60"/>
              <w:right w:type="dxa" w:w="100"/>
            </w:tcMar>
          </w:tcPr>
          <w:p>
            <w:r>
              <w:rPr>
                <w:rFonts w:ascii="Arial" w:cs="Arial" w:eastAsia="Arial" w:hAnsi="Arial"/>
                <w:b/>
                <w:bCs/>
                <w:color w:val="FFFFFF"/>
                <w:sz w:val="20"/>
                <w:szCs w:val="20"/>
              </w:rPr>
              <w:t xml:space="preserve">Timing</w:t>
            </w:r>
          </w:p>
        </w:tc>
        <w:tc>
          <w:tcPr>
            <w:tcW w:type="dxa" w:w="1337"/>
            <w:tcBorders>
              <w:top w:val="single" w:color="CCCCCC" w:sz="1"/>
              <w:left w:val="single" w:color="CCCCCC" w:sz="1"/>
              <w:bottom w:val="single" w:color="CCCCCC" w:sz="1"/>
              <w:right w:val="single" w:color="CCCCCC" w:sz="1"/>
            </w:tcBorders>
            <w:shd w:fill="00695C" w:val="clear"/>
            <w:tcMar>
              <w:top w:type="dxa" w:w="60"/>
              <w:left w:type="dxa" w:w="100"/>
              <w:bottom w:type="dxa" w:w="60"/>
              <w:right w:type="dxa" w:w="100"/>
            </w:tcMar>
          </w:tcPr>
          <w:p>
            <w:r>
              <w:rPr>
                <w:rFonts w:ascii="Arial" w:cs="Arial" w:eastAsia="Arial" w:hAnsi="Arial"/>
                <w:b/>
                <w:bCs/>
                <w:color w:val="FFFFFF"/>
                <w:sz w:val="20"/>
                <w:szCs w:val="20"/>
              </w:rPr>
              <w:t xml:space="preserve">Expected Effect</w:t>
            </w:r>
          </w:p>
        </w:tc>
        <w:tc>
          <w:tcPr>
            <w:tcW w:type="dxa" w:w="1338"/>
            <w:tcBorders>
              <w:top w:val="single" w:color="CCCCCC" w:sz="1"/>
              <w:left w:val="single" w:color="CCCCCC" w:sz="1"/>
              <w:bottom w:val="single" w:color="CCCCCC" w:sz="1"/>
              <w:right w:val="single" w:color="CCCCCC" w:sz="1"/>
            </w:tcBorders>
            <w:shd w:fill="00695C" w:val="clear"/>
            <w:tcMar>
              <w:top w:type="dxa" w:w="60"/>
              <w:left w:type="dxa" w:w="100"/>
              <w:bottom w:type="dxa" w:w="60"/>
              <w:right w:type="dxa" w:w="100"/>
            </w:tcMar>
          </w:tcPr>
          <w:p>
            <w:r>
              <w:rPr>
                <w:rFonts w:ascii="Arial" w:cs="Arial" w:eastAsia="Arial" w:hAnsi="Arial"/>
                <w:b/>
                <w:bCs/>
                <w:color w:val="FFFFFF"/>
                <w:sz w:val="20"/>
                <w:szCs w:val="20"/>
              </w:rPr>
              <w:t xml:space="preserve">Risk Level</w:t>
            </w:r>
          </w:p>
        </w:tc>
      </w:tr>
      <w:tr>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 Tea Tree (Standard)</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M. alternifolia (terpinen-4-ol type)</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0–5%</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2–5 drops oil</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15–30 min pre-cannabis</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Mild sedation, antioxidant</w:t>
            </w:r>
          </w:p>
        </w:tc>
        <w:tc>
          <w:tcPr>
            <w:tcW w:type="dxa" w:w="133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Low</w:t>
            </w:r>
          </w:p>
        </w:tc>
      </w:tr>
      <w:tr>
        <w:tc>
          <w:tcPr>
            <w:tcW w:type="dxa" w:w="1337"/>
            <w:tcBorders>
              <w:top w:val="single" w:color="CCCCCC" w:sz="1"/>
              <w:left w:val="single" w:color="CCCCCC" w:sz="1"/>
              <w:bottom w:val="single" w:color="CCCCCC" w:sz="1"/>
              <w:right w:val="single" w:color="CCCCCC" w:sz="1"/>
            </w:tcBorders>
            <w:shd w:fill="E0F2F1" w:val="clear"/>
            <w:tcMar>
              <w:top w:type="dxa" w:w="60"/>
              <w:left w:type="dxa" w:w="100"/>
              <w:bottom w:type="dxa" w:w="60"/>
              <w:right w:type="dxa" w:w="100"/>
            </w:tcMar>
          </w:tcPr>
          <w:p>
            <w:r>
              <w:rPr>
                <w:rFonts w:ascii="Arial" w:cs="Arial" w:eastAsia="Arial" w:hAnsi="Arial"/>
                <w:b w:val="false"/>
                <w:bCs w:val="false"/>
                <w:color w:val="333333"/>
                <w:sz w:val="20"/>
                <w:szCs w:val="20"/>
              </w:rPr>
              <w:t xml:space="preserve">B. Tea Tree (Terpinolene Type)</w:t>
            </w:r>
          </w:p>
        </w:tc>
        <w:tc>
          <w:tcPr>
            <w:tcW w:type="dxa" w:w="1337"/>
            <w:tcBorders>
              <w:top w:val="single" w:color="CCCCCC" w:sz="1"/>
              <w:left w:val="single" w:color="CCCCCC" w:sz="1"/>
              <w:bottom w:val="single" w:color="CCCCCC" w:sz="1"/>
              <w:right w:val="single" w:color="CCCCCC" w:sz="1"/>
            </w:tcBorders>
            <w:shd w:fill="E0F2F1" w:val="clear"/>
            <w:tcMar>
              <w:top w:type="dxa" w:w="60"/>
              <w:left w:type="dxa" w:w="100"/>
              <w:bottom w:type="dxa" w:w="60"/>
              <w:right w:type="dxa" w:w="100"/>
            </w:tcMar>
          </w:tcPr>
          <w:p>
            <w:r>
              <w:rPr>
                <w:rFonts w:ascii="Arial" w:cs="Arial" w:eastAsia="Arial" w:hAnsi="Arial"/>
                <w:b w:val="false"/>
                <w:bCs w:val="false"/>
                <w:color w:val="333333"/>
                <w:sz w:val="20"/>
                <w:szCs w:val="20"/>
              </w:rPr>
              <w:t xml:space="preserve">M. alternifolia (terpinolene type)</w:t>
            </w:r>
          </w:p>
        </w:tc>
        <w:tc>
          <w:tcPr>
            <w:tcW w:type="dxa" w:w="1337"/>
            <w:tcBorders>
              <w:top w:val="single" w:color="CCCCCC" w:sz="1"/>
              <w:left w:val="single" w:color="CCCCCC" w:sz="1"/>
              <w:bottom w:val="single" w:color="CCCCCC" w:sz="1"/>
              <w:right w:val="single" w:color="CCCCCC" w:sz="1"/>
            </w:tcBorders>
            <w:shd w:fill="E0F2F1" w:val="clear"/>
            <w:tcMar>
              <w:top w:type="dxa" w:w="60"/>
              <w:left w:type="dxa" w:w="100"/>
              <w:bottom w:type="dxa" w:w="60"/>
              <w:right w:type="dxa" w:w="100"/>
            </w:tcMar>
          </w:tcPr>
          <w:p>
            <w:r>
              <w:rPr>
                <w:rFonts w:ascii="Arial" w:cs="Arial" w:eastAsia="Arial" w:hAnsi="Arial"/>
                <w:b w:val="false"/>
                <w:bCs w:val="false"/>
                <w:color w:val="333333"/>
                <w:sz w:val="20"/>
                <w:szCs w:val="20"/>
              </w:rPr>
              <w:t xml:space="preserve">30–40%</w:t>
            </w:r>
          </w:p>
        </w:tc>
        <w:tc>
          <w:tcPr>
            <w:tcW w:type="dxa" w:w="1337"/>
            <w:tcBorders>
              <w:top w:val="single" w:color="CCCCCC" w:sz="1"/>
              <w:left w:val="single" w:color="CCCCCC" w:sz="1"/>
              <w:bottom w:val="single" w:color="CCCCCC" w:sz="1"/>
              <w:right w:val="single" w:color="CCCCCC" w:sz="1"/>
            </w:tcBorders>
            <w:shd w:fill="E0F2F1" w:val="clear"/>
            <w:tcMar>
              <w:top w:type="dxa" w:w="60"/>
              <w:left w:type="dxa" w:w="100"/>
              <w:bottom w:type="dxa" w:w="60"/>
              <w:right w:type="dxa" w:w="100"/>
            </w:tcMar>
          </w:tcPr>
          <w:p>
            <w:r>
              <w:rPr>
                <w:rFonts w:ascii="Arial" w:cs="Arial" w:eastAsia="Arial" w:hAnsi="Arial"/>
                <w:b w:val="false"/>
                <w:bCs w:val="false"/>
                <w:color w:val="333333"/>
                <w:sz w:val="20"/>
                <w:szCs w:val="20"/>
              </w:rPr>
              <w:t xml:space="preserve">1–2 drops oil</w:t>
            </w:r>
          </w:p>
        </w:tc>
        <w:tc>
          <w:tcPr>
            <w:tcW w:type="dxa" w:w="1337"/>
            <w:tcBorders>
              <w:top w:val="single" w:color="CCCCCC" w:sz="1"/>
              <w:left w:val="single" w:color="CCCCCC" w:sz="1"/>
              <w:bottom w:val="single" w:color="CCCCCC" w:sz="1"/>
              <w:right w:val="single" w:color="CCCCCC" w:sz="1"/>
            </w:tcBorders>
            <w:shd w:fill="E0F2F1" w:val="clear"/>
            <w:tcMar>
              <w:top w:type="dxa" w:w="60"/>
              <w:left w:type="dxa" w:w="100"/>
              <w:bottom w:type="dxa" w:w="60"/>
              <w:right w:type="dxa" w:w="100"/>
            </w:tcMar>
          </w:tcPr>
          <w:p>
            <w:r>
              <w:rPr>
                <w:rFonts w:ascii="Arial" w:cs="Arial" w:eastAsia="Arial" w:hAnsi="Arial"/>
                <w:b w:val="false"/>
                <w:bCs w:val="false"/>
                <w:color w:val="333333"/>
                <w:sz w:val="20"/>
                <w:szCs w:val="20"/>
              </w:rPr>
              <w:t xml:space="preserve">15–30 min pre-cannabis</w:t>
            </w:r>
          </w:p>
        </w:tc>
        <w:tc>
          <w:tcPr>
            <w:tcW w:type="dxa" w:w="1337"/>
            <w:tcBorders>
              <w:top w:val="single" w:color="CCCCCC" w:sz="1"/>
              <w:left w:val="single" w:color="CCCCCC" w:sz="1"/>
              <w:bottom w:val="single" w:color="CCCCCC" w:sz="1"/>
              <w:right w:val="single" w:color="CCCCCC" w:sz="1"/>
            </w:tcBorders>
            <w:shd w:fill="E0F2F1" w:val="clear"/>
            <w:tcMar>
              <w:top w:type="dxa" w:w="60"/>
              <w:left w:type="dxa" w:w="100"/>
              <w:bottom w:type="dxa" w:w="60"/>
              <w:right w:type="dxa" w:w="100"/>
            </w:tcMar>
          </w:tcPr>
          <w:p>
            <w:r>
              <w:rPr>
                <w:rFonts w:ascii="Arial" w:cs="Arial" w:eastAsia="Arial" w:hAnsi="Arial"/>
                <w:b w:val="false"/>
                <w:bCs w:val="false"/>
                <w:color w:val="333333"/>
                <w:sz w:val="20"/>
                <w:szCs w:val="20"/>
              </w:rPr>
              <w:t xml:space="preserve">Enhanced sedation, antioxidant</w:t>
            </w:r>
          </w:p>
        </w:tc>
        <w:tc>
          <w:tcPr>
            <w:tcW w:type="dxa" w:w="1338"/>
            <w:tcBorders>
              <w:top w:val="single" w:color="CCCCCC" w:sz="1"/>
              <w:left w:val="single" w:color="CCCCCC" w:sz="1"/>
              <w:bottom w:val="single" w:color="CCCCCC" w:sz="1"/>
              <w:right w:val="single" w:color="CCCCCC" w:sz="1"/>
            </w:tcBorders>
            <w:shd w:fill="E0F2F1" w:val="clear"/>
            <w:tcMar>
              <w:top w:type="dxa" w:w="60"/>
              <w:left w:type="dxa" w:w="100"/>
              <w:bottom w:type="dxa" w:w="60"/>
              <w:right w:type="dxa" w:w="100"/>
            </w:tcMar>
          </w:tcPr>
          <w:p>
            <w:r>
              <w:rPr>
                <w:rFonts w:ascii="Arial" w:cs="Arial" w:eastAsia="Arial" w:hAnsi="Arial"/>
                <w:b w:val="false"/>
                <w:bCs w:val="false"/>
                <w:color w:val="333333"/>
                <w:sz w:val="20"/>
                <w:szCs w:val="20"/>
              </w:rPr>
              <w:t xml:space="preserve">Low–Moderate</w:t>
            </w:r>
          </w:p>
        </w:tc>
      </w:tr>
      <w:tr>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 Parsnip Oil</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 sativa seeds</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40–69%</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1–3 drops oil</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15–30 min pre-cannabis</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Antioxidant, neutral priming</w:t>
            </w:r>
          </w:p>
        </w:tc>
        <w:tc>
          <w:tcPr>
            <w:tcW w:type="dxa" w:w="133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Low (food-grade)</w:t>
            </w:r>
          </w:p>
        </w:tc>
      </w:tr>
      <w:tr>
        <w:tc>
          <w:tcPr>
            <w:tcW w:type="dxa" w:w="1337"/>
            <w:tcBorders>
              <w:top w:val="single" w:color="CCCCCC" w:sz="1"/>
              <w:left w:val="single" w:color="CCCCCC" w:sz="1"/>
              <w:bottom w:val="single" w:color="CCCCCC" w:sz="1"/>
              <w:right w:val="single" w:color="CCCCCC" w:sz="1"/>
            </w:tcBorders>
            <w:shd w:fill="E0F2F1" w:val="clear"/>
            <w:tcMar>
              <w:top w:type="dxa" w:w="60"/>
              <w:left w:type="dxa" w:w="100"/>
              <w:bottom w:type="dxa" w:w="60"/>
              <w:right w:type="dxa" w:w="100"/>
            </w:tcMar>
          </w:tcPr>
          <w:p>
            <w:r>
              <w:rPr>
                <w:rFonts w:ascii="Arial" w:cs="Arial" w:eastAsia="Arial" w:hAnsi="Arial"/>
                <w:b w:val="false"/>
                <w:bCs w:val="false"/>
                <w:color w:val="333333"/>
                <w:sz w:val="20"/>
                <w:szCs w:val="20"/>
              </w:rPr>
              <w:t xml:space="preserve">D. Gin</w:t>
            </w:r>
          </w:p>
        </w:tc>
        <w:tc>
          <w:tcPr>
            <w:tcW w:type="dxa" w:w="1337"/>
            <w:tcBorders>
              <w:top w:val="single" w:color="CCCCCC" w:sz="1"/>
              <w:left w:val="single" w:color="CCCCCC" w:sz="1"/>
              <w:bottom w:val="single" w:color="CCCCCC" w:sz="1"/>
              <w:right w:val="single" w:color="CCCCCC" w:sz="1"/>
            </w:tcBorders>
            <w:shd w:fill="E0F2F1" w:val="clear"/>
            <w:tcMar>
              <w:top w:type="dxa" w:w="60"/>
              <w:left w:type="dxa" w:w="100"/>
              <w:bottom w:type="dxa" w:w="60"/>
              <w:right w:type="dxa" w:w="100"/>
            </w:tcMar>
          </w:tcPr>
          <w:p>
            <w:r>
              <w:rPr>
                <w:rFonts w:ascii="Arial" w:cs="Arial" w:eastAsia="Arial" w:hAnsi="Arial"/>
                <w:b w:val="false"/>
                <w:bCs w:val="false"/>
                <w:color w:val="333333"/>
                <w:sz w:val="20"/>
                <w:szCs w:val="20"/>
              </w:rPr>
              <w:t xml:space="preserve">Juniper-infused spirit</w:t>
            </w:r>
          </w:p>
        </w:tc>
        <w:tc>
          <w:tcPr>
            <w:tcW w:type="dxa" w:w="1337"/>
            <w:tcBorders>
              <w:top w:val="single" w:color="CCCCCC" w:sz="1"/>
              <w:left w:val="single" w:color="CCCCCC" w:sz="1"/>
              <w:bottom w:val="single" w:color="CCCCCC" w:sz="1"/>
              <w:right w:val="single" w:color="CCCCCC" w:sz="1"/>
            </w:tcBorders>
            <w:shd w:fill="E0F2F1" w:val="clear"/>
            <w:tcMar>
              <w:top w:type="dxa" w:w="60"/>
              <w:left w:type="dxa" w:w="100"/>
              <w:bottom w:type="dxa" w:w="60"/>
              <w:right w:type="dxa" w:w="100"/>
            </w:tcMar>
          </w:tcPr>
          <w:p>
            <w:r>
              <w:rPr>
                <w:rFonts w:ascii="Arial" w:cs="Arial" w:eastAsia="Arial" w:hAnsi="Arial"/>
                <w:b w:val="false"/>
                <w:bCs w:val="false"/>
                <w:color w:val="333333"/>
                <w:sz w:val="20"/>
                <w:szCs w:val="20"/>
              </w:rPr>
              <w:t xml:space="preserve">0.001–0.01%</w:t>
            </w:r>
          </w:p>
        </w:tc>
        <w:tc>
          <w:tcPr>
            <w:tcW w:type="dxa" w:w="1337"/>
            <w:tcBorders>
              <w:top w:val="single" w:color="CCCCCC" w:sz="1"/>
              <w:left w:val="single" w:color="CCCCCC" w:sz="1"/>
              <w:bottom w:val="single" w:color="CCCCCC" w:sz="1"/>
              <w:right w:val="single" w:color="CCCCCC" w:sz="1"/>
            </w:tcBorders>
            <w:shd w:fill="E0F2F1" w:val="clear"/>
            <w:tcMar>
              <w:top w:type="dxa" w:w="60"/>
              <w:left w:type="dxa" w:w="100"/>
              <w:bottom w:type="dxa" w:w="60"/>
              <w:right w:type="dxa" w:w="100"/>
            </w:tcMar>
          </w:tcPr>
          <w:p>
            <w:r>
              <w:rPr>
                <w:rFonts w:ascii="Arial" w:cs="Arial" w:eastAsia="Arial" w:hAnsi="Arial"/>
                <w:b w:val="false"/>
                <w:bCs w:val="false"/>
                <w:color w:val="333333"/>
                <w:sz w:val="20"/>
                <w:szCs w:val="20"/>
              </w:rPr>
              <w:t xml:space="preserve">1 oz neat/mixed</w:t>
            </w:r>
          </w:p>
        </w:tc>
        <w:tc>
          <w:tcPr>
            <w:tcW w:type="dxa" w:w="1337"/>
            <w:tcBorders>
              <w:top w:val="single" w:color="CCCCCC" w:sz="1"/>
              <w:left w:val="single" w:color="CCCCCC" w:sz="1"/>
              <w:bottom w:val="single" w:color="CCCCCC" w:sz="1"/>
              <w:right w:val="single" w:color="CCCCCC" w:sz="1"/>
            </w:tcBorders>
            <w:shd w:fill="E0F2F1" w:val="clear"/>
            <w:tcMar>
              <w:top w:type="dxa" w:w="60"/>
              <w:left w:type="dxa" w:w="100"/>
              <w:bottom w:type="dxa" w:w="60"/>
              <w:right w:type="dxa" w:w="100"/>
            </w:tcMar>
          </w:tcPr>
          <w:p>
            <w:r>
              <w:rPr>
                <w:rFonts w:ascii="Arial" w:cs="Arial" w:eastAsia="Arial" w:hAnsi="Arial"/>
                <w:b w:val="false"/>
                <w:bCs w:val="false"/>
                <w:color w:val="333333"/>
                <w:sz w:val="20"/>
                <w:szCs w:val="20"/>
              </w:rPr>
              <w:t xml:space="preserve">15–30 min pre-cannabis</w:t>
            </w:r>
          </w:p>
        </w:tc>
        <w:tc>
          <w:tcPr>
            <w:tcW w:type="dxa" w:w="1337"/>
            <w:tcBorders>
              <w:top w:val="single" w:color="CCCCCC" w:sz="1"/>
              <w:left w:val="single" w:color="CCCCCC" w:sz="1"/>
              <w:bottom w:val="single" w:color="CCCCCC" w:sz="1"/>
              <w:right w:val="single" w:color="CCCCCC" w:sz="1"/>
            </w:tcBorders>
            <w:shd w:fill="E0F2F1" w:val="clear"/>
            <w:tcMar>
              <w:top w:type="dxa" w:w="60"/>
              <w:left w:type="dxa" w:w="100"/>
              <w:bottom w:type="dxa" w:w="60"/>
              <w:right w:type="dxa" w:w="100"/>
            </w:tcMar>
          </w:tcPr>
          <w:p>
            <w:r>
              <w:rPr>
                <w:rFonts w:ascii="Arial" w:cs="Arial" w:eastAsia="Arial" w:hAnsi="Arial"/>
                <w:b w:val="false"/>
                <w:bCs w:val="false"/>
                <w:color w:val="333333"/>
                <w:sz w:val="20"/>
                <w:szCs w:val="20"/>
              </w:rPr>
              <w:t xml:space="preserve">Alcohol confounding, minimal terpinolene effect</w:t>
            </w:r>
          </w:p>
        </w:tc>
        <w:tc>
          <w:tcPr>
            <w:tcW w:type="dxa" w:w="1338"/>
            <w:tcBorders>
              <w:top w:val="single" w:color="CCCCCC" w:sz="1"/>
              <w:left w:val="single" w:color="CCCCCC" w:sz="1"/>
              <w:bottom w:val="single" w:color="CCCCCC" w:sz="1"/>
              <w:right w:val="single" w:color="CCCCCC" w:sz="1"/>
            </w:tcBorders>
            <w:shd w:fill="E0F2F1" w:val="clear"/>
            <w:tcMar>
              <w:top w:type="dxa" w:w="60"/>
              <w:left w:type="dxa" w:w="100"/>
              <w:bottom w:type="dxa" w:w="60"/>
              <w:right w:type="dxa" w:w="100"/>
            </w:tcMar>
          </w:tcPr>
          <w:p>
            <w:r>
              <w:rPr>
                <w:rFonts w:ascii="Arial" w:cs="Arial" w:eastAsia="Arial" w:hAnsi="Arial"/>
                <w:b w:val="false"/>
                <w:bCs w:val="false"/>
                <w:color w:val="333333"/>
                <w:sz w:val="20"/>
                <w:szCs w:val="20"/>
              </w:rPr>
              <w:t xml:space="preserve">Moderate (alcohol)</w:t>
            </w:r>
          </w:p>
        </w:tc>
      </w:tr>
      <w:tr>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E. Parsnip Seeds (Whole)</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 sativa (spice)</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Variable</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1 tsp crushed</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15–30 min pre-cannabis</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Very mild, culinary context</w:t>
            </w:r>
          </w:p>
        </w:tc>
        <w:tc>
          <w:tcPr>
            <w:tcW w:type="dxa" w:w="133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Very Low</w:t>
            </w:r>
          </w:p>
        </w:tc>
      </w:tr>
    </w:tbl>
    <w:p>
      <w:pPr>
        <w:spacing w:after="120"/>
      </w:pPr>
    </w:p>
    <w:p>
      <w:pPr>
        <w:pStyle w:val="Heading2"/>
        <w:spacing w:after="120" w:before="240"/>
      </w:pPr>
      <w:r>
        <w:rPr>
          <w:rFonts w:ascii="Arial" w:cs="Arial" w:eastAsia="Arial" w:hAnsi="Arial"/>
          <w:b/>
          <w:bCs/>
          <w:color w:val="333333"/>
          <w:sz w:val="26"/>
          <w:szCs w:val="26"/>
        </w:rPr>
        <w:t xml:space="preserve">Checklist Before Pre-Loading</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 ] </w:t>
      </w:r>
      <w:r>
        <w:rPr>
          <w:rFonts w:ascii="Arial" w:cs="Arial" w:eastAsia="Arial" w:hAnsi="Arial"/>
          <w:b/>
          <w:bCs/>
          <w:sz w:val="22"/>
          <w:szCs w:val="22"/>
        </w:rPr>
        <w:t xml:space="preserve">Botanical Source Verified:</w:t>
      </w:r>
      <w:r>
        <w:rPr>
          <w:rFonts w:ascii="Arial" w:cs="Arial" w:eastAsia="Arial" w:hAnsi="Arial"/>
          <w:sz w:val="22"/>
          <w:szCs w:val="22"/>
        </w:rPr>
        <w:t xml:space="preserve"> Essential oil is chromatographically tested or supplier-certified for terpinolene concentration</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 ] </w:t>
      </w:r>
      <w:r>
        <w:rPr>
          <w:rFonts w:ascii="Arial" w:cs="Arial" w:eastAsia="Arial" w:hAnsi="Arial"/>
          <w:b/>
          <w:bCs/>
          <w:sz w:val="22"/>
          <w:szCs w:val="22"/>
        </w:rPr>
        <w:t xml:space="preserve">Inhalation Device Clean:</w:t>
      </w:r>
      <w:r>
        <w:rPr>
          <w:rFonts w:ascii="Arial" w:cs="Arial" w:eastAsia="Arial" w:hAnsi="Arial"/>
          <w:sz w:val="22"/>
          <w:szCs w:val="22"/>
        </w:rPr>
        <w:t xml:space="preserve"> Diffuser, pod, or vessel is clean and functional</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 ] </w:t>
      </w:r>
      <w:r>
        <w:rPr>
          <w:rFonts w:ascii="Arial" w:cs="Arial" w:eastAsia="Arial" w:hAnsi="Arial"/>
          <w:b/>
          <w:bCs/>
          <w:sz w:val="22"/>
          <w:szCs w:val="22"/>
        </w:rPr>
        <w:t xml:space="preserve">Allergy/Sensitivity Test:</w:t>
      </w:r>
      <w:r>
        <w:rPr>
          <w:rFonts w:ascii="Arial" w:cs="Arial" w:eastAsia="Arial" w:hAnsi="Arial"/>
          <w:sz w:val="22"/>
          <w:szCs w:val="22"/>
        </w:rPr>
        <w:t xml:space="preserve"> Patch-tested or single-drop inhalation trial without cannabis present (to isolate terpinolene effects)</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 ] </w:t>
      </w:r>
      <w:r>
        <w:rPr>
          <w:rFonts w:ascii="Arial" w:cs="Arial" w:eastAsia="Arial" w:hAnsi="Arial"/>
          <w:b/>
          <w:bCs/>
          <w:sz w:val="22"/>
          <w:szCs w:val="22"/>
        </w:rPr>
        <w:t xml:space="preserve">Cannabis Strain Selected:</w:t>
      </w:r>
      <w:r>
        <w:rPr>
          <w:rFonts w:ascii="Arial" w:cs="Arial" w:eastAsia="Arial" w:hAnsi="Arial"/>
          <w:sz w:val="22"/>
          <w:szCs w:val="22"/>
        </w:rPr>
        <w:t xml:space="preserve"> Choose based on desired effect (sedation vs. neutral vs. stimulating)</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 ] </w:t>
      </w:r>
      <w:r>
        <w:rPr>
          <w:rFonts w:ascii="Arial" w:cs="Arial" w:eastAsia="Arial" w:hAnsi="Arial"/>
          <w:b/>
          <w:bCs/>
          <w:sz w:val="22"/>
          <w:szCs w:val="22"/>
        </w:rPr>
        <w:t xml:space="preserve">Safe Environment:</w:t>
      </w:r>
      <w:r>
        <w:rPr>
          <w:rFonts w:ascii="Arial" w:cs="Arial" w:eastAsia="Arial" w:hAnsi="Arial"/>
          <w:sz w:val="22"/>
          <w:szCs w:val="22"/>
        </w:rPr>
        <w:t xml:space="preserve"> No driving/operating machinery; safe setting for cannabis use</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 ] </w:t>
      </w:r>
      <w:r>
        <w:rPr>
          <w:rFonts w:ascii="Arial" w:cs="Arial" w:eastAsia="Arial" w:hAnsi="Arial"/>
          <w:b/>
          <w:bCs/>
          <w:sz w:val="22"/>
          <w:szCs w:val="22"/>
        </w:rPr>
        <w:t xml:space="preserve">Timing Set:</w:t>
      </w:r>
      <w:r>
        <w:rPr>
          <w:rFonts w:ascii="Arial" w:cs="Arial" w:eastAsia="Arial" w:hAnsi="Arial"/>
          <w:sz w:val="22"/>
          <w:szCs w:val="22"/>
        </w:rPr>
        <w:t xml:space="preserve"> Clear timer for 15–30 minute window between inhalation and cannabis consumption</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 ] </w:t>
      </w:r>
      <w:r>
        <w:rPr>
          <w:rFonts w:ascii="Arial" w:cs="Arial" w:eastAsia="Arial" w:hAnsi="Arial"/>
          <w:b/>
          <w:bCs/>
          <w:sz w:val="22"/>
          <w:szCs w:val="22"/>
        </w:rPr>
        <w:t xml:space="preserve">No Contraindications:</w:t>
      </w:r>
      <w:r>
        <w:rPr>
          <w:rFonts w:ascii="Arial" w:cs="Arial" w:eastAsia="Arial" w:hAnsi="Arial"/>
          <w:sz w:val="22"/>
          <w:szCs w:val="22"/>
        </w:rPr>
        <w:t xml:space="preserve"> No liver disease (parsnip), respiratory disease (asthma), or CYP3A4 substrate medications</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 ] </w:t>
      </w:r>
      <w:r>
        <w:rPr>
          <w:rFonts w:ascii="Arial" w:cs="Arial" w:eastAsia="Arial" w:hAnsi="Arial"/>
          <w:b/>
          <w:bCs/>
          <w:sz w:val="22"/>
          <w:szCs w:val="22"/>
        </w:rPr>
        <w:t xml:space="preserve">Effect Log:</w:t>
      </w:r>
      <w:r>
        <w:rPr>
          <w:rFonts w:ascii="Arial" w:cs="Arial" w:eastAsia="Arial" w:hAnsi="Arial"/>
          <w:sz w:val="22"/>
          <w:szCs w:val="22"/>
        </w:rPr>
        <w:t xml:space="preserve"> Subjective effect logging (onset, duration, quality) to contribute to informal data collection</w:t>
      </w:r>
    </w:p>
    <w:p>
      <w:pPr>
        <w:spacing w:before="200"/>
      </w:pPr>
      <w:r>
        <w:drawing>
          <wp:inline distT="0" distB="0" distL="0" distR="0">
            <wp:extent cx="6191250" cy="47625"/>
            <wp:effectExtent t="0" r="0" b="0" l="0"/>
            <wp:docPr id="1" name="divider" descr="Section divider" title="div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47625"/>
                    </a:xfrm>
                    <a:prstGeom prst="rect">
                      <a:avLst/>
                    </a:prstGeom>
                  </pic:spPr>
                </pic:pic>
              </a:graphicData>
            </a:graphic>
          </wp:inline>
        </w:drawing>
      </w:r>
    </w:p>
    <w:p>
      <w:pPr>
        <w:pStyle w:val="Heading1"/>
        <w:spacing w:after="200" w:before="360"/>
      </w:pPr>
      <w:r>
        <w:rPr>
          <w:rFonts w:ascii="Arial" w:cs="Arial" w:eastAsia="Arial" w:hAnsi="Arial"/>
          <w:b/>
          <w:bCs/>
          <w:color w:val="00695C"/>
          <w:sz w:val="30"/>
          <w:szCs w:val="30"/>
        </w:rPr>
        <w:t xml:space="preserve">Disclaimer</w:t>
      </w:r>
    </w:p>
    <w:p>
      <w:pPr>
        <w:spacing w:after="120" w:line="300"/>
      </w:pPr>
      <w:r>
        <w:rPr>
          <w:rFonts w:ascii="Arial" w:cs="Arial" w:eastAsia="Arial" w:hAnsi="Arial"/>
          <w:sz w:val="22"/>
          <w:szCs w:val="22"/>
        </w:rPr>
        <w:t xml:space="preserve">This monograph is a comprehensive scientific and educational resource synthesizing published research on terpinolene. It is </w:t>
      </w:r>
      <w:r>
        <w:rPr>
          <w:rFonts w:ascii="Arial" w:cs="Arial" w:eastAsia="Arial" w:hAnsi="Arial"/>
          <w:b/>
          <w:bCs/>
          <w:sz w:val="22"/>
          <w:szCs w:val="22"/>
        </w:rPr>
        <w:t xml:space="preserve">not medical advice</w:t>
      </w:r>
      <w:r>
        <w:rPr>
          <w:rFonts w:ascii="Arial" w:cs="Arial" w:eastAsia="Arial" w:hAnsi="Arial"/>
          <w:sz w:val="22"/>
          <w:szCs w:val="22"/>
        </w:rPr>
        <w:t xml:space="preserve">. Terpinolene pre-loading is an experimental, non-validated application of pharmacological data.</w:t>
      </w:r>
    </w:p>
    <w:p>
      <w:pPr>
        <w:spacing w:after="120" w:line="300"/>
      </w:pPr>
      <w:r>
        <w:rPr>
          <w:rFonts w:ascii="Arial" w:cs="Arial" w:eastAsia="Arial" w:hAnsi="Arial"/>
          <w:b/>
          <w:bCs/>
          <w:sz w:val="22"/>
          <w:szCs w:val="22"/>
        </w:rPr>
        <w:t xml:space="preserve">Individuals should:</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Consult healthcare providers before initiating pre-loading protocols, especially those with underlying health conditions or on medications</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Recognize that pre-loading protocols lack clinical trial validation</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Understand that cannabis effects are highly individual and context-dependent</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Follow local cannabis laws and regulations</w:t>
      </w:r>
    </w:p>
    <w:p>
      <w:pPr>
        <w:spacing w:after="80" w:line="276"/>
        <w:ind w:left="360" w:hanging="180"/>
      </w:pPr>
      <w:r>
        <w:rPr>
          <w:rFonts w:ascii="Arial" w:cs="Arial" w:eastAsia="Arial" w:hAnsi="Arial"/>
          <w:color w:val="00695C"/>
          <w:sz w:val="22"/>
          <w:szCs w:val="22"/>
        </w:rPr>
        <w:t xml:space="preserve">•  </w:t>
      </w:r>
      <w:r>
        <w:rPr>
          <w:rFonts w:ascii="Arial" w:cs="Arial" w:eastAsia="Arial" w:hAnsi="Arial"/>
          <w:sz w:val="22"/>
          <w:szCs w:val="22"/>
        </w:rPr>
        <w:t xml:space="preserve">Prioritize safety and informed consent</w:t>
      </w:r>
    </w:p>
    <w:p>
      <w:pPr>
        <w:spacing w:after="120" w:line="300"/>
      </w:pPr>
      <w:r>
        <w:rPr>
          <w:rFonts w:ascii="Arial" w:cs="Arial" w:eastAsia="Arial" w:hAnsi="Arial"/>
          <w:sz w:val="22"/>
          <w:szCs w:val="22"/>
        </w:rPr>
        <w:t xml:space="preserve">Neither the author nor the knowledge base endorses any specific pre-loading protocol as therapeutically established. All recommendations remain preliminary and require rigorous human clinical investigation.</w:t>
      </w:r>
    </w:p>
    <w:p>
      <w:pPr>
        <w:spacing w:after="120" w:line="300"/>
      </w:pPr>
      <w:r>
        <w:rPr>
          <w:rFonts w:ascii="Arial" w:cs="Arial" w:eastAsia="Arial" w:hAnsi="Arial"/>
          <w:b/>
          <w:bCs/>
          <w:sz w:val="22"/>
          <w:szCs w:val="22"/>
        </w:rPr>
        <w:t xml:space="preserve">Document Prepared:</w:t>
      </w:r>
      <w:r>
        <w:rPr>
          <w:rFonts w:ascii="Arial" w:cs="Arial" w:eastAsia="Arial" w:hAnsi="Arial"/>
          <w:sz w:val="22"/>
          <w:szCs w:val="22"/>
        </w:rPr>
        <w:t xml:space="preserve"> March 2026</w:t>
      </w:r>
    </w:p>
    <w:p>
      <w:pPr>
        <w:spacing w:after="120" w:line="300"/>
      </w:pPr>
      <w:r>
        <w:rPr>
          <w:rFonts w:ascii="Arial" w:cs="Arial" w:eastAsia="Arial" w:hAnsi="Arial"/>
          <w:b/>
          <w:bCs/>
          <w:sz w:val="22"/>
          <w:szCs w:val="22"/>
        </w:rPr>
        <w:t xml:space="preserve">Version:</w:t>
      </w:r>
      <w:r>
        <w:rPr>
          <w:rFonts w:ascii="Arial" w:cs="Arial" w:eastAsia="Arial" w:hAnsi="Arial"/>
          <w:sz w:val="22"/>
          <w:szCs w:val="22"/>
        </w:rPr>
        <w:t xml:space="preserve"> 1.0</w:t>
      </w:r>
    </w:p>
    <w:p>
      <w:pPr>
        <w:spacing w:after="120" w:line="300"/>
      </w:pPr>
      <w:r>
        <w:rPr>
          <w:rFonts w:ascii="Arial" w:cs="Arial" w:eastAsia="Arial" w:hAnsi="Arial"/>
          <w:b/>
          <w:bCs/>
          <w:sz w:val="22"/>
          <w:szCs w:val="22"/>
        </w:rPr>
        <w:t xml:space="preserve">Status:</w:t>
      </w:r>
      <w:r>
        <w:rPr>
          <w:rFonts w:ascii="Arial" w:cs="Arial" w:eastAsia="Arial" w:hAnsi="Arial"/>
          <w:sz w:val="22"/>
          <w:szCs w:val="22"/>
        </w:rPr>
        <w:t xml:space="preserve"> Complete Research Synthesis</w:t>
      </w:r>
    </w:p>
    <w:p>
      <w:pPr>
        <w:spacing w:after="120" w:line="300"/>
      </w:pPr>
      <w:r>
        <w:rPr>
          <w:rFonts w:ascii="Arial" w:cs="Arial" w:eastAsia="Arial" w:hAnsi="Arial"/>
          <w:b/>
          <w:bCs/>
          <w:sz w:val="22"/>
          <w:szCs w:val="22"/>
        </w:rPr>
        <w:t xml:space="preserve">Next Update:</w:t>
      </w:r>
      <w:r>
        <w:rPr>
          <w:rFonts w:ascii="Arial" w:cs="Arial" w:eastAsia="Arial" w:hAnsi="Arial"/>
          <w:sz w:val="22"/>
          <w:szCs w:val="22"/>
        </w:rPr>
        <w:t xml:space="preserve"> Pending completion of Phase I pre-loading safety trials (estimated 2027)</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999999"/>
        <w:sz w:val="16"/>
        <w:szCs w:val="16"/>
      </w:rPr>
      <w:t xml:space="preserve">Terpenes, With a Twist of Aromatherapy  |  Page </w:t>
    </w:r>
    <w:r>
      <w:rPr>
        <w:rFonts w:ascii="Arial" w:cs="Arial" w:eastAsia="Arial" w:hAnsi="Arial"/>
        <w:b/>
        <w:bCs/>
        <w:color w:val="00695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Terpinolene — Terpene Monograph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0695C"/>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1c6ee133376457c361dfbf38c0a189495721033.png"/><Relationship Id="rId10" Type="http://schemas.openxmlformats.org/officeDocument/2006/relationships/image" Target="media/35513114412501205033d8e68c81801497fc8664.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2026-03-16T00:36:26.274Z</dcterms:created>
  <dcterms:modified xsi:type="dcterms:W3CDTF">2026-03-16T00:36:26.274Z</dcterms:modified>
</cp:coreProperties>
</file>

<file path=docProps/custom.xml><?xml version="1.0" encoding="utf-8"?>
<Properties xmlns="http://schemas.openxmlformats.org/officeDocument/2006/custom-properties" xmlns:vt="http://schemas.openxmlformats.org/officeDocument/2006/docPropsVTypes"/>
</file>