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6191250" cy="2324100"/>
            <wp:effectExtent t="0" r="0" b="0" l="0"/>
            <wp:docPr id="1" name="cover" descr="Cover image for α-Bisabolol monograph" title="α-Bisabol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24100"/>
                    </a:xfrm>
                    <a:prstGeom prst="rect">
                      <a:avLst/>
                    </a:prstGeom>
                  </pic:spPr>
                </pic:pic>
              </a:graphicData>
            </a:graphic>
          </wp:inline>
        </w:drawing>
      </w:r>
    </w:p>
    <w:p>
      <w:pPr>
        <w:spacing w:before="600"/>
      </w:pPr>
    </w:p>
    <w:p>
      <w:pPr>
        <w:spacing w:after="200"/>
        <w:jc w:val="center"/>
      </w:pPr>
      <w:r>
        <w:rPr>
          <w:rFonts w:ascii="Arial" w:cs="Arial" w:eastAsia="Arial" w:hAnsi="Arial"/>
          <w:b/>
          <w:bCs/>
          <w:color w:val="1565C0"/>
          <w:spacing w:val="200"/>
          <w:sz w:val="28"/>
          <w:szCs w:val="28"/>
        </w:rPr>
        <w:t xml:space="preserve">TERPENE MONOGRAPH</w:t>
      </w:r>
    </w:p>
    <w:p>
      <w:pPr>
        <w:spacing w:after="100"/>
        <w:jc w:val="center"/>
      </w:pPr>
      <w:r>
        <w:rPr>
          <w:rFonts w:ascii="Arial" w:cs="Arial" w:eastAsia="Arial" w:hAnsi="Arial"/>
          <w:i/>
          <w:iCs/>
          <w:color w:val="666666"/>
          <w:sz w:val="22"/>
          <w:szCs w:val="22"/>
        </w:rPr>
        <w:t xml:space="preserve">Terpenes, With a Twist of Aromatherapy</w:t>
      </w:r>
    </w:p>
    <w:p>
      <w:pPr>
        <w:spacing w:after="100"/>
        <w:jc w:val="center"/>
      </w:pPr>
      <w:r>
        <w:rPr>
          <w:rFonts w:ascii="Arial" w:cs="Arial" w:eastAsia="Arial" w:hAnsi="Arial"/>
          <w:color w:val="888888"/>
          <w:sz w:val="20"/>
          <w:szCs w:val="20"/>
        </w:rPr>
        <w:t xml:space="preserve">Terpene Pre-Loading Knowledge Base</w:t>
      </w:r>
    </w:p>
    <w:p>
      <w:pPr>
        <w:spacing w:before="1200"/>
        <w:jc w:val="center"/>
      </w:pPr>
      <w:r>
        <w:rPr>
          <w:rFonts w:ascii="Arial" w:cs="Arial" w:eastAsia="Arial" w:hAnsi="Arial"/>
          <w:color w:val="999999"/>
          <w:sz w:val="20"/>
          <w:szCs w:val="20"/>
        </w:rPr>
        <w:t xml:space="preserve">March 2026</w:t>
      </w:r>
    </w:p>
    <w:p>
      <w:r>
        <w:br w:type="page"/>
      </w:r>
    </w:p>
    <w:p>
      <w:pPr>
        <w:pStyle w:val="Heading1"/>
      </w:pPr>
      <w:r>
        <w:rPr>
          <w:rFonts w:ascii="Arial" w:cs="Arial" w:eastAsia="Arial" w:hAnsi="Arial"/>
          <w:b/>
          <w:bCs/>
          <w:color w:val="1565C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Cannabis Terpene Pre-Loading Knowledge Base</w:t>
      </w:r>
    </w:p>
    <w:p>
      <w:pPr>
        <w:spacing w:after="120" w:line="300"/>
      </w:pPr>
      <w:r>
        <w:rPr>
          <w:rFonts w:ascii="Arial" w:cs="Arial" w:eastAsia="Arial" w:hAnsi="Arial"/>
          <w:b/>
          <w:bCs/>
          <w:sz w:val="22"/>
          <w:szCs w:val="22"/>
        </w:rPr>
        <w:t xml:space="preserve">Prepared:</w:t>
      </w:r>
      <w:r>
        <w:rPr>
          <w:rFonts w:ascii="Arial" w:cs="Arial" w:eastAsia="Arial" w:hAnsi="Arial"/>
          <w:sz w:val="22"/>
          <w:szCs w:val="22"/>
        </w:rPr>
        <w:t xml:space="preserve"> March 2026</w:t>
      </w:r>
    </w:p>
    <w:p>
      <w:pPr>
        <w:spacing w:after="120" w:line="300"/>
      </w:pPr>
      <w:r>
        <w:rPr>
          <w:rFonts w:ascii="Arial" w:cs="Arial" w:eastAsia="Arial" w:hAnsi="Arial"/>
          <w:b/>
          <w:bCs/>
          <w:sz w:val="22"/>
          <w:szCs w:val="22"/>
        </w:rPr>
        <w:t xml:space="preserve">Classification:</w:t>
      </w:r>
      <w:r>
        <w:rPr>
          <w:rFonts w:ascii="Arial" w:cs="Arial" w:eastAsia="Arial" w:hAnsi="Arial"/>
          <w:sz w:val="22"/>
          <w:szCs w:val="22"/>
        </w:rPr>
        <w:t xml:space="preserve"> Monocyclic sesquiterpene alcohol</w:t>
      </w:r>
    </w:p>
    <w:p>
      <w:pPr>
        <w:spacing w:after="120" w:line="300"/>
      </w:pPr>
      <w:r>
        <w:rPr>
          <w:rFonts w:ascii="Arial" w:cs="Arial" w:eastAsia="Arial" w:hAnsi="Arial"/>
          <w:b/>
          <w:bCs/>
          <w:sz w:val="22"/>
          <w:szCs w:val="22"/>
        </w:rPr>
        <w:t xml:space="preserve">Primary Application Context:</w:t>
      </w:r>
      <w:r>
        <w:rPr>
          <w:rFonts w:ascii="Arial" w:cs="Arial" w:eastAsia="Arial" w:hAnsi="Arial"/>
          <w:sz w:val="22"/>
          <w:szCs w:val="22"/>
        </w:rPr>
        <w:t xml:space="preserve"> Botanical oil pre-loading 15–30 min before cannabis consumption</w:t>
      </w:r>
    </w:p>
    <w:p>
      <w:pPr>
        <w:spacing w:after="120" w:line="300"/>
      </w:pPr>
      <w:r>
        <w:rPr>
          <w:rFonts w:ascii="Arial" w:cs="Arial" w:eastAsia="Arial" w:hAnsi="Arial"/>
          <w:b/>
          <w:bCs/>
          <w:sz w:val="22"/>
          <w:szCs w:val="22"/>
        </w:rPr>
        <w:t xml:space="preserve">Therapeutic Intent:</w:t>
      </w:r>
      <w:r>
        <w:rPr>
          <w:rFonts w:ascii="Arial" w:cs="Arial" w:eastAsia="Arial" w:hAnsi="Arial"/>
          <w:sz w:val="22"/>
          <w:szCs w:val="22"/>
        </w:rPr>
        <w:t xml:space="preserve"> Receptor system priming, anti-inflammatory baseline, neuroprotection, pain modulation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1. CHEMICAL IDENTITY &amp; STRUCTURAL PROFILE</w:t>
      </w:r>
    </w:p>
    <w:p>
      <w:pPr>
        <w:pStyle w:val="Heading2"/>
        <w:spacing w:after="120" w:before="240"/>
      </w:pPr>
      <w:r>
        <w:rPr>
          <w:rFonts w:ascii="Arial" w:cs="Arial" w:eastAsia="Arial" w:hAnsi="Arial"/>
          <w:b/>
          <w:bCs/>
          <w:color w:val="333333"/>
          <w:sz w:val="26"/>
          <w:szCs w:val="26"/>
        </w:rPr>
        <w:t xml:space="preserve">1.1 Molecular Nomenclature</w:t>
      </w:r>
    </w:p>
    <w:p>
      <w:pPr>
        <w:spacing w:after="120" w:line="300"/>
      </w:pPr>
      <w:r>
        <w:rPr>
          <w:rFonts w:ascii="Arial" w:cs="Arial" w:eastAsia="Arial" w:hAnsi="Arial"/>
          <w:b/>
          <w:bCs/>
          <w:sz w:val="22"/>
          <w:szCs w:val="22"/>
        </w:rPr>
        <w:t xml:space="preserve">IUPAC Name (Primary):</w:t>
      </w:r>
    </w:p>
    <w:p>
      <w:pPr>
        <w:spacing w:after="120" w:line="300"/>
      </w:pPr>
      <w:r>
        <w:rPr>
          <w:rFonts w:ascii="Arial" w:cs="Arial" w:eastAsia="Arial" w:hAnsi="Arial"/>
          <w:sz w:val="22"/>
          <w:szCs w:val="22"/>
        </w:rPr>
        <w:t xml:space="preserve">3-Cyclohexene-1-methanol, α,4-dimethyl-α-(4-methyl-3-pentenyl)-, [S-(R*,R*)]-</w:t>
      </w:r>
    </w:p>
    <w:p>
      <w:pPr>
        <w:spacing w:after="120" w:line="300"/>
      </w:pPr>
      <w:r>
        <w:rPr>
          <w:rFonts w:ascii="Arial" w:cs="Arial" w:eastAsia="Arial" w:hAnsi="Arial"/>
          <w:b/>
          <w:bCs/>
          <w:sz w:val="22"/>
          <w:szCs w:val="22"/>
        </w:rPr>
        <w:t xml:space="preserve">Common Names: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(-)-α-Bisabolol (natural form, levorotatory)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Levomenol (pharmaceutical/cosmetic nomenclature)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(+)-α-Bisabolol (synthetic, rare; dextrorotatory isomer)</w:t>
      </w:r>
    </w:p>
    <w:p>
      <w:pPr>
        <w:spacing w:after="120" w:line="300"/>
      </w:pPr>
      <w:r>
        <w:rPr>
          <w:rFonts w:ascii="Arial" w:cs="Arial" w:eastAsia="Arial" w:hAnsi="Arial"/>
          <w:b/>
          <w:bCs/>
          <w:sz w:val="22"/>
          <w:szCs w:val="22"/>
        </w:rPr>
        <w:t xml:space="preserve">CAS Numbers: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(-)-α-Bisabolol: 23089-26-1</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(racemic): 515-69-5</w:t>
      </w:r>
    </w:p>
    <w:p>
      <w:pPr>
        <w:pStyle w:val="Heading2"/>
        <w:spacing w:after="120" w:before="240"/>
      </w:pPr>
      <w:r>
        <w:rPr>
          <w:rFonts w:ascii="Arial" w:cs="Arial" w:eastAsia="Arial" w:hAnsi="Arial"/>
          <w:b/>
          <w:bCs/>
          <w:color w:val="333333"/>
          <w:sz w:val="26"/>
          <w:szCs w:val="26"/>
        </w:rPr>
        <w:t xml:space="preserve">1.2 Molecular Formula &amp; Physical Constants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Molecular Formula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C₁₅H₂₆O</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Molecular Weight</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222.37 g/mol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Classification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Monocyclic sesquiterpene alcohol (oxygenated)</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Boiling Point</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313–315°C (HIGH stability)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Density (25°C)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0.920–0.929 g/cm³</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Physical State</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Colorless to light yellow viscous oil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Lipophilicity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Highly lipophilic (fat-soluble)</w:t>
            </w:r>
          </w:p>
        </w:tc>
      </w:tr>
    </w:tbl>
    <w:p>
      <w:pPr>
        <w:spacing w:after="120"/>
      </w:pPr>
    </w:p>
    <w:p>
      <w:pPr>
        <w:pStyle w:val="Heading2"/>
        <w:spacing w:after="120" w:before="240"/>
      </w:pPr>
      <w:r>
        <w:rPr>
          <w:rFonts w:ascii="Arial" w:cs="Arial" w:eastAsia="Arial" w:hAnsi="Arial"/>
          <w:b/>
          <w:bCs/>
          <w:color w:val="333333"/>
          <w:sz w:val="26"/>
          <w:szCs w:val="26"/>
        </w:rPr>
        <w:t xml:space="preserve">1.3 Structural Characteristics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Backbone:</w:t>
      </w:r>
      <w:r>
        <w:rPr>
          <w:rFonts w:ascii="Arial" w:cs="Arial" w:eastAsia="Arial" w:hAnsi="Arial"/>
          <w:sz w:val="22"/>
          <w:szCs w:val="22"/>
        </w:rPr>
        <w:t xml:space="preserve"> One six-membered cyclohexane ring (monocyclic)</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Functional Group:</w:t>
      </w:r>
      <w:r>
        <w:rPr>
          <w:rFonts w:ascii="Arial" w:cs="Arial" w:eastAsia="Arial" w:hAnsi="Arial"/>
          <w:sz w:val="22"/>
          <w:szCs w:val="22"/>
        </w:rPr>
        <w:t xml:space="preserve"> Primary alcohol (–OH) at the 1-position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Side Chain:</w:t>
      </w:r>
      <w:r>
        <w:rPr>
          <w:rFonts w:ascii="Arial" w:cs="Arial" w:eastAsia="Arial" w:hAnsi="Arial"/>
          <w:sz w:val="22"/>
          <w:szCs w:val="22"/>
        </w:rPr>
        <w:t xml:space="preserve"> Isopropenyl (isoprenyl) tail extending from the 4-position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Stereochemistry:</w:t>
      </w:r>
      <w:r>
        <w:rPr>
          <w:rFonts w:ascii="Arial" w:cs="Arial" w:eastAsia="Arial" w:hAnsi="Arial"/>
          <w:sz w:val="22"/>
          <w:szCs w:val="22"/>
        </w:rPr>
        <w:t xml:space="preserve"> Three stereogenic centers; natural form is (-)-α-bisabolol ([S-(R*,R*)] configuration)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Unsaturation:</w:t>
      </w:r>
      <w:r>
        <w:rPr>
          <w:rFonts w:ascii="Arial" w:cs="Arial" w:eastAsia="Arial" w:hAnsi="Arial"/>
          <w:sz w:val="22"/>
          <w:szCs w:val="22"/>
        </w:rPr>
        <w:t xml:space="preserve"> One C=C double bond in the cyclohexane ring (3-position); one C=C in the isopropenyl side chain (4-position on tail)</w:t>
      </w:r>
    </w:p>
    <w:p>
      <w:pPr>
        <w:spacing w:after="120" w:line="300"/>
      </w:pPr>
      <w:r>
        <w:rPr>
          <w:rFonts w:ascii="Arial" w:cs="Arial" w:eastAsia="Arial" w:hAnsi="Arial"/>
          <w:b/>
          <w:bCs/>
          <w:sz w:val="22"/>
          <w:szCs w:val="22"/>
        </w:rPr>
        <w:t xml:space="preserve">InChI Standard (NIST):</w:t>
      </w:r>
    </w:p>
    <w:p>
      <w:pPr>
        <w:spacing w:after="120" w:line="300"/>
      </w:pPr>
      <w:r>
        <w:rPr>
          <w:rFonts w:ascii="Arial" w:cs="Arial" w:eastAsia="Arial" w:hAnsi="Arial"/>
          <w:sz w:val="22"/>
          <w:szCs w:val="22"/>
        </w:rPr>
        <w:t xml:space="preserve">InChI=1S/C15H26O/c1-12(2)6-5-11-15(4,16)14-9-7-13(3)8-10-14/h6-7,14,16H,5,8-11H2,1-4H3/t14-,15+/m1/s1</w:t>
      </w:r>
    </w:p>
    <w:p>
      <w:pPr>
        <w:spacing w:after="120" w:line="300"/>
      </w:pPr>
      <w:r>
        <w:rPr>
          <w:rFonts w:ascii="Arial" w:cs="Arial" w:eastAsia="Arial" w:hAnsi="Arial"/>
          <w:b/>
          <w:bCs/>
          <w:sz w:val="22"/>
          <w:szCs w:val="22"/>
        </w:rPr>
        <w:t xml:space="preserve">InChIKey:</w:t>
      </w:r>
      <w:r>
        <w:rPr>
          <w:rFonts w:ascii="Arial" w:cs="Arial" w:eastAsia="Arial" w:hAnsi="Arial"/>
          <w:sz w:val="22"/>
          <w:szCs w:val="22"/>
        </w:rPr>
        <w:t xml:space="preserve"> RGZSQWQPBWRIAQ-CABCVRRESA-N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2. BIOSYNTHESIS &amp; METABOLIC ORIGIN</w:t>
      </w:r>
    </w:p>
    <w:p>
      <w:pPr>
        <w:pStyle w:val="Heading2"/>
        <w:spacing w:after="120" w:before="240"/>
      </w:pPr>
      <w:r>
        <w:rPr>
          <w:rFonts w:ascii="Arial" w:cs="Arial" w:eastAsia="Arial" w:hAnsi="Arial"/>
          <w:b/>
          <w:bCs/>
          <w:color w:val="333333"/>
          <w:sz w:val="26"/>
          <w:szCs w:val="26"/>
        </w:rPr>
        <w:t xml:space="preserve">2.1 Terpenoid Biosynthetic Pathway</w:t>
      </w:r>
    </w:p>
    <w:p>
      <w:pPr>
        <w:spacing w:after="120" w:line="300"/>
      </w:pPr>
      <w:r>
        <w:rPr>
          <w:rFonts w:ascii="Arial" w:cs="Arial" w:eastAsia="Arial" w:hAnsi="Arial"/>
          <w:sz w:val="22"/>
          <w:szCs w:val="22"/>
        </w:rPr>
        <w:t xml:space="preserve">α-Bisabolol is synthesized via the </w:t>
      </w:r>
      <w:r>
        <w:rPr>
          <w:rFonts w:ascii="Arial" w:cs="Arial" w:eastAsia="Arial" w:hAnsi="Arial"/>
          <w:b/>
          <w:bCs/>
          <w:sz w:val="22"/>
          <w:szCs w:val="22"/>
        </w:rPr>
        <w:t xml:space="preserve">sesquiterpene biosynthetic pathway</w:t>
      </w:r>
      <w:r>
        <w:rPr>
          <w:rFonts w:ascii="Arial" w:cs="Arial" w:eastAsia="Arial" w:hAnsi="Arial"/>
          <w:sz w:val="22"/>
          <w:szCs w:val="22"/>
        </w:rPr>
        <w:t xml:space="preserve">, which converges with the broader isoprenoid metabolism:</w:t>
      </w:r>
    </w:p>
    <w:p>
      <w:pPr>
        <w:spacing w:after="120" w:line="300"/>
      </w:pPr>
      <w:r>
        <w:rPr>
          <w:rFonts w:ascii="Arial" w:cs="Arial" w:eastAsia="Arial" w:hAnsi="Arial"/>
          <w:b/>
          <w:bCs/>
          <w:sz w:val="22"/>
          <w:szCs w:val="22"/>
        </w:rPr>
        <w:t xml:space="preserve">Pathway Flow:</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Acetyl-CoA → Mevalonate (MVA) or MEP Pathway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MVA pathway (cytosol): Acetyl-CoA → HMG-CoA → Mevalonate → Isopentenyl diphosphate (IPP)</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MEP pathway (plastids): Pyruvate + glyceraldehyde-3-phosphate → IPP</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Both pathways generate IPP as the universal C₅ building block</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IPP Isomerization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Isopentenyl diphosphate isomerase converts IPP ↔ Dimethylallyl diphosphate (DMAPP)</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Farnesyl Diphosphate (FPP) Formation</w:t>
      </w:r>
      <w:r>
        <w:rPr>
          <w:rFonts w:ascii="Arial" w:cs="Arial" w:eastAsia="Arial" w:hAnsi="Arial"/>
          <w:sz w:val="22"/>
          <w:szCs w:val="22"/>
        </w:rPr>
        <w:t xml:space="preserve"> (Critical Branch Point)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Farnesyl diphosphate synthase (FPS)</w:t>
      </w:r>
      <w:r>
        <w:rPr>
          <w:rFonts w:ascii="Arial" w:cs="Arial" w:eastAsia="Arial" w:hAnsi="Arial"/>
          <w:sz w:val="22"/>
          <w:szCs w:val="22"/>
        </w:rPr>
        <w:t xml:space="preserve"> catalyzes: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DMAPP + 2 IPP → </w:t>
      </w:r>
      <w:r>
        <w:rPr>
          <w:rFonts w:ascii="Arial" w:cs="Arial" w:eastAsia="Arial" w:hAnsi="Arial"/>
          <w:b/>
          <w:bCs/>
          <w:sz w:val="22"/>
          <w:szCs w:val="22"/>
        </w:rPr>
        <w:t xml:space="preserve">Farnesyl diphosphate (FPP)</w:t>
      </w:r>
      <w:r>
        <w:rPr>
          <w:rFonts w:ascii="Arial" w:cs="Arial" w:eastAsia="Arial" w:hAnsi="Arial"/>
          <w:sz w:val="22"/>
          <w:szCs w:val="22"/>
        </w:rPr>
        <w:t xml:space="preserve"> (C₁₅ intermediate)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FPP is the universal precursor for ALL sesquiterpenoids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Bisabolol Synthase Cyclization</w:t>
      </w:r>
      <w:r>
        <w:rPr>
          <w:rFonts w:ascii="Arial" w:cs="Arial" w:eastAsia="Arial" w:hAnsi="Arial"/>
          <w:sz w:val="22"/>
          <w:szCs w:val="22"/>
        </w:rPr>
        <w:t xml:space="preserve"> (Final Step)</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α-Bisabolol synthase (BBS/EeBS)</w:t>
      </w:r>
      <w:r>
        <w:rPr>
          <w:rFonts w:ascii="Arial" w:cs="Arial" w:eastAsia="Arial" w:hAnsi="Arial"/>
          <w:sz w:val="22"/>
          <w:szCs w:val="22"/>
        </w:rPr>
        <w:t xml:space="preserve"> catalyzes: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FPP → (-)-α-bisabolol (direct cyclization + rearrangement)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Y402 amino acid residue is critical; mutations redirect FPP toward farnesene (acyclic) vs. bisabolol (monocyclic) products</w:t>
      </w:r>
    </w:p>
    <w:p>
      <w:pPr>
        <w:pStyle w:val="Heading2"/>
        <w:spacing w:after="120" w:before="240"/>
      </w:pPr>
      <w:r>
        <w:rPr>
          <w:rFonts w:ascii="Arial" w:cs="Arial" w:eastAsia="Arial" w:hAnsi="Arial"/>
          <w:b/>
          <w:bCs/>
          <w:color w:val="333333"/>
          <w:sz w:val="26"/>
          <w:szCs w:val="26"/>
        </w:rPr>
        <w:t xml:space="preserve">2.2 Relationship to Farnesene &amp; Botanical Isomers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Farnesene (α- &amp; β-):</w:t>
      </w:r>
      <w:r>
        <w:rPr>
          <w:rFonts w:ascii="Arial" w:cs="Arial" w:eastAsia="Arial" w:hAnsi="Arial"/>
          <w:sz w:val="22"/>
          <w:szCs w:val="22"/>
        </w:rPr>
        <w:t xml:space="preserve"> Acyclic C₁₅ sesquiterpene; shares FPP precursor with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Farnesol:</w:t>
      </w:r>
      <w:r>
        <w:rPr>
          <w:rFonts w:ascii="Arial" w:cs="Arial" w:eastAsia="Arial" w:hAnsi="Arial"/>
          <w:sz w:val="22"/>
          <w:szCs w:val="22"/>
        </w:rPr>
        <w:t xml:space="preserve"> Acyclic C₁₅ sesquiterpene alcohol (saturated tail); minor component in chamomile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Nerolidol:</w:t>
      </w:r>
      <w:r>
        <w:rPr>
          <w:rFonts w:ascii="Arial" w:cs="Arial" w:eastAsia="Arial" w:hAnsi="Arial"/>
          <w:sz w:val="22"/>
          <w:szCs w:val="22"/>
        </w:rPr>
        <w:t xml:space="preserve"> Different C₁₅ sesquiterpene alcohol; also shares FPP origin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Bisabolol Oxides A &amp; B:</w:t>
      </w:r>
      <w:r>
        <w:rPr>
          <w:rFonts w:ascii="Arial" w:cs="Arial" w:eastAsia="Arial" w:hAnsi="Arial"/>
          <w:sz w:val="22"/>
          <w:szCs w:val="22"/>
        </w:rPr>
        <w:t xml:space="preserve"> Oxygenated derivatives of bisabolol; formed via oxidation (see Section 3.7)</w:t>
      </w:r>
    </w:p>
    <w:p>
      <w:pPr>
        <w:spacing w:after="120" w:line="300"/>
      </w:pPr>
      <w:r>
        <w:rPr>
          <w:rFonts w:ascii="Arial" w:cs="Arial" w:eastAsia="Arial" w:hAnsi="Arial"/>
          <w:b/>
          <w:bCs/>
          <w:sz w:val="22"/>
          <w:szCs w:val="22"/>
        </w:rPr>
        <w:t xml:space="preserve">Natural Competition:</w:t>
      </w:r>
      <w:r>
        <w:rPr>
          <w:rFonts w:ascii="Arial" w:cs="Arial" w:eastAsia="Arial" w:hAnsi="Arial"/>
          <w:sz w:val="22"/>
          <w:szCs w:val="22"/>
        </w:rPr>
        <w:t xml:space="preserve"> In *Matricaria recutita*, expression of BBS is tightly regulated; some cultivars favor bisabolol oxide accumulation over free bisabolol, likely via post-cyclization oxidation.</w:t>
      </w:r>
    </w:p>
    <w:p>
      <w:pPr>
        <w:pStyle w:val="Heading2"/>
        <w:spacing w:after="120" w:before="240"/>
      </w:pPr>
      <w:r>
        <w:rPr>
          <w:rFonts w:ascii="Arial" w:cs="Arial" w:eastAsia="Arial" w:hAnsi="Arial"/>
          <w:b/>
          <w:bCs/>
          <w:color w:val="333333"/>
          <w:sz w:val="26"/>
          <w:szCs w:val="26"/>
        </w:rPr>
        <w:t xml:space="preserve">2.3 Plant Sources &amp; Biosynthetic Context</w:t>
      </w:r>
    </w:p>
    <w:p>
      <w:pPr>
        <w:spacing w:after="120" w:line="300"/>
      </w:pPr>
      <w:r>
        <w:rPr>
          <w:rFonts w:ascii="Arial" w:cs="Arial" w:eastAsia="Arial" w:hAnsi="Arial"/>
          <w:b/>
          <w:bCs/>
          <w:sz w:val="22"/>
          <w:szCs w:val="22"/>
        </w:rPr>
        <w:t xml:space="preserve">Richest Natural Source: German Chamomile (*Matricaria recutita*)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MVA/MEP pathway highly active in flower trichomes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represents 25–50% of essential oil in premium cultivars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Harvest timing affects ratio: late bloom maximizes bisabolol</w:t>
      </w:r>
    </w:p>
    <w:p>
      <w:pPr>
        <w:spacing w:after="120" w:line="300"/>
      </w:pPr>
      <w:r>
        <w:rPr>
          <w:rFonts w:ascii="Arial" w:cs="Arial" w:eastAsia="Arial" w:hAnsi="Arial"/>
          <w:b/>
          <w:bCs/>
          <w:sz w:val="22"/>
          <w:szCs w:val="22"/>
        </w:rPr>
        <w:t xml:space="preserve">Secondary Sources: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Candeia wood (*Eremanthus erythropappus*): 66–91% bisabolol in wood oil, but only 2–24% in leaves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Roman chamomile (*Chamaemelum nobile*): Lower bisabolol; higher bisabolol oxides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Sage (*Salvia* spp.): Trace amounts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Myrrh (*Commiphora* spp.): Variable, trace to low levels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3. SENSORY PROFILE &amp; OLFACTORY CHARACTERISTICS</w:t>
      </w:r>
    </w:p>
    <w:p>
      <w:pPr>
        <w:pStyle w:val="Heading2"/>
        <w:spacing w:after="120" w:before="240"/>
      </w:pPr>
      <w:r>
        <w:rPr>
          <w:rFonts w:ascii="Arial" w:cs="Arial" w:eastAsia="Arial" w:hAnsi="Arial"/>
          <w:b/>
          <w:bCs/>
          <w:color w:val="333333"/>
          <w:sz w:val="26"/>
          <w:szCs w:val="26"/>
        </w:rPr>
        <w:t xml:space="preserve">3.1 Aroma Description (Organoleptic)</w:t>
      </w:r>
    </w:p>
    <w:p>
      <w:pPr>
        <w:spacing w:after="120" w:line="300"/>
      </w:pPr>
      <w:r>
        <w:rPr>
          <w:rFonts w:ascii="Arial" w:cs="Arial" w:eastAsia="Arial" w:hAnsi="Arial"/>
          <w:b/>
          <w:bCs/>
          <w:sz w:val="22"/>
          <w:szCs w:val="22"/>
        </w:rPr>
        <w:t xml:space="preserve">Primary Descriptors: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Sweet, floral, honey-like</w:t>
      </w:r>
      <w:r>
        <w:rPr>
          <w:rFonts w:ascii="Arial" w:cs="Arial" w:eastAsia="Arial" w:hAnsi="Arial"/>
          <w:sz w:val="22"/>
          <w:szCs w:val="22"/>
        </w:rPr>
        <w:t xml:space="preserve"> (dominant note)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Subtle, mild aroma</w:t>
      </w:r>
      <w:r>
        <w:rPr>
          <w:rFonts w:ascii="Arial" w:cs="Arial" w:eastAsia="Arial" w:hAnsi="Arial"/>
          <w:sz w:val="22"/>
          <w:szCs w:val="22"/>
        </w:rPr>
        <w:t xml:space="preserve"> (not overpowering)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Warm, powdery</w:t>
      </w:r>
      <w:r>
        <w:rPr>
          <w:rFonts w:ascii="Arial" w:cs="Arial" w:eastAsia="Arial" w:hAnsi="Arial"/>
          <w:sz w:val="22"/>
          <w:szCs w:val="22"/>
        </w:rPr>
        <w:t xml:space="preserve"> undertones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Faint apple/sugar notes</w:t>
      </w:r>
      <w:r>
        <w:rPr>
          <w:rFonts w:ascii="Arial" w:cs="Arial" w:eastAsia="Arial" w:hAnsi="Arial"/>
          <w:sz w:val="22"/>
          <w:szCs w:val="22"/>
        </w:rPr>
        <w:t xml:space="preserve"> (when isolated)</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Chamomile-reminiscent</w:t>
      </w:r>
      <w:r>
        <w:rPr>
          <w:rFonts w:ascii="Arial" w:cs="Arial" w:eastAsia="Arial" w:hAnsi="Arial"/>
          <w:sz w:val="22"/>
          <w:szCs w:val="22"/>
        </w:rPr>
        <w:t xml:space="preserve"> (directly associated with chamomile flower aroma)</w:t>
      </w:r>
    </w:p>
    <w:p>
      <w:pPr>
        <w:spacing w:after="120" w:line="300"/>
      </w:pPr>
      <w:r>
        <w:rPr>
          <w:rFonts w:ascii="Arial" w:cs="Arial" w:eastAsia="Arial" w:hAnsi="Arial"/>
          <w:b/>
          <w:bCs/>
          <w:sz w:val="22"/>
          <w:szCs w:val="22"/>
        </w:rPr>
        <w:t xml:space="preserve">Secondary Characteristics: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Citrus-like hints (faint)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Fruity notes (subtle)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Spicy/nutty undertones (minor)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Peppery taste descriptor (when ingested)</w:t>
      </w:r>
    </w:p>
    <w:p>
      <w:pPr>
        <w:pStyle w:val="Heading2"/>
        <w:spacing w:after="120" w:before="240"/>
      </w:pPr>
      <w:r>
        <w:rPr>
          <w:rFonts w:ascii="Arial" w:cs="Arial" w:eastAsia="Arial" w:hAnsi="Arial"/>
          <w:b/>
          <w:bCs/>
          <w:color w:val="333333"/>
          <w:sz w:val="26"/>
          <w:szCs w:val="26"/>
        </w:rPr>
        <w:t xml:space="preserve">3.2 Sensory Intensity &amp; Detection Threshold</w:t>
      </w:r>
    </w:p>
    <w:p>
      <w:pPr>
        <w:spacing w:after="120" w:line="300"/>
      </w:pPr>
      <w:r>
        <w:rPr>
          <w:rFonts w:ascii="Arial" w:cs="Arial" w:eastAsia="Arial" w:hAnsi="Arial"/>
          <w:b/>
          <w:bCs/>
          <w:sz w:val="22"/>
          <w:szCs w:val="22"/>
        </w:rPr>
        <w:t xml:space="preserve">Olfactory Behavior:</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One of the gentlest terpene aromas</w:t>
      </w:r>
      <w:r>
        <w:rPr>
          <w:rFonts w:ascii="Arial" w:cs="Arial" w:eastAsia="Arial" w:hAnsi="Arial"/>
          <w:sz w:val="22"/>
          <w:szCs w:val="22"/>
        </w:rPr>
        <w:t xml:space="preserve"> in cannabis strains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At low concentrations (0.1–0.2% in cosmetics), odor is virtually imperceptible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Does NOT dominate strain aroma; enhances subtly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Much less volatile than monoterpenes (e.g., myrcene, limonene, pinene)</w:t>
      </w:r>
    </w:p>
    <w:p>
      <w:pPr>
        <w:spacing w:after="120" w:line="300"/>
      </w:pPr>
      <w:r>
        <w:rPr>
          <w:rFonts w:ascii="Arial" w:cs="Arial" w:eastAsia="Arial" w:hAnsi="Arial"/>
          <w:b/>
          <w:bCs/>
          <w:sz w:val="22"/>
          <w:szCs w:val="22"/>
        </w:rPr>
        <w:t xml:space="preserve">High Boiling Point Implication: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BP 313–315°C → very slow vapor pressure at room temperature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Monoterpenes evaporate within 20 seconds of vaping at 180°C</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volatilization requires sustained heat; lags significantly behind monoterpenes and monoterpenoids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 inhalation protocols, bisabolol likely accumulates in oral/respiratory tract rather than delivering to alveoli</w:t>
      </w:r>
    </w:p>
    <w:p>
      <w:pPr>
        <w:spacing w:after="120" w:line="300"/>
      </w:pPr>
      <w:r>
        <w:rPr>
          <w:rFonts w:ascii="Arial" w:cs="Arial" w:eastAsia="Arial" w:hAnsi="Arial"/>
          <w:b/>
          <w:bCs/>
          <w:sz w:val="22"/>
          <w:szCs w:val="22"/>
        </w:rPr>
        <w:t xml:space="preserve">Threshold Note:</w:t>
      </w:r>
    </w:p>
    <w:p>
      <w:pPr>
        <w:spacing w:after="120" w:line="300"/>
      </w:pPr>
      <w:r>
        <w:rPr>
          <w:rFonts w:ascii="Arial" w:cs="Arial" w:eastAsia="Arial" w:hAnsi="Arial"/>
          <w:sz w:val="22"/>
          <w:szCs w:val="22"/>
        </w:rPr>
        <w:t xml:space="preserve">Specific odor threshold values (in parts per billion) were not located in available literature; sensory science data on bisabolol is limited compared to major cannabis terpenes.</w:t>
      </w:r>
    </w:p>
    <w:p>
      <w:pPr>
        <w:pStyle w:val="Heading2"/>
        <w:spacing w:after="120" w:before="240"/>
      </w:pPr>
      <w:r>
        <w:rPr>
          <w:rFonts w:ascii="Arial" w:cs="Arial" w:eastAsia="Arial" w:hAnsi="Arial"/>
          <w:b/>
          <w:bCs/>
          <w:color w:val="333333"/>
          <w:sz w:val="26"/>
          <w:szCs w:val="26"/>
        </w:rPr>
        <w:t xml:space="preserve">3.3 Flavor/Taste Profile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Floral, delicate taste (when ingested as tea or in formulations)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Honey, pear, subtle hop notes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Non-irritating; cooling sensation possible (from GABA modulation)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Well-tolerated in oral preparations; no known irritant taste concentration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4. PHARMACOLOGY &amp; MECHANISM OF ACTION</w:t>
      </w:r>
    </w:p>
    <w:p>
      <w:pPr>
        <w:pStyle w:val="Heading2"/>
        <w:spacing w:after="120" w:before="240"/>
      </w:pPr>
      <w:r>
        <w:rPr>
          <w:rFonts w:ascii="Arial" w:cs="Arial" w:eastAsia="Arial" w:hAnsi="Arial"/>
          <w:b/>
          <w:bCs/>
          <w:color w:val="333333"/>
          <w:sz w:val="26"/>
          <w:szCs w:val="26"/>
        </w:rPr>
        <w:t xml:space="preserve">4.1 Anti-Inflammatory &amp; Gastroprotection</w:t>
      </w:r>
    </w:p>
    <w:p>
      <w:pPr>
        <w:spacing w:after="100" w:before="200"/>
      </w:pPr>
      <w:r>
        <w:rPr>
          <w:rFonts w:ascii="Arial" w:cs="Arial" w:eastAsia="Arial" w:hAnsi="Arial"/>
          <w:b/>
          <w:bCs/>
          <w:color w:val="444444"/>
          <w:sz w:val="24"/>
          <w:szCs w:val="24"/>
        </w:rPr>
        <w:t xml:space="preserve">Gastric Ulcer Protection</w:t>
      </w:r>
    </w:p>
    <w:p>
      <w:pPr>
        <w:spacing w:after="120" w:line="300"/>
      </w:pPr>
      <w:r>
        <w:rPr>
          <w:rFonts w:ascii="Arial" w:cs="Arial" w:eastAsia="Arial" w:hAnsi="Arial"/>
          <w:b/>
          <w:bCs/>
          <w:sz w:val="22"/>
          <w:szCs w:val="22"/>
        </w:rPr>
        <w:t xml:space="preserve">Landmark Study (1979):</w:t>
      </w:r>
    </w:p>
    <w:p>
      <w:pPr>
        <w:spacing w:after="120" w:line="300"/>
      </w:pPr>
      <w:r>
        <w:rPr>
          <w:rFonts w:ascii="Arial" w:cs="Arial" w:eastAsia="Arial" w:hAnsi="Arial"/>
          <w:sz w:val="22"/>
          <w:szCs w:val="22"/>
        </w:rPr>
        <w:t xml:space="preserve">Jakovlev, V., O. Isaac, K. Thiemer, and R. Kunde. "Pharmacological investigations on the components of chamomile. II. New Investigations on the anti-inflammatory effects of (-)-α-bisabolol and bisabolol oxides." *Planta Med* 35 (1979): 125–140.</w:t>
      </w:r>
    </w:p>
    <w:p>
      <w:pPr>
        <w:spacing w:after="120" w:line="300"/>
      </w:pPr>
      <w:r>
        <w:rPr>
          <w:rFonts w:ascii="Arial" w:cs="Arial" w:eastAsia="Arial" w:hAnsi="Arial"/>
          <w:sz w:val="22"/>
          <w:szCs w:val="22"/>
        </w:rPr>
        <w:t xml:space="preserve">This foundational work established bisabolol's anti-inflammatory profile against gastric erosions.</w:t>
      </w:r>
    </w:p>
    <w:p>
      <w:pPr>
        <w:spacing w:after="120" w:line="300"/>
      </w:pPr>
      <w:r>
        <w:rPr>
          <w:rFonts w:ascii="Arial" w:cs="Arial" w:eastAsia="Arial" w:hAnsi="Arial"/>
          <w:b/>
          <w:bCs/>
          <w:sz w:val="22"/>
          <w:szCs w:val="22"/>
        </w:rPr>
        <w:t xml:space="preserve">Modern Evidence: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(-)-α-Bisabolol reduces acute ethanol-induced gastric mucosal lesions in mice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Mechanism: Reduction in lipid peroxidation (MDA ↓), increased superoxide dismutase (SOD activity ↑), decreased neutrophil migration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Does NOT rely on acid suppression; works via antioxidant + anti-inflammatory pathways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Dose-dependent gastroprotection in murine models</w:t>
      </w:r>
    </w:p>
    <w:p>
      <w:pPr>
        <w:spacing w:after="100" w:before="200"/>
      </w:pPr>
      <w:r>
        <w:rPr>
          <w:rFonts w:ascii="Arial" w:cs="Arial" w:eastAsia="Arial" w:hAnsi="Arial"/>
          <w:b/>
          <w:bCs/>
          <w:color w:val="444444"/>
          <w:sz w:val="24"/>
          <w:szCs w:val="24"/>
        </w:rPr>
        <w:t xml:space="preserve">Broad Anti-Inflammatory Signaling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Reduces pro-inflammatory cytokines:</w:t>
      </w:r>
      <w:r>
        <w:rPr>
          <w:rFonts w:ascii="Arial" w:cs="Arial" w:eastAsia="Arial" w:hAnsi="Arial"/>
          <w:sz w:val="22"/>
          <w:szCs w:val="22"/>
        </w:rPr>
        <w:t xml:space="preserve"> IL-4, IL-6, TNF-α, IL-8</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Inhibits transcription factors: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NF-κB (nuclear factor-kappa B) inhibition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MAPK pathway suppression (p38, ERK1/2)</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Neutrophil control:</w:t>
      </w:r>
      <w:r>
        <w:rPr>
          <w:rFonts w:ascii="Arial" w:cs="Arial" w:eastAsia="Arial" w:hAnsi="Arial"/>
          <w:sz w:val="22"/>
          <w:szCs w:val="22"/>
        </w:rPr>
        <w:t xml:space="preserve"> Decreases leukocyte migration, protein extravasation, neutrophil degranulation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Fibroblast activation:</w:t>
      </w:r>
      <w:r>
        <w:rPr>
          <w:rFonts w:ascii="Arial" w:cs="Arial" w:eastAsia="Arial" w:hAnsi="Arial"/>
          <w:sz w:val="22"/>
          <w:szCs w:val="22"/>
        </w:rPr>
        <w:t xml:space="preserve"> Promotes fibroblast growth factor (FGF) expression, collagen/elastin synthesis</w:t>
      </w:r>
    </w:p>
    <w:p>
      <w:pPr>
        <w:pStyle w:val="Heading2"/>
        <w:spacing w:after="120" w:before="240"/>
      </w:pPr>
      <w:r>
        <w:rPr>
          <w:rFonts w:ascii="Arial" w:cs="Arial" w:eastAsia="Arial" w:hAnsi="Arial"/>
          <w:b/>
          <w:bCs/>
          <w:color w:val="333333"/>
          <w:sz w:val="26"/>
          <w:szCs w:val="26"/>
        </w:rPr>
        <w:t xml:space="preserve">4.2 Skin Penetration Enhancement (Transdermal Angle)</w:t>
      </w:r>
    </w:p>
    <w:p>
      <w:pPr>
        <w:spacing w:after="100" w:before="200"/>
      </w:pPr>
      <w:r>
        <w:rPr>
          <w:rFonts w:ascii="Arial" w:cs="Arial" w:eastAsia="Arial" w:hAnsi="Arial"/>
          <w:b/>
          <w:bCs/>
          <w:color w:val="444444"/>
          <w:sz w:val="24"/>
          <w:szCs w:val="24"/>
        </w:rPr>
        <w:t xml:space="preserve">Critical Property for Pre-Loading Context</w:t>
      </w:r>
    </w:p>
    <w:p>
      <w:pPr>
        <w:spacing w:after="120" w:line="300"/>
      </w:pPr>
      <w:r>
        <w:rPr>
          <w:rFonts w:ascii="Arial" w:cs="Arial" w:eastAsia="Arial" w:hAnsi="Arial"/>
          <w:b/>
          <w:bCs/>
          <w:sz w:val="22"/>
          <w:szCs w:val="22"/>
        </w:rPr>
        <w:t xml:space="preserve">Primary Finding:</w:t>
      </w:r>
    </w:p>
    <w:p>
      <w:pPr>
        <w:spacing w:after="120" w:line="300"/>
      </w:pPr>
      <w:r>
        <w:rPr>
          <w:rFonts w:ascii="Arial" w:cs="Arial" w:eastAsia="Arial" w:hAnsi="Arial"/>
          <w:sz w:val="22"/>
          <w:szCs w:val="22"/>
        </w:rPr>
        <w:t xml:space="preserve">α-Bisabolol is a </w:t>
      </w:r>
      <w:r>
        <w:rPr>
          <w:rFonts w:ascii="Arial" w:cs="Arial" w:eastAsia="Arial" w:hAnsi="Arial"/>
          <w:b/>
          <w:bCs/>
          <w:sz w:val="22"/>
          <w:szCs w:val="22"/>
        </w:rPr>
        <w:t xml:space="preserve">moderate-to-strong permeation enhancer</w:t>
      </w:r>
      <w:r>
        <w:rPr>
          <w:rFonts w:ascii="Arial" w:cs="Arial" w:eastAsia="Arial" w:hAnsi="Arial"/>
          <w:sz w:val="22"/>
          <w:szCs w:val="22"/>
        </w:rPr>
        <w:t xml:space="preserve">—one of the most important oxygenated terpenes for increasing transdermal drug flux.</w:t>
      </w:r>
    </w:p>
    <w:p>
      <w:pPr>
        <w:spacing w:after="100" w:before="200"/>
      </w:pPr>
      <w:r>
        <w:rPr>
          <w:rFonts w:ascii="Arial" w:cs="Arial" w:eastAsia="Arial" w:hAnsi="Arial"/>
          <w:b/>
          <w:bCs/>
          <w:color w:val="444444"/>
          <w:sz w:val="24"/>
          <w:szCs w:val="24"/>
        </w:rPr>
        <w:t xml:space="preserve">Mechanism of Enhanced Permeation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Lipid Bilayer Disruption:</w:t>
      </w:r>
      <w:r>
        <w:rPr>
          <w:rFonts w:ascii="Arial" w:cs="Arial" w:eastAsia="Arial" w:hAnsi="Arial"/>
          <w:sz w:val="22"/>
          <w:szCs w:val="22"/>
        </w:rPr>
        <w:t xml:space="preserve"> Partitions into stratum corneum lipid matrix, fluidizing organized lipid lamellae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Partition Coefficient Enhancement:</w:t>
      </w:r>
      <w:r>
        <w:rPr>
          <w:rFonts w:ascii="Arial" w:cs="Arial" w:eastAsia="Arial" w:hAnsi="Arial"/>
          <w:sz w:val="22"/>
          <w:szCs w:val="22"/>
        </w:rPr>
        <w:t xml:space="preserve"> Increases drug partitioning into/through stratum corneum</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Reduced Transepidermal Water Loss (TEWL):</w:t>
      </w:r>
      <w:r>
        <w:rPr>
          <w:rFonts w:ascii="Arial" w:cs="Arial" w:eastAsia="Arial" w:hAnsi="Arial"/>
          <w:sz w:val="22"/>
          <w:szCs w:val="22"/>
        </w:rPr>
        <w:t xml:space="preserve"> Provides hydration barrier effect; paradoxically aids absorption while protecting hydration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Natural (-)-form Superior:</w:t>
      </w:r>
      <w:r>
        <w:rPr>
          <w:rFonts w:ascii="Arial" w:cs="Arial" w:eastAsia="Arial" w:hAnsi="Arial"/>
          <w:sz w:val="22"/>
          <w:szCs w:val="22"/>
        </w:rPr>
        <w:t xml:space="preserve"> (-)-α-Bisabolol is </w:t>
      </w:r>
      <w:r>
        <w:rPr>
          <w:rFonts w:ascii="Arial" w:cs="Arial" w:eastAsia="Arial" w:hAnsi="Arial"/>
          <w:b/>
          <w:bCs/>
          <w:sz w:val="22"/>
          <w:szCs w:val="22"/>
        </w:rPr>
        <w:t xml:space="preserve">2× more potent</w:t>
      </w:r>
      <w:r>
        <w:rPr>
          <w:rFonts w:ascii="Arial" w:cs="Arial" w:eastAsia="Arial" w:hAnsi="Arial"/>
          <w:sz w:val="22"/>
          <w:szCs w:val="22"/>
        </w:rPr>
        <w:t xml:space="preserve"> as penetration enhancer than racemic (±)-mixture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Natural form: 95% active (-) enantiomer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Synthetic racemic: Only ~42.5% active (-) enantiomer</w:t>
      </w:r>
    </w:p>
    <w:p>
      <w:pPr>
        <w:spacing w:after="100" w:before="200"/>
      </w:pPr>
      <w:r>
        <w:rPr>
          <w:rFonts w:ascii="Arial" w:cs="Arial" w:eastAsia="Arial" w:hAnsi="Arial"/>
          <w:b/>
          <w:bCs/>
          <w:color w:val="444444"/>
          <w:sz w:val="24"/>
          <w:szCs w:val="24"/>
        </w:rPr>
        <w:t xml:space="preserve">Quantitative Enhancement Data</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Propranolol transdermal flux:</w:t>
      </w:r>
      <w:r>
        <w:rPr>
          <w:rFonts w:ascii="Arial" w:cs="Arial" w:eastAsia="Arial" w:hAnsi="Arial"/>
          <w:sz w:val="22"/>
          <w:szCs w:val="22"/>
        </w:rPr>
        <w:t xml:space="preserve"> 73-fold enhancement in vitro with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Dapiprazole (miotic agent):</w:t>
      </w:r>
      <w:r>
        <w:rPr>
          <w:rFonts w:ascii="Arial" w:cs="Arial" w:eastAsia="Arial" w:hAnsi="Arial"/>
          <w:sz w:val="22"/>
          <w:szCs w:val="22"/>
        </w:rPr>
        <w:t xml:space="preserve"> Significant permeability coefficient promotion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Synergy with propylene glycol:</w:t>
      </w:r>
      <w:r>
        <w:rPr>
          <w:rFonts w:ascii="Arial" w:cs="Arial" w:eastAsia="Arial" w:hAnsi="Arial"/>
          <w:sz w:val="22"/>
          <w:szCs w:val="22"/>
        </w:rPr>
        <w:t xml:space="preserve"> Additive/synergistic effects with other penetration enhancers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Safe concentration:</w:t>
      </w:r>
      <w:r>
        <w:rPr>
          <w:rFonts w:ascii="Arial" w:cs="Arial" w:eastAsia="Arial" w:hAnsi="Arial"/>
          <w:sz w:val="22"/>
          <w:szCs w:val="22"/>
        </w:rPr>
        <w:t xml:space="preserve"> 0.1–1% in leave-on cosmetic formulations; approved by Cosmetic Ingredient Review Panel</w:t>
      </w:r>
    </w:p>
    <w:p>
      <w:pPr>
        <w:spacing w:after="120" w:line="300"/>
      </w:pPr>
      <w:r>
        <w:rPr>
          <w:rFonts w:ascii="Arial" w:cs="Arial" w:eastAsia="Arial" w:hAnsi="Arial"/>
          <w:b/>
          <w:bCs/>
          <w:sz w:val="22"/>
          <w:szCs w:val="22"/>
        </w:rPr>
        <w:t xml:space="preserve">Pre-Loading Hypothesis:</w:t>
      </w:r>
    </w:p>
    <w:p>
      <w:pPr>
        <w:spacing w:after="120" w:line="300"/>
      </w:pPr>
      <w:r>
        <w:rPr>
          <w:rFonts w:ascii="Arial" w:cs="Arial" w:eastAsia="Arial" w:hAnsi="Arial"/>
          <w:sz w:val="22"/>
          <w:szCs w:val="22"/>
        </w:rPr>
        <w:t xml:space="preserve">Inhalation of bisabolol 15–30 min before cannabis may not directly enhance THC/CBD skin absorption, but primes dermal/mucosal tissue with a penetration-enhancing microenvironment, potentially increasing cannabinoid contact time with epithelial receptors.</w:t>
      </w:r>
    </w:p>
    <w:p>
      <w:pPr>
        <w:pStyle w:val="Heading2"/>
        <w:spacing w:after="120" w:before="240"/>
      </w:pPr>
      <w:r>
        <w:rPr>
          <w:rFonts w:ascii="Arial" w:cs="Arial" w:eastAsia="Arial" w:hAnsi="Arial"/>
          <w:b/>
          <w:bCs/>
          <w:color w:val="333333"/>
          <w:sz w:val="26"/>
          <w:szCs w:val="26"/>
        </w:rPr>
        <w:t xml:space="preserve">4.3 Anti-Nociceptive (Analgesic) Effects</w:t>
      </w:r>
    </w:p>
    <w:p>
      <w:pPr>
        <w:spacing w:after="100" w:before="200"/>
      </w:pPr>
      <w:r>
        <w:rPr>
          <w:rFonts w:ascii="Arial" w:cs="Arial" w:eastAsia="Arial" w:hAnsi="Arial"/>
          <w:b/>
          <w:bCs/>
          <w:color w:val="444444"/>
          <w:sz w:val="24"/>
          <w:szCs w:val="24"/>
        </w:rPr>
        <w:t xml:space="preserve">Visceral Pain &amp; Nociception Reduction</w:t>
      </w:r>
    </w:p>
    <w:p>
      <w:pPr>
        <w:spacing w:after="120" w:line="300"/>
      </w:pPr>
      <w:r>
        <w:rPr>
          <w:rFonts w:ascii="Arial" w:cs="Arial" w:eastAsia="Arial" w:hAnsi="Arial"/>
          <w:b/>
          <w:bCs/>
          <w:sz w:val="22"/>
          <w:szCs w:val="22"/>
        </w:rPr>
        <w:t xml:space="preserve">Key Studies: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Rocha, M.D., et al. "Anti-nociceptive and anti-inflammatory activities of (-)-α-bisabolol in rodents." *J. Med. Food* 14.11 (2011): 1331–1339.</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Ortiz, M.I., et al. "(-)-α-Bisabolol attenuates visceral nociception and inflammation in mice." *Phytother. Res.* 24.12 (2010): 1823–1828.</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Ortiz, M.I., et al. "Pharmacological interaction of α-bisabolol and diclofenac on nociception, inflammation, and gastric integrity in rats." *Drug Dev. Res* 79.7 (2018): 341–349.</w:t>
      </w:r>
    </w:p>
    <w:p>
      <w:pPr>
        <w:spacing w:after="100" w:before="200"/>
      </w:pPr>
      <w:r>
        <w:rPr>
          <w:rFonts w:ascii="Arial" w:cs="Arial" w:eastAsia="Arial" w:hAnsi="Arial"/>
          <w:b/>
          <w:bCs/>
          <w:color w:val="444444"/>
          <w:sz w:val="24"/>
          <w:szCs w:val="24"/>
        </w:rPr>
        <w:t xml:space="preserve">Mechanisms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Decreases leukocyte migration &amp; TNF-α</w:t>
      </w:r>
      <w:r>
        <w:rPr>
          <w:rFonts w:ascii="Arial" w:cs="Arial" w:eastAsia="Arial" w:hAnsi="Arial"/>
          <w:sz w:val="22"/>
          <w:szCs w:val="22"/>
        </w:rPr>
        <w:t xml:space="preserve"> in peritoneal cavity (carrageenan model)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Inhibits nerve excitability:</w:t>
      </w:r>
      <w:r>
        <w:rPr>
          <w:rFonts w:ascii="Arial" w:cs="Arial" w:eastAsia="Arial" w:hAnsi="Arial"/>
          <w:sz w:val="22"/>
          <w:szCs w:val="22"/>
        </w:rPr>
        <w:t xml:space="preserve"> Blocks voltage-dependent sodium channels (similar to lidocaine mechanism)</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Calcium channel inhibition:</w:t>
      </w:r>
      <w:r>
        <w:rPr>
          <w:rFonts w:ascii="Arial" w:cs="Arial" w:eastAsia="Arial" w:hAnsi="Arial"/>
          <w:sz w:val="22"/>
          <w:szCs w:val="22"/>
        </w:rPr>
        <w:t xml:space="preserve"> Blocks Cav3.2 (T-type) calcium channels involved in nociception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Receptor-independent:</w:t>
      </w:r>
      <w:r>
        <w:rPr>
          <w:rFonts w:ascii="Arial" w:cs="Arial" w:eastAsia="Arial" w:hAnsi="Arial"/>
          <w:sz w:val="22"/>
          <w:szCs w:val="22"/>
        </w:rPr>
        <w:t xml:space="preserve"> Effects NOT mediated via: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Nitric oxide (NO/eNOS)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α₂-Adrenergic receptors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K-ATP channels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5-HT₃ receptors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TRPV1 receptors</w:t>
      </w:r>
    </w:p>
    <w:p>
      <w:pPr>
        <w:spacing w:after="100" w:before="200"/>
      </w:pPr>
      <w:r>
        <w:rPr>
          <w:rFonts w:ascii="Arial" w:cs="Arial" w:eastAsia="Arial" w:hAnsi="Arial"/>
          <w:b/>
          <w:bCs/>
          <w:color w:val="444444"/>
          <w:sz w:val="24"/>
          <w:szCs w:val="24"/>
        </w:rPr>
        <w:t xml:space="preserve">Pain Model Evidence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Visceral pain (acetic acid writhing):</w:t>
      </w:r>
      <w:r>
        <w:rPr>
          <w:rFonts w:ascii="Arial" w:cs="Arial" w:eastAsia="Arial" w:hAnsi="Arial"/>
          <w:sz w:val="22"/>
          <w:szCs w:val="22"/>
        </w:rPr>
        <w:t xml:space="preserve"> Significant antinociception at 10–100 mg/kg (oral mouse models)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Formalin-induced nociception:</w:t>
      </w:r>
      <w:r>
        <w:rPr>
          <w:rFonts w:ascii="Arial" w:cs="Arial" w:eastAsia="Arial" w:hAnsi="Arial"/>
          <w:sz w:val="22"/>
          <w:szCs w:val="22"/>
        </w:rPr>
        <w:t xml:space="preserve"> Effective in both acute (phase 1, neurogenic pain) and inflammatory (phase 2) phases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Non-dose-dependent in some models:</w:t>
      </w:r>
      <w:r>
        <w:rPr>
          <w:rFonts w:ascii="Arial" w:cs="Arial" w:eastAsia="Arial" w:hAnsi="Arial"/>
          <w:sz w:val="22"/>
          <w:szCs w:val="22"/>
        </w:rPr>
        <w:t xml:space="preserve"> Suggests plateau effect or independent mechanisms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Peripheral mechanism:</w:t>
      </w:r>
      <w:r>
        <w:rPr>
          <w:rFonts w:ascii="Arial" w:cs="Arial" w:eastAsia="Arial" w:hAnsi="Arial"/>
          <w:sz w:val="22"/>
          <w:szCs w:val="22"/>
        </w:rPr>
        <w:t xml:space="preserve"> NOT a central analgesic; does not cross blood-brain barrier significantly at pain-relief doses</w:t>
      </w:r>
    </w:p>
    <w:p>
      <w:pPr>
        <w:pStyle w:val="Heading2"/>
        <w:spacing w:after="120" w:before="240"/>
      </w:pPr>
      <w:r>
        <w:rPr>
          <w:rFonts w:ascii="Arial" w:cs="Arial" w:eastAsia="Arial" w:hAnsi="Arial"/>
          <w:b/>
          <w:bCs/>
          <w:color w:val="333333"/>
          <w:sz w:val="26"/>
          <w:szCs w:val="26"/>
        </w:rPr>
        <w:t xml:space="preserve">4.4 Neuroprotection &amp; GABA Modulation</w:t>
      </w:r>
    </w:p>
    <w:p>
      <w:pPr>
        <w:spacing w:after="100" w:before="200"/>
      </w:pPr>
      <w:r>
        <w:rPr>
          <w:rFonts w:ascii="Arial" w:cs="Arial" w:eastAsia="Arial" w:hAnsi="Arial"/>
          <w:b/>
          <w:bCs/>
          <w:color w:val="444444"/>
          <w:sz w:val="24"/>
          <w:szCs w:val="24"/>
        </w:rPr>
        <w:t xml:space="preserve">Recent Evidence (2025)</w:t>
      </w:r>
    </w:p>
    <w:p>
      <w:pPr>
        <w:spacing w:after="120" w:line="300"/>
      </w:pPr>
      <w:r>
        <w:rPr>
          <w:rFonts w:ascii="Arial" w:cs="Arial" w:eastAsia="Arial" w:hAnsi="Arial"/>
          <w:b/>
          <w:bCs/>
          <w:sz w:val="22"/>
          <w:szCs w:val="22"/>
        </w:rPr>
        <w:t xml:space="preserve">Study:</w:t>
      </w:r>
      <w:r>
        <w:rPr>
          <w:rFonts w:ascii="Arial" w:cs="Arial" w:eastAsia="Arial" w:hAnsi="Arial"/>
          <w:sz w:val="22"/>
          <w:szCs w:val="22"/>
        </w:rPr>
        <w:t xml:space="preserve"> "α-Bisabolol alleviates doxorubicin-induced cognitive dysfunction in rats via enhancing the hippocampal BDNF/TrKB signaling and inhibiting neuroinflammation." *Frontiers Pharmacol.* (2025).</w:t>
      </w:r>
    </w:p>
    <w:p>
      <w:pPr>
        <w:spacing w:after="100" w:before="200"/>
      </w:pPr>
      <w:r>
        <w:rPr>
          <w:rFonts w:ascii="Arial" w:cs="Arial" w:eastAsia="Arial" w:hAnsi="Arial"/>
          <w:b/>
          <w:bCs/>
          <w:color w:val="444444"/>
          <w:sz w:val="24"/>
          <w:szCs w:val="24"/>
        </w:rPr>
        <w:t xml:space="preserve">Key Findings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Neurotransmitter Profile Changes: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GABA levels (marked elevation)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Acetylcholine (Ch)</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Serotonin (5-HT)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Dopamine (DA)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Glutamate (excitotoxic mediator)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Acetylcholinesterase activity (preserves acetylcholine)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Synaptic Plasticity Factors: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BDNF (brain-derived neurotrophic factor) — dose-dependent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TrKB (tropomyosin receptor kinase B) — complete restoration to control at 100 mg/kg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Restoration at 50–100 mg/kg oral dose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Anti-inflammatory CNS Effects: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Inhibits neuroinflammation (mechanism unclear; likely NF-κB/MAPK-related)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Protects against doxorubicin-induced cognitive dysfunction in rodent models</w:t>
      </w:r>
    </w:p>
    <w:p>
      <w:pPr>
        <w:spacing w:after="100" w:before="200"/>
      </w:pPr>
      <w:r>
        <w:rPr>
          <w:rFonts w:ascii="Arial" w:cs="Arial" w:eastAsia="Arial" w:hAnsi="Arial"/>
          <w:b/>
          <w:bCs/>
          <w:color w:val="444444"/>
          <w:sz w:val="24"/>
          <w:szCs w:val="24"/>
        </w:rPr>
        <w:t xml:space="preserve">GABA Receptor Direct Interaction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No direct GABA₍A₎ receptor binding data</w:t>
      </w:r>
      <w:r>
        <w:rPr>
          <w:rFonts w:ascii="Arial" w:cs="Arial" w:eastAsia="Arial" w:hAnsi="Arial"/>
          <w:sz w:val="22"/>
          <w:szCs w:val="22"/>
        </w:rPr>
        <w:t xml:space="preserve"> found in literature for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Indirect GABA elevation</w:t>
      </w:r>
      <w:r>
        <w:rPr>
          <w:rFonts w:ascii="Arial" w:cs="Arial" w:eastAsia="Arial" w:hAnsi="Arial"/>
          <w:sz w:val="22"/>
          <w:szCs w:val="22"/>
        </w:rPr>
        <w:t xml:space="preserve"> may occur via: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Reduced glutamate (less excitotoxic competition)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Enhanced GABA synthesis (upstream gene expression)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Reduced GABA metabolism (monoamine oxidase inhibition?)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Increased GABA reuptake suppression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Neuroprotective context:</w:t>
      </w:r>
      <w:r>
        <w:rPr>
          <w:rFonts w:ascii="Arial" w:cs="Arial" w:eastAsia="Arial" w:hAnsi="Arial"/>
          <w:sz w:val="22"/>
          <w:szCs w:val="22"/>
        </w:rPr>
        <w:t xml:space="preserve"> GABA₍A₎ activation has known neuroprotective roles in transient ischemia and anoxic injury</w:t>
      </w:r>
    </w:p>
    <w:p>
      <w:pPr>
        <w:spacing w:after="120" w:line="300"/>
      </w:pPr>
      <w:r>
        <w:rPr>
          <w:rFonts w:ascii="Arial" w:cs="Arial" w:eastAsia="Arial" w:hAnsi="Arial"/>
          <w:b/>
          <w:bCs/>
          <w:sz w:val="22"/>
          <w:szCs w:val="22"/>
        </w:rPr>
        <w:t xml:space="preserve">Pre-Loading Implication:</w:t>
      </w:r>
    </w:p>
    <w:p>
      <w:pPr>
        <w:spacing w:after="120" w:line="300"/>
      </w:pPr>
      <w:r>
        <w:rPr>
          <w:rFonts w:ascii="Arial" w:cs="Arial" w:eastAsia="Arial" w:hAnsi="Arial"/>
          <w:sz w:val="22"/>
          <w:szCs w:val="22"/>
        </w:rPr>
        <w:t xml:space="preserve">Inhaled bisabolol may prime GABAergic tone systemically; when combined with cannabinoid-induced CB₁/CB₂ signaling, could enhance anxiolytic and pain-relief effects.</w:t>
      </w:r>
    </w:p>
    <w:p>
      <w:pPr>
        <w:pStyle w:val="Heading2"/>
        <w:spacing w:after="120" w:before="240"/>
      </w:pPr>
      <w:r>
        <w:rPr>
          <w:rFonts w:ascii="Arial" w:cs="Arial" w:eastAsia="Arial" w:hAnsi="Arial"/>
          <w:b/>
          <w:bCs/>
          <w:color w:val="333333"/>
          <w:sz w:val="26"/>
          <w:szCs w:val="26"/>
        </w:rPr>
        <w:t xml:space="preserve">4.5 Antimicrobial Activity</w:t>
      </w:r>
    </w:p>
    <w:p>
      <w:pPr>
        <w:spacing w:after="100" w:before="200"/>
      </w:pPr>
      <w:r>
        <w:rPr>
          <w:rFonts w:ascii="Arial" w:cs="Arial" w:eastAsia="Arial" w:hAnsi="Arial"/>
          <w:b/>
          <w:bCs/>
          <w:color w:val="444444"/>
          <w:sz w:val="24"/>
          <w:szCs w:val="24"/>
        </w:rPr>
        <w:t xml:space="preserve">Spectrum</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Antibacterial: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Staphylococcus aureus (inhibitory)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Escherichia coli (inhibitory + enhanced sensitivity to antibiotics when combined with β-farnesene, nerolidol)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Some resistant strains exhibit sensitization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Fungicidal: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Candida albicans (fungicidal activity)</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Mechanism (proposed):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Cell membrane disruption (lipophilic nature)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Potential ROS (reactive oxygen species) generation in microbial cells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Not well-characterized at molecular level</w:t>
      </w:r>
    </w:p>
    <w:p>
      <w:pPr>
        <w:spacing w:after="100" w:before="200"/>
      </w:pPr>
      <w:r>
        <w:rPr>
          <w:rFonts w:ascii="Arial" w:cs="Arial" w:eastAsia="Arial" w:hAnsi="Arial"/>
          <w:b/>
          <w:bCs/>
          <w:color w:val="444444"/>
          <w:sz w:val="24"/>
          <w:szCs w:val="24"/>
        </w:rPr>
        <w:t xml:space="preserve">Cosmetic &amp; Wound Context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Used as antimicrobial preservative alternative in formulations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Combines antimicrobial action with tissue-healing promotion (synergy)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At 0.1–1% concentrations, safe for dermal microbiome balance</w:t>
      </w:r>
    </w:p>
    <w:p>
      <w:pPr>
        <w:pStyle w:val="Heading2"/>
        <w:spacing w:after="120" w:before="240"/>
      </w:pPr>
      <w:r>
        <w:rPr>
          <w:rFonts w:ascii="Arial" w:cs="Arial" w:eastAsia="Arial" w:hAnsi="Arial"/>
          <w:b/>
          <w:bCs/>
          <w:color w:val="333333"/>
          <w:sz w:val="26"/>
          <w:szCs w:val="26"/>
        </w:rPr>
        <w:t xml:space="preserve">4.6 Wound Healing Promotion</w:t>
      </w:r>
    </w:p>
    <w:p>
      <w:pPr>
        <w:spacing w:after="100" w:before="200"/>
      </w:pPr>
      <w:r>
        <w:rPr>
          <w:rFonts w:ascii="Arial" w:cs="Arial" w:eastAsia="Arial" w:hAnsi="Arial"/>
          <w:b/>
          <w:bCs/>
          <w:color w:val="444444"/>
          <w:sz w:val="24"/>
          <w:szCs w:val="24"/>
        </w:rPr>
        <w:t xml:space="preserve">Fibroblast-Mediated Collagen Synthesis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Increases FGF signaling</w:t>
      </w:r>
      <w:r>
        <w:rPr>
          <w:rFonts w:ascii="Arial" w:cs="Arial" w:eastAsia="Arial" w:hAnsi="Arial"/>
          <w:sz w:val="22"/>
          <w:szCs w:val="22"/>
        </w:rPr>
        <w:t xml:space="preserve"> → fibroblast proliferation &amp; migration to wound site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Promotes keratinocyte migration</w:t>
      </w:r>
      <w:r>
        <w:rPr>
          <w:rFonts w:ascii="Arial" w:cs="Arial" w:eastAsia="Arial" w:hAnsi="Arial"/>
          <w:sz w:val="22"/>
          <w:szCs w:val="22"/>
        </w:rPr>
        <w:t xml:space="preserve"> → epithelialization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Collagen/elastin synthesis</w:t>
      </w:r>
      <w:r>
        <w:rPr>
          <w:rFonts w:ascii="Arial" w:cs="Arial" w:eastAsia="Arial" w:hAnsi="Arial"/>
          <w:sz w:val="22"/>
          <w:szCs w:val="22"/>
        </w:rPr>
        <w:t xml:space="preserve"> → scar tissue formation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Reduces oxidative stress</w:t>
      </w:r>
      <w:r>
        <w:rPr>
          <w:rFonts w:ascii="Arial" w:cs="Arial" w:eastAsia="Arial" w:hAnsi="Arial"/>
          <w:sz w:val="22"/>
          <w:szCs w:val="22"/>
        </w:rPr>
        <w:t xml:space="preserve"> → optimal healing microenvironment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Anti-inflammatory priming</w:t>
      </w:r>
      <w:r>
        <w:rPr>
          <w:rFonts w:ascii="Arial" w:cs="Arial" w:eastAsia="Arial" w:hAnsi="Arial"/>
          <w:sz w:val="22"/>
          <w:szCs w:val="22"/>
        </w:rPr>
        <w:t xml:space="preserve"> → controlled inflammation phase</w:t>
      </w:r>
    </w:p>
    <w:p>
      <w:pPr>
        <w:spacing w:after="100" w:before="200"/>
      </w:pPr>
      <w:r>
        <w:rPr>
          <w:rFonts w:ascii="Arial" w:cs="Arial" w:eastAsia="Arial" w:hAnsi="Arial"/>
          <w:b/>
          <w:bCs/>
          <w:color w:val="444444"/>
          <w:sz w:val="24"/>
          <w:szCs w:val="24"/>
        </w:rPr>
        <w:t xml:space="preserve">Clinical Evidence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Topical bisabolol-containing formulations reduce severity of eczema/atopic dermatitis in children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8-week dermatological safety: No burning, erythema, or pruritus at 0.5% in creams on pigmented skin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Histological improvements: Reduced epidermal thickness, inhibited mast cell infiltration in AD-like lesions</w:t>
      </w:r>
    </w:p>
    <w:p>
      <w:pPr>
        <w:pStyle w:val="Heading2"/>
        <w:spacing w:after="120" w:before="240"/>
      </w:pPr>
      <w:r>
        <w:rPr>
          <w:rFonts w:ascii="Arial" w:cs="Arial" w:eastAsia="Arial" w:hAnsi="Arial"/>
          <w:b/>
          <w:bCs/>
          <w:color w:val="333333"/>
          <w:sz w:val="26"/>
          <w:szCs w:val="26"/>
        </w:rPr>
        <w:t xml:space="preserve">4.7 Atopic Dermatitis &amp; Mast Cell Inhibition</w:t>
      </w:r>
    </w:p>
    <w:p>
      <w:pPr>
        <w:spacing w:after="100" w:before="200"/>
      </w:pPr>
      <w:r>
        <w:rPr>
          <w:rFonts w:ascii="Arial" w:cs="Arial" w:eastAsia="Arial" w:hAnsi="Arial"/>
          <w:b/>
          <w:bCs/>
          <w:color w:val="444444"/>
          <w:sz w:val="24"/>
          <w:szCs w:val="24"/>
        </w:rPr>
        <w:t xml:space="preserve">Mechanism in AD-like Inflammation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Blocks MAPK signaling</w:t>
      </w:r>
      <w:r>
        <w:rPr>
          <w:rFonts w:ascii="Arial" w:cs="Arial" w:eastAsia="Arial" w:hAnsi="Arial"/>
          <w:sz w:val="22"/>
          <w:szCs w:val="22"/>
        </w:rPr>
        <w:t xml:space="preserve"> in mast cells → reduced IL-4 release (without IgE production)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Inhibits NF-κB</w:t>
      </w:r>
      <w:r>
        <w:rPr>
          <w:rFonts w:ascii="Arial" w:cs="Arial" w:eastAsia="Arial" w:hAnsi="Arial"/>
          <w:sz w:val="22"/>
          <w:szCs w:val="22"/>
        </w:rPr>
        <w:t xml:space="preserve"> → suppresses pro-inflammatory transcription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Reduces mast cell degranulation</w:t>
      </w:r>
      <w:r>
        <w:rPr>
          <w:rFonts w:ascii="Arial" w:cs="Arial" w:eastAsia="Arial" w:hAnsi="Arial"/>
          <w:sz w:val="22"/>
          <w:szCs w:val="22"/>
        </w:rPr>
        <w:t xml:space="preserve"> → fewer inflammatory mediators (histamine, tryptase, TNF-α)</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Clinical outcome:</w:t>
      </w:r>
      <w:r>
        <w:rPr>
          <w:rFonts w:ascii="Arial" w:cs="Arial" w:eastAsia="Arial" w:hAnsi="Arial"/>
          <w:sz w:val="22"/>
          <w:szCs w:val="22"/>
        </w:rPr>
        <w:t xml:space="preserve"> Reduced AD-like symptoms in DNCB-sensitized mouse models; human eczema severity reduction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5. CLINICAL EVIDENCE &amp; HUMAN STUDIES</w:t>
      </w:r>
    </w:p>
    <w:p>
      <w:pPr>
        <w:pStyle w:val="Heading2"/>
        <w:spacing w:after="120" w:before="240"/>
      </w:pPr>
      <w:r>
        <w:rPr>
          <w:rFonts w:ascii="Arial" w:cs="Arial" w:eastAsia="Arial" w:hAnsi="Arial"/>
          <w:b/>
          <w:bCs/>
          <w:color w:val="333333"/>
          <w:sz w:val="26"/>
          <w:szCs w:val="26"/>
        </w:rPr>
        <w:t xml:space="preserve">5.1 Dermatological Studies</w:t>
      </w:r>
    </w:p>
    <w:p>
      <w:pPr>
        <w:spacing w:after="100" w:before="200"/>
      </w:pPr>
      <w:r>
        <w:rPr>
          <w:rFonts w:ascii="Arial" w:cs="Arial" w:eastAsia="Arial" w:hAnsi="Arial"/>
          <w:b/>
          <w:bCs/>
          <w:color w:val="444444"/>
          <w:sz w:val="24"/>
          <w:szCs w:val="24"/>
        </w:rPr>
        <w:t xml:space="preserve">Skin Soothing &amp; Anti-Irritancy</w:t>
      </w:r>
    </w:p>
    <w:p>
      <w:pPr>
        <w:spacing w:after="120" w:line="300"/>
      </w:pPr>
      <w:r>
        <w:rPr>
          <w:rFonts w:ascii="Arial" w:cs="Arial" w:eastAsia="Arial" w:hAnsi="Arial"/>
          <w:b/>
          <w:bCs/>
          <w:sz w:val="22"/>
          <w:szCs w:val="22"/>
        </w:rPr>
        <w:t xml:space="preserve">Population:</w:t>
      </w:r>
      <w:r>
        <w:rPr>
          <w:rFonts w:ascii="Arial" w:cs="Arial" w:eastAsia="Arial" w:hAnsi="Arial"/>
          <w:sz w:val="22"/>
          <w:szCs w:val="22"/>
        </w:rPr>
        <w:t xml:space="preserve"> Adults and children with eczema/atopic dermatitis symptoms</w:t>
      </w:r>
    </w:p>
    <w:p>
      <w:pPr>
        <w:spacing w:after="120" w:line="300"/>
      </w:pPr>
      <w:r>
        <w:rPr>
          <w:rFonts w:ascii="Arial" w:cs="Arial" w:eastAsia="Arial" w:hAnsi="Arial"/>
          <w:b/>
          <w:bCs/>
          <w:sz w:val="22"/>
          <w:szCs w:val="22"/>
        </w:rPr>
        <w:t xml:space="preserve">Study Design: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Topical application of bisabolol-containing cream (0.5%)</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8-week duration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Endpoint: Clinical improvement, adverse reaction monitoring</w:t>
      </w:r>
    </w:p>
    <w:p>
      <w:pPr>
        <w:spacing w:after="120" w:line="300"/>
      </w:pPr>
      <w:r>
        <w:rPr>
          <w:rFonts w:ascii="Arial" w:cs="Arial" w:eastAsia="Arial" w:hAnsi="Arial"/>
          <w:b/>
          <w:bCs/>
          <w:sz w:val="22"/>
          <w:szCs w:val="22"/>
        </w:rPr>
        <w:t xml:space="preserve">Results: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Improved inflammatory status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Reduced eczema severity score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Safety:</w:t>
      </w:r>
      <w:r>
        <w:rPr>
          <w:rFonts w:ascii="Arial" w:cs="Arial" w:eastAsia="Arial" w:hAnsi="Arial"/>
          <w:sz w:val="22"/>
          <w:szCs w:val="22"/>
        </w:rPr>
        <w:t xml:space="preserve"> Zero adverse events (no burning, erythema, pruritus)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Tolerability:</w:t>
      </w:r>
      <w:r>
        <w:rPr>
          <w:rFonts w:ascii="Arial" w:cs="Arial" w:eastAsia="Arial" w:hAnsi="Arial"/>
          <w:sz w:val="22"/>
          <w:szCs w:val="22"/>
        </w:rPr>
        <w:t xml:space="preserve"> Excellent across age groups</w:t>
      </w:r>
    </w:p>
    <w:p>
      <w:pPr>
        <w:spacing w:after="120" w:line="300"/>
      </w:pPr>
      <w:r>
        <w:rPr>
          <w:rFonts w:ascii="Arial" w:cs="Arial" w:eastAsia="Arial" w:hAnsi="Arial"/>
          <w:b/>
          <w:bCs/>
          <w:sz w:val="22"/>
          <w:szCs w:val="22"/>
        </w:rPr>
        <w:t xml:space="preserve">CIR Panel Assessment (Cosmetic Ingredient Review):</w:t>
      </w:r>
    </w:p>
    <w:p>
      <w:pPr>
        <w:spacing w:after="120" w:line="300"/>
      </w:pPr>
      <w:r>
        <w:rPr>
          <w:rFonts w:ascii="Arial" w:cs="Arial" w:eastAsia="Arial" w:hAnsi="Arial"/>
          <w:sz w:val="22"/>
          <w:szCs w:val="22"/>
        </w:rPr>
        <w:t xml:space="preserve">"Bisabolol is safe as used in cosmetics and personal care products" (January 1997 data: 184 products).</w:t>
      </w:r>
    </w:p>
    <w:p>
      <w:pPr>
        <w:spacing w:after="100" w:before="200"/>
      </w:pPr>
      <w:r>
        <w:rPr>
          <w:rFonts w:ascii="Arial" w:cs="Arial" w:eastAsia="Arial" w:hAnsi="Arial"/>
          <w:b/>
          <w:bCs/>
          <w:color w:val="444444"/>
          <w:sz w:val="24"/>
          <w:szCs w:val="24"/>
        </w:rPr>
        <w:t xml:space="preserve">Skin Penetration Enhancement Studies</w:t>
      </w:r>
    </w:p>
    <w:p>
      <w:pPr>
        <w:spacing w:after="120" w:line="300"/>
      </w:pPr>
      <w:r>
        <w:rPr>
          <w:rFonts w:ascii="Arial" w:cs="Arial" w:eastAsia="Arial" w:hAnsi="Arial"/>
          <w:b/>
          <w:bCs/>
          <w:sz w:val="22"/>
          <w:szCs w:val="22"/>
        </w:rPr>
        <w:t xml:space="preserve">In Vitro Models: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Franz diffusion cells, excised human skin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Enhanced transdermal flux of model drugs (propranolol, dapiprazole, etc.)</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(-)-α-Bisabolol 2× more effective than (±)-racemic mixture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Synergy with propylene glycol demonstrated</w:t>
      </w:r>
    </w:p>
    <w:p>
      <w:pPr>
        <w:spacing w:after="120" w:line="300"/>
      </w:pPr>
      <w:r>
        <w:rPr>
          <w:rFonts w:ascii="Arial" w:cs="Arial" w:eastAsia="Arial" w:hAnsi="Arial"/>
          <w:b/>
          <w:bCs/>
          <w:sz w:val="22"/>
          <w:szCs w:val="22"/>
        </w:rPr>
        <w:t xml:space="preserve">Natural vs. Synthetic Comparison: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Natural (-)-α-bisabolol (≥95% active isomer): 950 mg active per 1 kg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Synthetic (±)-bisabolol (racemic): ~425 mg active per 1 kg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Efficacy ratio:</w:t>
      </w:r>
      <w:r>
        <w:rPr>
          <w:rFonts w:ascii="Arial" w:cs="Arial" w:eastAsia="Arial" w:hAnsi="Arial"/>
          <w:sz w:val="22"/>
          <w:szCs w:val="22"/>
        </w:rPr>
        <w:t xml:space="preserve"> Natural ≈ 2.24× synthetic on active-principle basis</w:t>
      </w:r>
    </w:p>
    <w:p>
      <w:pPr>
        <w:pStyle w:val="Heading2"/>
        <w:spacing w:after="120" w:before="240"/>
      </w:pPr>
      <w:r>
        <w:rPr>
          <w:rFonts w:ascii="Arial" w:cs="Arial" w:eastAsia="Arial" w:hAnsi="Arial"/>
          <w:b/>
          <w:bCs/>
          <w:color w:val="333333"/>
          <w:sz w:val="26"/>
          <w:szCs w:val="26"/>
        </w:rPr>
        <w:t xml:space="preserve">5.2 Gastroprotection Studies (Animal Models)</w:t>
      </w:r>
    </w:p>
    <w:p>
      <w:pPr>
        <w:spacing w:after="100" w:before="200"/>
      </w:pPr>
      <w:r>
        <w:rPr>
          <w:rFonts w:ascii="Arial" w:cs="Arial" w:eastAsia="Arial" w:hAnsi="Arial"/>
          <w:b/>
          <w:bCs/>
          <w:color w:val="444444"/>
          <w:sz w:val="24"/>
          <w:szCs w:val="24"/>
        </w:rPr>
        <w:t xml:space="preserve">Acute Ethanol-Induced Gastric Lesions (Mice)</w:t>
      </w:r>
    </w:p>
    <w:p>
      <w:pPr>
        <w:spacing w:after="120" w:line="300"/>
      </w:pPr>
      <w:r>
        <w:rPr>
          <w:rFonts w:ascii="Arial" w:cs="Arial" w:eastAsia="Arial" w:hAnsi="Arial"/>
          <w:b/>
          <w:bCs/>
          <w:sz w:val="22"/>
          <w:szCs w:val="22"/>
        </w:rPr>
        <w:t xml:space="preserve">Methodology: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Oral or intraperitoneal bisabolol dosing (10–100 mg/kg)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Acute ethanol challenge (absolute ethanol, 5 mL/kg)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Endpoint: Gastric mucosal damage area, biochemical markers</w:t>
      </w:r>
    </w:p>
    <w:p>
      <w:pPr>
        <w:spacing w:after="120" w:line="300"/>
      </w:pPr>
      <w:r>
        <w:rPr>
          <w:rFonts w:ascii="Arial" w:cs="Arial" w:eastAsia="Arial" w:hAnsi="Arial"/>
          <w:b/>
          <w:bCs/>
          <w:sz w:val="22"/>
          <w:szCs w:val="22"/>
        </w:rPr>
        <w:t xml:space="preserve">Results: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Dose-dependent reduction</w:t>
      </w:r>
      <w:r>
        <w:rPr>
          <w:rFonts w:ascii="Arial" w:cs="Arial" w:eastAsia="Arial" w:hAnsi="Arial"/>
          <w:sz w:val="22"/>
          <w:szCs w:val="22"/>
        </w:rPr>
        <w:t xml:space="preserve"> in lesion area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Malondialdehyde (MDA) — lipid peroxidation marker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Superoxide dismutase (SOD) — antioxidant enzyme activity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 Neutrophil infiltration into gastric lamina propria</w:t>
      </w:r>
    </w:p>
    <w:p>
      <w:pPr>
        <w:spacing w:after="120" w:line="300"/>
      </w:pPr>
      <w:r>
        <w:rPr>
          <w:rFonts w:ascii="Arial" w:cs="Arial" w:eastAsia="Arial" w:hAnsi="Arial"/>
          <w:b/>
          <w:bCs/>
          <w:sz w:val="22"/>
          <w:szCs w:val="22"/>
        </w:rPr>
        <w:t xml:space="preserve">Mechanism:</w:t>
      </w:r>
      <w:r>
        <w:rPr>
          <w:rFonts w:ascii="Arial" w:cs="Arial" w:eastAsia="Arial" w:hAnsi="Arial"/>
          <w:sz w:val="22"/>
          <w:szCs w:val="22"/>
        </w:rPr>
        <w:t xml:space="preserve"> Antioxidant + anti-inflammatory, NOT acid suppression</w:t>
      </w:r>
    </w:p>
    <w:p>
      <w:pPr>
        <w:spacing w:after="120" w:line="300"/>
      </w:pPr>
      <w:r>
        <w:rPr>
          <w:rFonts w:ascii="Arial" w:cs="Arial" w:eastAsia="Arial" w:hAnsi="Arial"/>
          <w:b/>
          <w:bCs/>
          <w:sz w:val="22"/>
          <w:szCs w:val="22"/>
        </w:rPr>
        <w:t xml:space="preserve">Ref:</w:t>
      </w:r>
      <w:r>
        <w:rPr>
          <w:rFonts w:ascii="Arial" w:cs="Arial" w:eastAsia="Arial" w:hAnsi="Arial"/>
          <w:sz w:val="22"/>
          <w:szCs w:val="22"/>
        </w:rPr>
        <w:t xml:space="preserve"> Rocha, M.D., et al. "Gastroprotection of (-)-α-bisabolol on acute gastric mucosal lesions in mice." *Fundam. Clin. Pharmacol.* 23.6 (2009): 745–751.</w:t>
      </w:r>
    </w:p>
    <w:p>
      <w:pPr>
        <w:spacing w:after="100" w:before="200"/>
      </w:pPr>
      <w:r>
        <w:rPr>
          <w:rFonts w:ascii="Arial" w:cs="Arial" w:eastAsia="Arial" w:hAnsi="Arial"/>
          <w:b/>
          <w:bCs/>
          <w:color w:val="444444"/>
          <w:sz w:val="24"/>
          <w:szCs w:val="24"/>
        </w:rPr>
        <w:t xml:space="preserve">Interaction with NSAIDs (Rats)</w:t>
      </w:r>
    </w:p>
    <w:p>
      <w:pPr>
        <w:spacing w:after="120" w:line="300"/>
      </w:pPr>
      <w:r>
        <w:rPr>
          <w:rFonts w:ascii="Arial" w:cs="Arial" w:eastAsia="Arial" w:hAnsi="Arial"/>
          <w:b/>
          <w:bCs/>
          <w:sz w:val="22"/>
          <w:szCs w:val="22"/>
        </w:rPr>
        <w:t xml:space="preserve">Study:</w:t>
      </w:r>
      <w:r>
        <w:rPr>
          <w:rFonts w:ascii="Arial" w:cs="Arial" w:eastAsia="Arial" w:hAnsi="Arial"/>
          <w:sz w:val="22"/>
          <w:szCs w:val="22"/>
        </w:rPr>
        <w:t xml:space="preserve"> Ortiz, M.I., et al. "Pharmacological interaction of α-bisabolol and diclofenac on nociception, inflammation, and gastric integrity in rats." *Drug Dev. Res.* 79.7 (2018).</w:t>
      </w:r>
    </w:p>
    <w:p>
      <w:pPr>
        <w:spacing w:after="120" w:line="300"/>
      </w:pPr>
      <w:r>
        <w:rPr>
          <w:rFonts w:ascii="Arial" w:cs="Arial" w:eastAsia="Arial" w:hAnsi="Arial"/>
          <w:b/>
          <w:bCs/>
          <w:sz w:val="22"/>
          <w:szCs w:val="22"/>
        </w:rPr>
        <w:t xml:space="preserve">Finding:</w:t>
      </w:r>
      <w:r>
        <w:rPr>
          <w:rFonts w:ascii="Arial" w:cs="Arial" w:eastAsia="Arial" w:hAnsi="Arial"/>
          <w:sz w:val="22"/>
          <w:szCs w:val="22"/>
        </w:rPr>
        <w:t xml:space="preserve"> Bisabolol </w:t>
      </w:r>
      <w:r>
        <w:rPr>
          <w:rFonts w:ascii="Arial" w:cs="Arial" w:eastAsia="Arial" w:hAnsi="Arial"/>
          <w:b/>
          <w:bCs/>
          <w:sz w:val="22"/>
          <w:szCs w:val="22"/>
        </w:rPr>
        <w:t xml:space="preserve">synergizes with diclofenac</w:t>
      </w:r>
      <w:r>
        <w:rPr>
          <w:rFonts w:ascii="Arial" w:cs="Arial" w:eastAsia="Arial" w:hAnsi="Arial"/>
          <w:sz w:val="22"/>
          <w:szCs w:val="22"/>
        </w:rPr>
        <w:t xml:space="preserve"> for pain relief while reducing diclofenac-induced gastric ulceration risk. Suggests potential adjuvant role in inflammatory pain management.</w:t>
      </w:r>
    </w:p>
    <w:p>
      <w:pPr>
        <w:pStyle w:val="Heading2"/>
        <w:spacing w:after="120" w:before="240"/>
      </w:pPr>
      <w:r>
        <w:rPr>
          <w:rFonts w:ascii="Arial" w:cs="Arial" w:eastAsia="Arial" w:hAnsi="Arial"/>
          <w:b/>
          <w:bCs/>
          <w:color w:val="333333"/>
          <w:sz w:val="26"/>
          <w:szCs w:val="26"/>
        </w:rPr>
        <w:t xml:space="preserve">5.3 Neuroprotection Studies (Animal Models)</w:t>
      </w:r>
    </w:p>
    <w:p>
      <w:pPr>
        <w:spacing w:after="100" w:before="200"/>
      </w:pPr>
      <w:r>
        <w:rPr>
          <w:rFonts w:ascii="Arial" w:cs="Arial" w:eastAsia="Arial" w:hAnsi="Arial"/>
          <w:b/>
          <w:bCs/>
          <w:color w:val="444444"/>
          <w:sz w:val="24"/>
          <w:szCs w:val="24"/>
        </w:rPr>
        <w:t xml:space="preserve">Doxorubicin-Induced Cognitive Dysfunction (Rats)</w:t>
      </w:r>
    </w:p>
    <w:p>
      <w:pPr>
        <w:spacing w:after="120" w:line="300"/>
      </w:pPr>
      <w:r>
        <w:rPr>
          <w:rFonts w:ascii="Arial" w:cs="Arial" w:eastAsia="Arial" w:hAnsi="Arial"/>
          <w:b/>
          <w:bCs/>
          <w:sz w:val="22"/>
          <w:szCs w:val="22"/>
        </w:rPr>
        <w:t xml:space="preserve">Dosing:</w:t>
      </w:r>
      <w:r>
        <w:rPr>
          <w:rFonts w:ascii="Arial" w:cs="Arial" w:eastAsia="Arial" w:hAnsi="Arial"/>
          <w:sz w:val="22"/>
          <w:szCs w:val="22"/>
        </w:rPr>
        <w:t xml:space="preserve"> 50, 100 mg/kg oral, daily</w:t>
      </w:r>
    </w:p>
    <w:p>
      <w:pPr>
        <w:spacing w:after="120" w:line="300"/>
      </w:pPr>
      <w:r>
        <w:rPr>
          <w:rFonts w:ascii="Arial" w:cs="Arial" w:eastAsia="Arial" w:hAnsi="Arial"/>
          <w:b/>
          <w:bCs/>
          <w:sz w:val="22"/>
          <w:szCs w:val="22"/>
        </w:rPr>
        <w:t xml:space="preserve">Endpoints:</w:t>
      </w:r>
      <w:r>
        <w:rPr>
          <w:rFonts w:ascii="Arial" w:cs="Arial" w:eastAsia="Arial" w:hAnsi="Arial"/>
          <w:sz w:val="22"/>
          <w:szCs w:val="22"/>
        </w:rPr>
        <w:t xml:space="preserve"> Morris water maze (cognition), biochemical markers (GABA, monoamines, BDNF)</w:t>
      </w:r>
    </w:p>
    <w:p>
      <w:pPr>
        <w:spacing w:after="120" w:line="300"/>
      </w:pPr>
      <w:r>
        <w:rPr>
          <w:rFonts w:ascii="Arial" w:cs="Arial" w:eastAsia="Arial" w:hAnsi="Arial"/>
          <w:b/>
          <w:bCs/>
          <w:sz w:val="22"/>
          <w:szCs w:val="22"/>
        </w:rPr>
        <w:t xml:space="preserve">Results (100 mg/kg):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BDNF &amp; TrKB levels restored to control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GABA levels elevated; glutamate reduced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Acetylcholine, serotonin, dopamine increased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Full rescue of cognitive deficits</w:t>
      </w:r>
    </w:p>
    <w:p>
      <w:pPr>
        <w:spacing w:after="100" w:before="200"/>
      </w:pPr>
      <w:r>
        <w:rPr>
          <w:rFonts w:ascii="Arial" w:cs="Arial" w:eastAsia="Arial" w:hAnsi="Arial"/>
          <w:b/>
          <w:bCs/>
          <w:color w:val="444444"/>
          <w:sz w:val="24"/>
          <w:szCs w:val="24"/>
        </w:rPr>
        <w:t xml:space="preserve">Ischemic Brain Injury (Mice)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Protective effects in transient middle cerebral artery occlusion (MCAO) models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Reduces infarct size, behavioral deficits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Mechanism: Antioxidant, anti-inflammatory, possible GABA augmentation</w:t>
      </w:r>
    </w:p>
    <w:p>
      <w:pPr>
        <w:spacing w:after="100" w:before="200"/>
      </w:pPr>
      <w:r>
        <w:rPr>
          <w:rFonts w:ascii="Arial" w:cs="Arial" w:eastAsia="Arial" w:hAnsi="Arial"/>
          <w:b/>
          <w:bCs/>
          <w:color w:val="444444"/>
          <w:sz w:val="24"/>
          <w:szCs w:val="24"/>
        </w:rPr>
        <w:t xml:space="preserve">Parkinson's Disease-Like Models (Rotenone)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reduces neurodegeneration in dopaminergic neurons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Mechanism: Antioxidant, mitochondrial protection, neuroinflammation inhibition</w:t>
      </w:r>
    </w:p>
    <w:p>
      <w:pPr>
        <w:pStyle w:val="Heading2"/>
        <w:spacing w:after="120" w:before="240"/>
      </w:pPr>
      <w:r>
        <w:rPr>
          <w:rFonts w:ascii="Arial" w:cs="Arial" w:eastAsia="Arial" w:hAnsi="Arial"/>
          <w:b/>
          <w:bCs/>
          <w:color w:val="333333"/>
          <w:sz w:val="26"/>
          <w:szCs w:val="26"/>
        </w:rPr>
        <w:t xml:space="preserve">5.4 Antimicrobial &amp; Wound Healing (Preclinical)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In vitro:</w:t>
      </w:r>
      <w:r>
        <w:rPr>
          <w:rFonts w:ascii="Arial" w:cs="Arial" w:eastAsia="Arial" w:hAnsi="Arial"/>
          <w:sz w:val="22"/>
          <w:szCs w:val="22"/>
        </w:rPr>
        <w:t xml:space="preserve"> Documented against *S. aureus*, *E. coli*, *C. albicans*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In vivo (rodent wound models):</w:t>
      </w:r>
      <w:r>
        <w:rPr>
          <w:rFonts w:ascii="Arial" w:cs="Arial" w:eastAsia="Arial" w:hAnsi="Arial"/>
          <w:sz w:val="22"/>
          <w:szCs w:val="22"/>
        </w:rPr>
        <w:t xml:space="preserve"> Accelerated epithelialization, increased collagen deposition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Human wound studies:</w:t>
      </w:r>
      <w:r>
        <w:rPr>
          <w:rFonts w:ascii="Arial" w:cs="Arial" w:eastAsia="Arial" w:hAnsi="Arial"/>
          <w:sz w:val="22"/>
          <w:szCs w:val="22"/>
        </w:rPr>
        <w:t xml:space="preserve"> Limited; mostly cosmetic/dermatological application data</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Safe concentrations:</w:t>
      </w:r>
      <w:r>
        <w:rPr>
          <w:rFonts w:ascii="Arial" w:cs="Arial" w:eastAsia="Arial" w:hAnsi="Arial"/>
          <w:sz w:val="22"/>
          <w:szCs w:val="22"/>
        </w:rPr>
        <w:t xml:space="preserve"> 0.1–1% for topical use</w:t>
      </w:r>
    </w:p>
    <w:p>
      <w:pPr>
        <w:pStyle w:val="Heading2"/>
        <w:spacing w:after="120" w:before="240"/>
      </w:pPr>
      <w:r>
        <w:rPr>
          <w:rFonts w:ascii="Arial" w:cs="Arial" w:eastAsia="Arial" w:hAnsi="Arial"/>
          <w:b/>
          <w:bCs/>
          <w:color w:val="333333"/>
          <w:sz w:val="26"/>
          <w:szCs w:val="26"/>
        </w:rPr>
        <w:t xml:space="preserve">5.5 Limitations of Current Evidence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Lack of direct human pharmacokinetic data</w:t>
      </w:r>
      <w:r>
        <w:rPr>
          <w:rFonts w:ascii="Arial" w:cs="Arial" w:eastAsia="Arial" w:hAnsi="Arial"/>
          <w:sz w:val="22"/>
          <w:szCs w:val="22"/>
        </w:rPr>
        <w:t xml:space="preserve"> for inhaled/vaporized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No RCTs</w:t>
      </w:r>
      <w:r>
        <w:rPr>
          <w:rFonts w:ascii="Arial" w:cs="Arial" w:eastAsia="Arial" w:hAnsi="Arial"/>
          <w:sz w:val="22"/>
          <w:szCs w:val="22"/>
        </w:rPr>
        <w:t xml:space="preserve"> in cannabis + bisabolol co-administration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Limited bioavailability studies</w:t>
      </w:r>
      <w:r>
        <w:rPr>
          <w:rFonts w:ascii="Arial" w:cs="Arial" w:eastAsia="Arial" w:hAnsi="Arial"/>
          <w:sz w:val="22"/>
          <w:szCs w:val="22"/>
        </w:rPr>
        <w:t xml:space="preserve"> for non-dermal routes (oral, inhaled)</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Absence of human neuroprotection RCTs</w:t>
      </w:r>
      <w:r>
        <w:rPr>
          <w:rFonts w:ascii="Arial" w:cs="Arial" w:eastAsia="Arial" w:hAnsi="Arial"/>
          <w:sz w:val="22"/>
          <w:szCs w:val="22"/>
        </w:rPr>
        <w:t xml:space="preserve"> (only preclinical)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Small clinical dermatology sample sizes</w:t>
      </w:r>
      <w:r>
        <w:rPr>
          <w:rFonts w:ascii="Arial" w:cs="Arial" w:eastAsia="Arial" w:hAnsi="Arial"/>
          <w:sz w:val="22"/>
          <w:szCs w:val="22"/>
        </w:rPr>
        <w:t xml:space="preserve"> in published literature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6. MOLECULAR COUSINS &amp; RELATED COMPOUNDS</w:t>
      </w:r>
    </w:p>
    <w:p>
      <w:pPr>
        <w:pStyle w:val="Heading2"/>
        <w:spacing w:after="120" w:before="240"/>
      </w:pPr>
      <w:r>
        <w:rPr>
          <w:rFonts w:ascii="Arial" w:cs="Arial" w:eastAsia="Arial" w:hAnsi="Arial"/>
          <w:b/>
          <w:bCs/>
          <w:color w:val="333333"/>
          <w:sz w:val="26"/>
          <w:szCs w:val="26"/>
        </w:rPr>
        <w:t xml:space="preserve">6.1 Bisabolol Oxide A &amp; B (Oxidized Derivatives)</w:t>
      </w:r>
    </w:p>
    <w:p>
      <w:pPr>
        <w:spacing w:after="120" w:line="300"/>
      </w:pPr>
      <w:r>
        <w:rPr>
          <w:rFonts w:ascii="Arial" w:cs="Arial" w:eastAsia="Arial" w:hAnsi="Arial"/>
          <w:b/>
          <w:bCs/>
          <w:sz w:val="22"/>
          <w:szCs w:val="22"/>
        </w:rPr>
        <w:t xml:space="preserve">Chemical Structure:</w:t>
      </w:r>
      <w:r>
        <w:rPr>
          <w:rFonts w:ascii="Arial" w:cs="Arial" w:eastAsia="Arial" w:hAnsi="Arial"/>
          <w:sz w:val="22"/>
          <w:szCs w:val="22"/>
        </w:rPr>
        <w:t xml:space="preserve"> Oxygenated forms of bisabolol; contain epoxide or additional ketone functional groups</w:t>
      </w:r>
    </w:p>
    <w:p>
      <w:pPr>
        <w:spacing w:after="120" w:line="300"/>
      </w:pPr>
      <w:r>
        <w:rPr>
          <w:rFonts w:ascii="Arial" w:cs="Arial" w:eastAsia="Arial" w:hAnsi="Arial"/>
          <w:b/>
          <w:bCs/>
          <w:sz w:val="22"/>
          <w:szCs w:val="22"/>
        </w:rPr>
        <w:t xml:space="preserve">Occurrence in Chamomile: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oxide A: 0.4–52.25% (high variability by cultivar)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oxide B: 0.2–58.85% (high variability)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Some cultivars produce more oxide than free bisabolol</w:t>
      </w:r>
    </w:p>
    <w:p>
      <w:pPr>
        <w:spacing w:after="120" w:line="300"/>
      </w:pPr>
      <w:r>
        <w:rPr>
          <w:rFonts w:ascii="Arial" w:cs="Arial" w:eastAsia="Arial" w:hAnsi="Arial"/>
          <w:b/>
          <w:bCs/>
          <w:sz w:val="22"/>
          <w:szCs w:val="22"/>
        </w:rPr>
        <w:t xml:space="preserve">Pharmacological Profile: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Contributes to chamomile's anti-inflammatory effects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May have enhanced stability compared to free alcohol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Antimicrobial activity (secondary)</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Pre-Loading Consideration:</w:t>
      </w:r>
      <w:r>
        <w:rPr>
          <w:rFonts w:ascii="Arial" w:cs="Arial" w:eastAsia="Arial" w:hAnsi="Arial"/>
          <w:sz w:val="22"/>
          <w:szCs w:val="22"/>
        </w:rPr>
        <w:t xml:space="preserve"> Oxides are even less volatile than bisabolol; less likely to deliver via inhalation</w:t>
      </w:r>
    </w:p>
    <w:p>
      <w:pPr>
        <w:pStyle w:val="Heading2"/>
        <w:spacing w:after="120" w:before="240"/>
      </w:pPr>
      <w:r>
        <w:rPr>
          <w:rFonts w:ascii="Arial" w:cs="Arial" w:eastAsia="Arial" w:hAnsi="Arial"/>
          <w:b/>
          <w:bCs/>
          <w:color w:val="333333"/>
          <w:sz w:val="26"/>
          <w:szCs w:val="26"/>
        </w:rPr>
        <w:t xml:space="preserve">6.2 Chamazulene (Blue Pigment Compound)</w:t>
      </w:r>
    </w:p>
    <w:p>
      <w:pPr>
        <w:spacing w:after="120" w:line="300"/>
      </w:pPr>
      <w:r>
        <w:rPr>
          <w:rFonts w:ascii="Arial" w:cs="Arial" w:eastAsia="Arial" w:hAnsi="Arial"/>
          <w:b/>
          <w:bCs/>
          <w:sz w:val="22"/>
          <w:szCs w:val="22"/>
        </w:rPr>
        <w:t xml:space="preserve">Chemical Nature:</w:t>
      </w:r>
      <w:r>
        <w:rPr>
          <w:rFonts w:ascii="Arial" w:cs="Arial" w:eastAsia="Arial" w:hAnsi="Arial"/>
          <w:sz w:val="22"/>
          <w:szCs w:val="22"/>
        </w:rPr>
        <w:t xml:space="preserve"> Sesquiterpene with aromatic character (not a true sesquiterpene); gives chamomile oil its characteristic blue color</w:t>
      </w:r>
    </w:p>
    <w:p>
      <w:pPr>
        <w:spacing w:after="120" w:line="300"/>
      </w:pPr>
      <w:r>
        <w:rPr>
          <w:rFonts w:ascii="Arial" w:cs="Arial" w:eastAsia="Arial" w:hAnsi="Arial"/>
          <w:b/>
          <w:bCs/>
          <w:sz w:val="22"/>
          <w:szCs w:val="22"/>
        </w:rPr>
        <w:t xml:space="preserve">Composition in Chamomile:</w:t>
      </w:r>
      <w:r>
        <w:rPr>
          <w:rFonts w:ascii="Arial" w:cs="Arial" w:eastAsia="Arial" w:hAnsi="Arial"/>
          <w:sz w:val="22"/>
          <w:szCs w:val="22"/>
        </w:rPr>
        <w:t xml:space="preserve"> 2.3–10.9% of essential oil</w:t>
      </w:r>
    </w:p>
    <w:p>
      <w:pPr>
        <w:spacing w:after="120" w:line="300"/>
      </w:pPr>
      <w:r>
        <w:rPr>
          <w:rFonts w:ascii="Arial" w:cs="Arial" w:eastAsia="Arial" w:hAnsi="Arial"/>
          <w:b/>
          <w:bCs/>
          <w:sz w:val="22"/>
          <w:szCs w:val="22"/>
        </w:rPr>
        <w:t xml:space="preserve">Pharmacology: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Anti-inflammatory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Antioxidant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Synergistic with bisabolol in chamomile extract</w:t>
      </w:r>
    </w:p>
    <w:p>
      <w:pPr>
        <w:spacing w:after="120" w:line="300"/>
      </w:pPr>
      <w:r>
        <w:rPr>
          <w:rFonts w:ascii="Arial" w:cs="Arial" w:eastAsia="Arial" w:hAnsi="Arial"/>
          <w:b/>
          <w:bCs/>
          <w:sz w:val="22"/>
          <w:szCs w:val="22"/>
        </w:rPr>
        <w:t xml:space="preserve">Note:</w:t>
      </w:r>
      <w:r>
        <w:rPr>
          <w:rFonts w:ascii="Arial" w:cs="Arial" w:eastAsia="Arial" w:hAnsi="Arial"/>
          <w:sz w:val="22"/>
          <w:szCs w:val="22"/>
        </w:rPr>
        <w:t xml:space="preserve"> NOT derived from bisabolol directly; arises from alternative sesquiterpene pathways (precursor: matricin, a proazulene)</w:t>
      </w:r>
    </w:p>
    <w:p>
      <w:pPr>
        <w:pStyle w:val="Heading2"/>
        <w:spacing w:after="120" w:before="240"/>
      </w:pPr>
      <w:r>
        <w:rPr>
          <w:rFonts w:ascii="Arial" w:cs="Arial" w:eastAsia="Arial" w:hAnsi="Arial"/>
          <w:b/>
          <w:bCs/>
          <w:color w:val="333333"/>
          <w:sz w:val="26"/>
          <w:szCs w:val="26"/>
        </w:rPr>
        <w:t xml:space="preserve">6.3 Farnesene (α- &amp; β-)</w:t>
      </w:r>
    </w:p>
    <w:p>
      <w:pPr>
        <w:spacing w:after="120" w:line="300"/>
      </w:pPr>
      <w:r>
        <w:rPr>
          <w:rFonts w:ascii="Arial" w:cs="Arial" w:eastAsia="Arial" w:hAnsi="Arial"/>
          <w:b/>
          <w:bCs/>
          <w:sz w:val="22"/>
          <w:szCs w:val="22"/>
        </w:rPr>
        <w:t xml:space="preserve">Chemical Nature:</w:t>
      </w:r>
      <w:r>
        <w:rPr>
          <w:rFonts w:ascii="Arial" w:cs="Arial" w:eastAsia="Arial" w:hAnsi="Arial"/>
          <w:sz w:val="22"/>
          <w:szCs w:val="22"/>
        </w:rPr>
        <w:t xml:space="preserve"> Acyclic C₁₅ sesquiterpene; shares FPP precursor with bisabolol</w:t>
      </w:r>
    </w:p>
    <w:p>
      <w:pPr>
        <w:spacing w:after="120" w:line="300"/>
      </w:pPr>
      <w:r>
        <w:rPr>
          <w:rFonts w:ascii="Arial" w:cs="Arial" w:eastAsia="Arial" w:hAnsi="Arial"/>
          <w:b/>
          <w:bCs/>
          <w:sz w:val="22"/>
          <w:szCs w:val="22"/>
        </w:rPr>
        <w:t xml:space="preserve">Key Difference:</w:t>
      </w:r>
      <w:r>
        <w:rPr>
          <w:rFonts w:ascii="Arial" w:cs="Arial" w:eastAsia="Arial" w:hAnsi="Arial"/>
          <w:sz w:val="22"/>
          <w:szCs w:val="22"/>
        </w:rPr>
        <w:t xml:space="preserve"> Lacks cyclization; acyclic tail structure</w:t>
      </w:r>
    </w:p>
    <w:p>
      <w:pPr>
        <w:spacing w:after="120" w:line="300"/>
      </w:pPr>
      <w:r>
        <w:rPr>
          <w:rFonts w:ascii="Arial" w:cs="Arial" w:eastAsia="Arial" w:hAnsi="Arial"/>
          <w:b/>
          <w:bCs/>
          <w:sz w:val="22"/>
          <w:szCs w:val="22"/>
        </w:rPr>
        <w:t xml:space="preserve">Occurrence:</w:t>
      </w:r>
      <w:r>
        <w:rPr>
          <w:rFonts w:ascii="Arial" w:cs="Arial" w:eastAsia="Arial" w:hAnsi="Arial"/>
          <w:sz w:val="22"/>
          <w:szCs w:val="22"/>
        </w:rPr>
        <w:t xml:space="preserve"> Present in chamomile, sage, hops, cannabis (myrcene-like volatility in some strains)</w:t>
      </w:r>
    </w:p>
    <w:p>
      <w:pPr>
        <w:spacing w:after="120" w:line="300"/>
      </w:pPr>
      <w:r>
        <w:rPr>
          <w:rFonts w:ascii="Arial" w:cs="Arial" w:eastAsia="Arial" w:hAnsi="Arial"/>
          <w:b/>
          <w:bCs/>
          <w:sz w:val="22"/>
          <w:szCs w:val="22"/>
        </w:rPr>
        <w:t xml:space="preserve">Pharmacology: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Anti-inflammatory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Antimicrobial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Can enhance antibiotic sensitivity (synergy with bisabolol/nerolidol)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More volatile than bisabolol; likely to evaporate during vaporization before bisabolol</w:t>
      </w:r>
    </w:p>
    <w:p>
      <w:pPr>
        <w:pStyle w:val="Heading2"/>
        <w:spacing w:after="120" w:before="240"/>
      </w:pPr>
      <w:r>
        <w:rPr>
          <w:rFonts w:ascii="Arial" w:cs="Arial" w:eastAsia="Arial" w:hAnsi="Arial"/>
          <w:b/>
          <w:bCs/>
          <w:color w:val="333333"/>
          <w:sz w:val="26"/>
          <w:szCs w:val="26"/>
        </w:rPr>
        <w:t xml:space="preserve">6.4 Farnesol (Saturated C₁₅ Sesquiterpene Alcohol)</w:t>
      </w:r>
    </w:p>
    <w:p>
      <w:pPr>
        <w:spacing w:after="120" w:line="300"/>
      </w:pPr>
      <w:r>
        <w:rPr>
          <w:rFonts w:ascii="Arial" w:cs="Arial" w:eastAsia="Arial" w:hAnsi="Arial"/>
          <w:b/>
          <w:bCs/>
          <w:sz w:val="22"/>
          <w:szCs w:val="22"/>
        </w:rPr>
        <w:t xml:space="preserve">Chemical Nature:</w:t>
      </w:r>
      <w:r>
        <w:rPr>
          <w:rFonts w:ascii="Arial" w:cs="Arial" w:eastAsia="Arial" w:hAnsi="Arial"/>
          <w:sz w:val="22"/>
          <w:szCs w:val="22"/>
        </w:rPr>
        <w:t xml:space="preserve"> Acyclic, saturated (no C=C double bonds in main chain)</w:t>
      </w:r>
    </w:p>
    <w:p>
      <w:pPr>
        <w:spacing w:after="120" w:line="300"/>
      </w:pPr>
      <w:r>
        <w:rPr>
          <w:rFonts w:ascii="Arial" w:cs="Arial" w:eastAsia="Arial" w:hAnsi="Arial"/>
          <w:b/>
          <w:bCs/>
          <w:sz w:val="22"/>
          <w:szCs w:val="22"/>
        </w:rPr>
        <w:t xml:space="preserve">Occurrence in Chamomile:</w:t>
      </w:r>
      <w:r>
        <w:rPr>
          <w:rFonts w:ascii="Arial" w:cs="Arial" w:eastAsia="Arial" w:hAnsi="Arial"/>
          <w:sz w:val="22"/>
          <w:szCs w:val="22"/>
        </w:rPr>
        <w:t xml:space="preserve"> 4.8–11.3% of essential oil</w:t>
      </w:r>
    </w:p>
    <w:p>
      <w:pPr>
        <w:spacing w:after="120" w:line="300"/>
      </w:pPr>
      <w:r>
        <w:rPr>
          <w:rFonts w:ascii="Arial" w:cs="Arial" w:eastAsia="Arial" w:hAnsi="Arial"/>
          <w:b/>
          <w:bCs/>
          <w:sz w:val="22"/>
          <w:szCs w:val="22"/>
        </w:rPr>
        <w:t xml:space="preserve">Pharmacology: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Antimicrobial (particularly anti-Candida)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Penetration enhancer (weaker than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Used in cosmetics &amp; perfumery (fixative)</w:t>
      </w:r>
    </w:p>
    <w:p>
      <w:pPr>
        <w:spacing w:after="120" w:line="300"/>
      </w:pPr>
      <w:r>
        <w:rPr>
          <w:rFonts w:ascii="Arial" w:cs="Arial" w:eastAsia="Arial" w:hAnsi="Arial"/>
          <w:b/>
          <w:bCs/>
          <w:sz w:val="22"/>
          <w:szCs w:val="22"/>
        </w:rPr>
        <w:t xml:space="preserve">Pre-Loading Context:</w:t>
      </w:r>
      <w:r>
        <w:rPr>
          <w:rFonts w:ascii="Arial" w:cs="Arial" w:eastAsia="Arial" w:hAnsi="Arial"/>
          <w:sz w:val="22"/>
          <w:szCs w:val="22"/>
        </w:rPr>
        <w:t xml:space="preserve"> Similar vapor pressure profile to bisabolol; co-present in chamomile oil</w:t>
      </w:r>
    </w:p>
    <w:p>
      <w:pPr>
        <w:pStyle w:val="Heading2"/>
        <w:spacing w:after="120" w:before="240"/>
      </w:pPr>
      <w:r>
        <w:rPr>
          <w:rFonts w:ascii="Arial" w:cs="Arial" w:eastAsia="Arial" w:hAnsi="Arial"/>
          <w:b/>
          <w:bCs/>
          <w:color w:val="333333"/>
          <w:sz w:val="26"/>
          <w:szCs w:val="26"/>
        </w:rPr>
        <w:t xml:space="preserve">6.5 Nerolidol (Sesquiterpene Alcohol Isomer)</w:t>
      </w:r>
    </w:p>
    <w:p>
      <w:pPr>
        <w:spacing w:after="120" w:line="300"/>
      </w:pPr>
      <w:r>
        <w:rPr>
          <w:rFonts w:ascii="Arial" w:cs="Arial" w:eastAsia="Arial" w:hAnsi="Arial"/>
          <w:b/>
          <w:bCs/>
          <w:sz w:val="22"/>
          <w:szCs w:val="22"/>
        </w:rPr>
        <w:t xml:space="preserve">Chemical Nature:</w:t>
      </w:r>
      <w:r>
        <w:rPr>
          <w:rFonts w:ascii="Arial" w:cs="Arial" w:eastAsia="Arial" w:hAnsi="Arial"/>
          <w:sz w:val="22"/>
          <w:szCs w:val="22"/>
        </w:rPr>
        <w:t xml:space="preserve"> C₁₅ sesquiterpene alcohol; different cyclization from bisabolol</w:t>
      </w:r>
    </w:p>
    <w:p>
      <w:pPr>
        <w:spacing w:after="120" w:line="300"/>
      </w:pPr>
      <w:r>
        <w:rPr>
          <w:rFonts w:ascii="Arial" w:cs="Arial" w:eastAsia="Arial" w:hAnsi="Arial"/>
          <w:b/>
          <w:bCs/>
          <w:sz w:val="22"/>
          <w:szCs w:val="22"/>
        </w:rPr>
        <w:t xml:space="preserve">Occurrence in Chamomile:</w:t>
      </w:r>
      <w:r>
        <w:rPr>
          <w:rFonts w:ascii="Arial" w:cs="Arial" w:eastAsia="Arial" w:hAnsi="Arial"/>
          <w:sz w:val="22"/>
          <w:szCs w:val="22"/>
        </w:rPr>
        <w:t xml:space="preserve"> 3.76% (varies by cultivar; higher under heat stress in some varieties)</w:t>
      </w:r>
    </w:p>
    <w:p>
      <w:pPr>
        <w:spacing w:after="120" w:line="300"/>
      </w:pPr>
      <w:r>
        <w:rPr>
          <w:rFonts w:ascii="Arial" w:cs="Arial" w:eastAsia="Arial" w:hAnsi="Arial"/>
          <w:b/>
          <w:bCs/>
          <w:sz w:val="22"/>
          <w:szCs w:val="22"/>
        </w:rPr>
        <w:t xml:space="preserve">Pharmacology: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Antimicrobial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Transdermal enhancer (similar to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Increases antibiotic sensitivity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Anti-inflammatory (lesser degree than bisabolol)</w:t>
      </w:r>
    </w:p>
    <w:p>
      <w:pPr>
        <w:spacing w:after="120" w:line="300"/>
      </w:pPr>
      <w:r>
        <w:rPr>
          <w:rFonts w:ascii="Arial" w:cs="Arial" w:eastAsia="Arial" w:hAnsi="Arial"/>
          <w:b/>
          <w:bCs/>
          <w:sz w:val="22"/>
          <w:szCs w:val="22"/>
        </w:rPr>
        <w:t xml:space="preserve">Cannabis Context:</w:t>
      </w:r>
      <w:r>
        <w:rPr>
          <w:rFonts w:ascii="Arial" w:cs="Arial" w:eastAsia="Arial" w:hAnsi="Arial"/>
          <w:sz w:val="22"/>
          <w:szCs w:val="22"/>
        </w:rPr>
        <w:t xml:space="preserve"> Nerolidol found in some cannabis strains; often paired with myrcene</w:t>
      </w:r>
    </w:p>
    <w:p>
      <w:pPr>
        <w:pStyle w:val="Heading2"/>
        <w:spacing w:after="120" w:before="240"/>
      </w:pPr>
      <w:r>
        <w:rPr>
          <w:rFonts w:ascii="Arial" w:cs="Arial" w:eastAsia="Arial" w:hAnsi="Arial"/>
          <w:b/>
          <w:bCs/>
          <w:color w:val="333333"/>
          <w:sz w:val="26"/>
          <w:szCs w:val="26"/>
        </w:rPr>
        <w:t xml:space="preserve">6.6 Bisabolane Skeleton Family</w:t>
      </w:r>
    </w:p>
    <w:p>
      <w:pPr>
        <w:spacing w:after="120" w:line="300"/>
      </w:pPr>
      <w:r>
        <w:rPr>
          <w:rFonts w:ascii="Arial" w:cs="Arial" w:eastAsia="Arial" w:hAnsi="Arial"/>
          <w:b/>
          <w:bCs/>
          <w:sz w:val="22"/>
          <w:szCs w:val="22"/>
        </w:rPr>
        <w:t xml:space="preserve">Structural Group:</w:t>
      </w:r>
      <w:r>
        <w:rPr>
          <w:rFonts w:ascii="Arial" w:cs="Arial" w:eastAsia="Arial" w:hAnsi="Arial"/>
          <w:sz w:val="22"/>
          <w:szCs w:val="22"/>
        </w:rPr>
        <w:t xml:space="preserve"> All sesquiterpenoids containing the characteristic bicyclic or monocyclic arrangement derived from FPP rearrangement</w:t>
      </w:r>
    </w:p>
    <w:p>
      <w:pPr>
        <w:spacing w:after="120" w:line="300"/>
      </w:pPr>
      <w:r>
        <w:rPr>
          <w:rFonts w:ascii="Arial" w:cs="Arial" w:eastAsia="Arial" w:hAnsi="Arial"/>
          <w:b/>
          <w:bCs/>
          <w:sz w:val="22"/>
          <w:szCs w:val="22"/>
        </w:rPr>
        <w:t xml:space="preserve">Members: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(monocyclic alcohol)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Bisabolone (ketone form)</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Bisabolene (hydrocarbon parent)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Bisabolox A &amp; B (epoxide variants)</w:t>
      </w:r>
    </w:p>
    <w:p>
      <w:pPr>
        <w:spacing w:after="120" w:line="300"/>
      </w:pPr>
      <w:r>
        <w:rPr>
          <w:rFonts w:ascii="Arial" w:cs="Arial" w:eastAsia="Arial" w:hAnsi="Arial"/>
          <w:b/>
          <w:bCs/>
          <w:sz w:val="22"/>
          <w:szCs w:val="22"/>
        </w:rPr>
        <w:t xml:space="preserve">Shared Biosynthetic Origin:</w:t>
      </w:r>
      <w:r>
        <w:rPr>
          <w:rFonts w:ascii="Arial" w:cs="Arial" w:eastAsia="Arial" w:hAnsi="Arial"/>
          <w:sz w:val="22"/>
          <w:szCs w:val="22"/>
        </w:rPr>
        <w:t xml:space="preserve"> All via FPP → bisabolol synthase rearrangement with minor structural variations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7. BOTANICAL SOURCES &amp; CONCENTRATION DATA</w:t>
      </w:r>
    </w:p>
    <w:p>
      <w:pPr>
        <w:pStyle w:val="Heading2"/>
        <w:spacing w:after="120" w:before="240"/>
      </w:pPr>
      <w:r>
        <w:rPr>
          <w:rFonts w:ascii="Arial" w:cs="Arial" w:eastAsia="Arial" w:hAnsi="Arial"/>
          <w:b/>
          <w:bCs/>
          <w:color w:val="333333"/>
          <w:sz w:val="26"/>
          <w:szCs w:val="26"/>
        </w:rPr>
        <w:t xml:space="preserve">7.1 German Chamomile (*Matricaria recutita* / Matricaria chamomilla)</w:t>
      </w:r>
    </w:p>
    <w:p>
      <w:pPr>
        <w:spacing w:after="120" w:line="300"/>
      </w:pPr>
      <w:r>
        <w:rPr>
          <w:rFonts w:ascii="Arial" w:cs="Arial" w:eastAsia="Arial" w:hAnsi="Arial"/>
          <w:b/>
          <w:bCs/>
          <w:sz w:val="22"/>
          <w:szCs w:val="22"/>
        </w:rPr>
        <w:t xml:space="preserve">Botanical Profile: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Annual herb, Asteraceae family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Native to Eastern Europe; now cultivated worldwide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Flowers harvested at mid-bloom for maximum essential oil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Distillation by steam yields 0.5–1% essential oil by dry weight</w:t>
      </w:r>
    </w:p>
    <w:p>
      <w:pPr>
        <w:spacing w:after="120" w:line="300"/>
      </w:pPr>
      <w:r>
        <w:rPr>
          <w:rFonts w:ascii="Arial" w:cs="Arial" w:eastAsia="Arial" w:hAnsi="Arial"/>
          <w:b/>
          <w:bCs/>
          <w:sz w:val="22"/>
          <w:szCs w:val="22"/>
        </w:rPr>
        <w:t xml:space="preserve">Bisabolol Composition in Essential Oil: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Range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(-)-α-Bisabolol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25–50% (25–78% in some premium cultivars)</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Bisabolol oxide A</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0.4–52.25%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Bisabolol oxide 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0.2–58.85%</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Chamazulene</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2.3–10.9%</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Farnesene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Farnesol</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4.8–11.3%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Nerolidol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0–3.76% (cultivar-dependent)</w:t>
            </w:r>
          </w:p>
        </w:tc>
      </w:tr>
    </w:tbl>
    <w:p>
      <w:pPr>
        <w:spacing w:after="120"/>
      </w:pPr>
    </w:p>
    <w:p>
      <w:pPr>
        <w:spacing w:after="120" w:line="300"/>
      </w:pPr>
      <w:r>
        <w:rPr>
          <w:rFonts w:ascii="Arial" w:cs="Arial" w:eastAsia="Arial" w:hAnsi="Arial"/>
          <w:b/>
          <w:bCs/>
          <w:sz w:val="22"/>
          <w:szCs w:val="22"/>
        </w:rPr>
        <w:t xml:space="preserve">Geographic Variability: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Moldova, Russia, Czech Republic: 23.9–44.2% α-bisabolol (predominant)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Estonia, Baltic region: 27.5–56.0% bisabolol oxide A (predominant)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Central Europe, Germany: Mixed profiles; 25–40% bisabolol typical</w:t>
      </w:r>
    </w:p>
    <w:p>
      <w:pPr>
        <w:spacing w:after="120" w:line="300"/>
      </w:pPr>
      <w:r>
        <w:rPr>
          <w:rFonts w:ascii="Arial" w:cs="Arial" w:eastAsia="Arial" w:hAnsi="Arial"/>
          <w:b/>
          <w:bCs/>
          <w:sz w:val="22"/>
          <w:szCs w:val="22"/>
        </w:rPr>
        <w:t xml:space="preserve">Cultivar Breeding: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Selection for high bisabolol: Achievable through conventional breeding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Some commercial strains specifically developed for bisabolol content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Harvest timing: Late bloom (8–10 weeks) maximizes bisabolol; early harvest increases monoterpenes</w:t>
      </w:r>
    </w:p>
    <w:p>
      <w:pPr>
        <w:spacing w:after="120" w:line="300"/>
      </w:pPr>
      <w:r>
        <w:rPr>
          <w:rFonts w:ascii="Arial" w:cs="Arial" w:eastAsia="Arial" w:hAnsi="Arial"/>
          <w:b/>
          <w:bCs/>
          <w:sz w:val="22"/>
          <w:szCs w:val="22"/>
        </w:rPr>
        <w:t xml:space="preserve">Practical Concentration:</w:t>
      </w:r>
      <w:r>
        <w:rPr>
          <w:rFonts w:ascii="Arial" w:cs="Arial" w:eastAsia="Arial" w:hAnsi="Arial"/>
          <w:sz w:val="22"/>
          <w:szCs w:val="22"/>
        </w:rPr>
        <w:t xml:space="preserve"> German chamomile essential oil suitable for pre-loading should contain ≥30% (-)-α-bisabolol for efficacy.</w:t>
      </w:r>
    </w:p>
    <w:p>
      <w:pPr>
        <w:pStyle w:val="Heading2"/>
        <w:spacing w:after="120" w:before="240"/>
      </w:pPr>
      <w:r>
        <w:rPr>
          <w:rFonts w:ascii="Arial" w:cs="Arial" w:eastAsia="Arial" w:hAnsi="Arial"/>
          <w:b/>
          <w:bCs/>
          <w:color w:val="333333"/>
          <w:sz w:val="26"/>
          <w:szCs w:val="26"/>
        </w:rPr>
        <w:t xml:space="preserve">7.2 Candeia Tree (*Eremanthus erythropappus*) — Brazilian Atlantic Forest Source</w:t>
      </w:r>
    </w:p>
    <w:p>
      <w:pPr>
        <w:spacing w:after="120" w:line="300"/>
      </w:pPr>
      <w:r>
        <w:rPr>
          <w:rFonts w:ascii="Arial" w:cs="Arial" w:eastAsia="Arial" w:hAnsi="Arial"/>
          <w:b/>
          <w:bCs/>
          <w:sz w:val="22"/>
          <w:szCs w:val="22"/>
        </w:rPr>
        <w:t xml:space="preserve">Botanical Profile: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Endemic to Brazilian Atlantic Forest (Serra da Mantiqueira, Serra do Espinhaço, Minas Gerais)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Large woody shrub/small tree; slow-growing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Wood and leaf essential oils differ dramatically in composition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Critical economic value for pharmaceutical/cosmetic bisabolol extraction</w:t>
      </w:r>
    </w:p>
    <w:p>
      <w:pPr>
        <w:spacing w:after="120" w:line="300"/>
      </w:pPr>
      <w:r>
        <w:rPr>
          <w:rFonts w:ascii="Arial" w:cs="Arial" w:eastAsia="Arial" w:hAnsi="Arial"/>
          <w:b/>
          <w:bCs/>
          <w:sz w:val="22"/>
          <w:szCs w:val="22"/>
        </w:rPr>
        <w:t xml:space="preserve">Bisabolol Composition: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Tissue</w:t>
            </w:r>
          </w:p>
        </w:tc>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(-)-α-Bisabolol</w:t>
            </w:r>
          </w:p>
        </w:tc>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Other Major Components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Wood (stem)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66–91%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α-bisabolol oxides (minor), trace farnesene</w:t>
            </w:r>
          </w:p>
        </w:tc>
      </w:tr>
      <w:tr>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Leaves</w:t>
            </w:r>
          </w:p>
        </w:tc>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2–24%</w:t>
            </w:r>
          </w:p>
        </w:tc>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β-Pinene (5.73%), α-copaene (12.89%), β-caryophyllene (15.66%), germacrene D (7.14%), humulene (4.00%)</w:t>
            </w:r>
          </w:p>
        </w:tc>
      </w:tr>
    </w:tbl>
    <w:p>
      <w:pPr>
        <w:spacing w:after="120"/>
      </w:pPr>
    </w:p>
    <w:p>
      <w:pPr>
        <w:spacing w:after="120" w:line="300"/>
      </w:pPr>
      <w:r>
        <w:rPr>
          <w:rFonts w:ascii="Arial" w:cs="Arial" w:eastAsia="Arial" w:hAnsi="Arial"/>
          <w:b/>
          <w:bCs/>
          <w:sz w:val="22"/>
          <w:szCs w:val="22"/>
        </w:rPr>
        <w:t xml:space="preserve">Commercial Extract: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Steam distillation + vacuum fractionation → 95% pure (-)-α-bisabolol from wood oil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Represents richest known natural source (higher than German chamomile wood-derived products)</w:t>
      </w:r>
    </w:p>
    <w:p>
      <w:pPr>
        <w:spacing w:after="120" w:line="300"/>
      </w:pPr>
      <w:r>
        <w:rPr>
          <w:rFonts w:ascii="Arial" w:cs="Arial" w:eastAsia="Arial" w:hAnsi="Arial"/>
          <w:b/>
          <w:bCs/>
          <w:sz w:val="22"/>
          <w:szCs w:val="22"/>
        </w:rPr>
        <w:t xml:space="preserve">Conservation Status:</w:t>
      </w:r>
    </w:p>
    <w:p>
      <w:pPr>
        <w:spacing w:after="120" w:line="300"/>
      </w:pPr>
      <w:r>
        <w:rPr>
          <w:rFonts w:ascii="Arial" w:cs="Arial" w:eastAsia="Arial" w:hAnsi="Arial"/>
          <w:b/>
          <w:bCs/>
          <w:sz w:val="22"/>
          <w:szCs w:val="22"/>
        </w:rPr>
        <w:t xml:space="preserve">CRITICAL CONCERN: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Over past decades, wild candeia forests harvested at unsustainable rates for bisabolol extraction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Tree is </w:t>
      </w:r>
      <w:r>
        <w:rPr>
          <w:rFonts w:ascii="Arial" w:cs="Arial" w:eastAsia="Arial" w:hAnsi="Arial"/>
          <w:b/>
          <w:bCs/>
          <w:sz w:val="22"/>
          <w:szCs w:val="22"/>
        </w:rPr>
        <w:t xml:space="preserve">slow-growing</w:t>
      </w:r>
      <w:r>
        <w:rPr>
          <w:rFonts w:ascii="Arial" w:cs="Arial" w:eastAsia="Arial" w:hAnsi="Arial"/>
          <w:sz w:val="22"/>
          <w:szCs w:val="22"/>
        </w:rPr>
        <w:t xml:space="preserve"> (5–20 year rotation to harvest size)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Over-harvesting risked species extinction in native range</w:t>
      </w:r>
    </w:p>
    <w:p>
      <w:pPr>
        <w:spacing w:after="120" w:line="300"/>
      </w:pPr>
      <w:r>
        <w:rPr>
          <w:rFonts w:ascii="Arial" w:cs="Arial" w:eastAsia="Arial" w:hAnsi="Arial"/>
          <w:b/>
          <w:bCs/>
          <w:sz w:val="22"/>
          <w:szCs w:val="22"/>
        </w:rPr>
        <w:t xml:space="preserve">Current Status (as of 2018–2026):</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Never officially listed as "threatened with extinction"</w:t>
      </w:r>
      <w:r>
        <w:rPr>
          <w:rFonts w:ascii="Arial" w:cs="Arial" w:eastAsia="Arial" w:hAnsi="Arial"/>
          <w:sz w:val="22"/>
          <w:szCs w:val="22"/>
        </w:rPr>
        <w:t xml:space="preserve"> due to proactive intervention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Federal University of Lavras (UFLA) defined sustainable harvesting protocols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Brazilian law enacted to regulate sustainable use of candeia resources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Certified sustainable suppliers now available (e.g., Citróleo Group)</w:t>
      </w:r>
    </w:p>
    <w:p>
      <w:pPr>
        <w:spacing w:after="120" w:line="300"/>
      </w:pPr>
      <w:r>
        <w:rPr>
          <w:rFonts w:ascii="Arial" w:cs="Arial" w:eastAsia="Arial" w:hAnsi="Arial"/>
          <w:b/>
          <w:bCs/>
          <w:sz w:val="22"/>
          <w:szCs w:val="22"/>
        </w:rPr>
        <w:t xml:space="preserve">Pre-Loading Consideration:</w:t>
      </w:r>
      <w:r>
        <w:rPr>
          <w:rFonts w:ascii="Arial" w:cs="Arial" w:eastAsia="Arial" w:hAnsi="Arial"/>
          <w:sz w:val="22"/>
          <w:szCs w:val="22"/>
        </w:rPr>
        <w:t xml:space="preserve"> Candeia essential oil (95% bisabolol) offers highest bisabolol concentration for minimal inhalation volume, but </w:t>
      </w:r>
      <w:r>
        <w:rPr>
          <w:rFonts w:ascii="Arial" w:cs="Arial" w:eastAsia="Arial" w:hAnsi="Arial"/>
          <w:b/>
          <w:bCs/>
          <w:sz w:val="22"/>
          <w:szCs w:val="22"/>
        </w:rPr>
        <w:t xml:space="preserve">sourcing should verify sustainability certification</w:t>
      </w:r>
      <w:r>
        <w:rPr>
          <w:rFonts w:ascii="Arial" w:cs="Arial" w:eastAsia="Arial" w:hAnsi="Arial"/>
          <w:sz w:val="22"/>
          <w:szCs w:val="22"/>
        </w:rPr>
        <w:t xml:space="preserve"> to avoid contributing to deforestation.</w:t>
      </w:r>
    </w:p>
    <w:p>
      <w:pPr>
        <w:pStyle w:val="Heading2"/>
        <w:spacing w:after="120" w:before="240"/>
      </w:pPr>
      <w:r>
        <w:rPr>
          <w:rFonts w:ascii="Arial" w:cs="Arial" w:eastAsia="Arial" w:hAnsi="Arial"/>
          <w:b/>
          <w:bCs/>
          <w:color w:val="333333"/>
          <w:sz w:val="26"/>
          <w:szCs w:val="26"/>
        </w:rPr>
        <w:t xml:space="preserve">7.3 Roman Chamomile (*Chamaemelum nobile*)</w:t>
      </w:r>
    </w:p>
    <w:p>
      <w:pPr>
        <w:spacing w:after="120" w:line="300"/>
      </w:pPr>
      <w:r>
        <w:rPr>
          <w:rFonts w:ascii="Arial" w:cs="Arial" w:eastAsia="Arial" w:hAnsi="Arial"/>
          <w:b/>
          <w:bCs/>
          <w:sz w:val="22"/>
          <w:szCs w:val="22"/>
        </w:rPr>
        <w:t xml:space="preserve">Profile: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Perennial, more aromatic flowers than German chamomile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Essential oil higher in esters (isobutyl angelate) than German variety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content: </w:t>
      </w:r>
      <w:r>
        <w:rPr>
          <w:rFonts w:ascii="Arial" w:cs="Arial" w:eastAsia="Arial" w:hAnsi="Arial"/>
          <w:b/>
          <w:bCs/>
          <w:sz w:val="22"/>
          <w:szCs w:val="22"/>
        </w:rPr>
        <w:t xml:space="preserve">Lower than German chamomile</w:t>
      </w:r>
      <w:r>
        <w:rPr>
          <w:rFonts w:ascii="Arial" w:cs="Arial" w:eastAsia="Arial" w:hAnsi="Arial"/>
          <w:sz w:val="22"/>
          <w:szCs w:val="22"/>
        </w:rPr>
        <w:t xml:space="preserve"> (10–20% typical)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oxide A &amp; B: More prominent than bisabolol alcohol</w:t>
      </w:r>
    </w:p>
    <w:p>
      <w:pPr>
        <w:spacing w:after="120" w:line="300"/>
      </w:pPr>
      <w:r>
        <w:rPr>
          <w:rFonts w:ascii="Arial" w:cs="Arial" w:eastAsia="Arial" w:hAnsi="Arial"/>
          <w:b/>
          <w:bCs/>
          <w:sz w:val="22"/>
          <w:szCs w:val="22"/>
        </w:rPr>
        <w:t xml:space="preserve">Practical Use:</w:t>
      </w:r>
      <w:r>
        <w:rPr>
          <w:rFonts w:ascii="Arial" w:cs="Arial" w:eastAsia="Arial" w:hAnsi="Arial"/>
          <w:sz w:val="22"/>
          <w:szCs w:val="22"/>
        </w:rPr>
        <w:t xml:space="preserve"> Less ideal than German chamomile for bisabolol pre-loading; higher ratio of volatile esters may deliver less bisabolol per inhalation volume.</w:t>
      </w:r>
    </w:p>
    <w:p>
      <w:pPr>
        <w:pStyle w:val="Heading2"/>
        <w:spacing w:after="120" w:before="240"/>
      </w:pPr>
      <w:r>
        <w:rPr>
          <w:rFonts w:ascii="Arial" w:cs="Arial" w:eastAsia="Arial" w:hAnsi="Arial"/>
          <w:b/>
          <w:bCs/>
          <w:color w:val="333333"/>
          <w:sz w:val="26"/>
          <w:szCs w:val="26"/>
        </w:rPr>
        <w:t xml:space="preserve">7.4 Sage (*Salvia officinalis* / *Salvia sclarea*)</w:t>
      </w:r>
    </w:p>
    <w:p>
      <w:pPr>
        <w:spacing w:after="120" w:line="300"/>
      </w:pPr>
      <w:r>
        <w:rPr>
          <w:rFonts w:ascii="Arial" w:cs="Arial" w:eastAsia="Arial" w:hAnsi="Arial"/>
          <w:b/>
          <w:bCs/>
          <w:sz w:val="22"/>
          <w:szCs w:val="22"/>
        </w:rPr>
        <w:t xml:space="preserve">Profile: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Diterpene-rich (thujone, camphor, cineole)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Trace amounts (&lt;&lt;1%)</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Essential oil profile dominated by monoterpenes/monoterpenoids</w:t>
      </w:r>
    </w:p>
    <w:p>
      <w:pPr>
        <w:spacing w:after="120" w:line="300"/>
      </w:pPr>
      <w:r>
        <w:rPr>
          <w:rFonts w:ascii="Arial" w:cs="Arial" w:eastAsia="Arial" w:hAnsi="Arial"/>
          <w:b/>
          <w:bCs/>
          <w:sz w:val="22"/>
          <w:szCs w:val="22"/>
        </w:rPr>
        <w:t xml:space="preserve">Pre-Loading Limitation:</w:t>
      </w:r>
      <w:r>
        <w:rPr>
          <w:rFonts w:ascii="Arial" w:cs="Arial" w:eastAsia="Arial" w:hAnsi="Arial"/>
          <w:sz w:val="22"/>
          <w:szCs w:val="22"/>
        </w:rPr>
        <w:t xml:space="preserve"> Not a practical bisabolol source; would require prohibitive volume for therapeutic dose.</w:t>
      </w:r>
    </w:p>
    <w:p>
      <w:pPr>
        <w:pStyle w:val="Heading2"/>
        <w:spacing w:after="120" w:before="240"/>
      </w:pPr>
      <w:r>
        <w:rPr>
          <w:rFonts w:ascii="Arial" w:cs="Arial" w:eastAsia="Arial" w:hAnsi="Arial"/>
          <w:b/>
          <w:bCs/>
          <w:color w:val="333333"/>
          <w:sz w:val="26"/>
          <w:szCs w:val="26"/>
        </w:rPr>
        <w:t xml:space="preserve">7.5 Myrrh (*Commiphora myrrha* / *C. molmol*)</w:t>
      </w:r>
    </w:p>
    <w:p>
      <w:pPr>
        <w:spacing w:after="120" w:line="300"/>
      </w:pPr>
      <w:r>
        <w:rPr>
          <w:rFonts w:ascii="Arial" w:cs="Arial" w:eastAsia="Arial" w:hAnsi="Arial"/>
          <w:b/>
          <w:bCs/>
          <w:sz w:val="22"/>
          <w:szCs w:val="22"/>
        </w:rPr>
        <w:t xml:space="preserve">Profile: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Resin, not essential oil (oleo-gum-resin)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Complex chemistry: sesquiterpenes, gum polysaccharides, organic acids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Variable, minor component (trace to low %)</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More prominent: Furanodiene, lindestrene, other sesquiterpenes</w:t>
      </w:r>
    </w:p>
    <w:p>
      <w:pPr>
        <w:spacing w:after="120" w:line="300"/>
      </w:pPr>
      <w:r>
        <w:rPr>
          <w:rFonts w:ascii="Arial" w:cs="Arial" w:eastAsia="Arial" w:hAnsi="Arial"/>
          <w:b/>
          <w:bCs/>
          <w:sz w:val="22"/>
          <w:szCs w:val="22"/>
        </w:rPr>
        <w:t xml:space="preserve">Pre-Loading Utility:</w:t>
      </w:r>
      <w:r>
        <w:rPr>
          <w:rFonts w:ascii="Arial" w:cs="Arial" w:eastAsia="Arial" w:hAnsi="Arial"/>
          <w:sz w:val="22"/>
          <w:szCs w:val="22"/>
        </w:rPr>
        <w:t xml:space="preserve"> Low; other sesquiterpenes predominate; less amenable to inhalation delivery.</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8. WINE &amp; BEVERAGE BRIDGES</w:t>
      </w:r>
    </w:p>
    <w:p>
      <w:pPr>
        <w:pStyle w:val="Heading2"/>
        <w:spacing w:after="120" w:before="240"/>
      </w:pPr>
      <w:r>
        <w:rPr>
          <w:rFonts w:ascii="Arial" w:cs="Arial" w:eastAsia="Arial" w:hAnsi="Arial"/>
          <w:b/>
          <w:bCs/>
          <w:color w:val="333333"/>
          <w:sz w:val="26"/>
          <w:szCs w:val="26"/>
        </w:rPr>
        <w:t xml:space="preserve">8.1 Chamomile Tea — Direct Connection</w:t>
      </w:r>
    </w:p>
    <w:p>
      <w:pPr>
        <w:spacing w:after="120" w:line="300"/>
      </w:pPr>
      <w:r>
        <w:rPr>
          <w:rFonts w:ascii="Arial" w:cs="Arial" w:eastAsia="Arial" w:hAnsi="Arial"/>
          <w:b/>
          <w:bCs/>
          <w:sz w:val="22"/>
          <w:szCs w:val="22"/>
        </w:rPr>
        <w:t xml:space="preserve">Global Consumption: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&gt;1 million cups consumed daily worldwide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Primary delivery method for bisabolol in traditional use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Steep temperature: 80–95°C (suboptimal for boiling point 315°C, but prolonged contact allows extraction)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Steeping time: 5–10 minutes typical</w:t>
      </w:r>
    </w:p>
    <w:p>
      <w:pPr>
        <w:spacing w:after="120" w:line="300"/>
      </w:pPr>
      <w:r>
        <w:rPr>
          <w:rFonts w:ascii="Arial" w:cs="Arial" w:eastAsia="Arial" w:hAnsi="Arial"/>
          <w:b/>
          <w:bCs/>
          <w:sz w:val="22"/>
          <w:szCs w:val="22"/>
        </w:rPr>
        <w:t xml:space="preserve">Bisabolol Bioavailability from Tea: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Soluble in hot water (hydrophobic, but micellar solubilization via tea polyphenols/tannins)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Oral absorption via GI tract; first-pass hepatic metabolism</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Therapeutic dose (estimate): 2–4 cups daily ≈ 20–50 mg bisabolol (depending on source, steeping)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Peak levels: 30–90 minutes post-ingestion</w:t>
      </w:r>
    </w:p>
    <w:p>
      <w:pPr>
        <w:spacing w:after="120" w:line="300"/>
      </w:pPr>
      <w:r>
        <w:rPr>
          <w:rFonts w:ascii="Arial" w:cs="Arial" w:eastAsia="Arial" w:hAnsi="Arial"/>
          <w:b/>
          <w:bCs/>
          <w:sz w:val="22"/>
          <w:szCs w:val="22"/>
        </w:rPr>
        <w:t xml:space="preserve">Taste Profile:</w:t>
      </w:r>
      <w:r>
        <w:rPr>
          <w:rFonts w:ascii="Arial" w:cs="Arial" w:eastAsia="Arial" w:hAnsi="Arial"/>
          <w:sz w:val="22"/>
          <w:szCs w:val="22"/>
        </w:rPr>
        <w:t xml:space="preserve"> Chamberlain describes as honey, pear, subtle hop undertones — matches sensory data above.</w:t>
      </w:r>
    </w:p>
    <w:p>
      <w:pPr>
        <w:pStyle w:val="Heading2"/>
        <w:spacing w:after="120" w:before="240"/>
      </w:pPr>
      <w:r>
        <w:rPr>
          <w:rFonts w:ascii="Arial" w:cs="Arial" w:eastAsia="Arial" w:hAnsi="Arial"/>
          <w:b/>
          <w:bCs/>
          <w:color w:val="333333"/>
          <w:sz w:val="26"/>
          <w:szCs w:val="26"/>
        </w:rPr>
        <w:t xml:space="preserve">8.2 Chamomile-Infused Wines &amp; Meads</w:t>
      </w:r>
    </w:p>
    <w:p>
      <w:pPr>
        <w:spacing w:after="120" w:line="300"/>
      </w:pPr>
      <w:r>
        <w:rPr>
          <w:rFonts w:ascii="Arial" w:cs="Arial" w:eastAsia="Arial" w:hAnsi="Arial"/>
          <w:b/>
          <w:bCs/>
          <w:sz w:val="22"/>
          <w:szCs w:val="22"/>
        </w:rPr>
        <w:t xml:space="preserve">Herbal Wine Infusions: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flowers steeped in wine (white, vermouth-style); extraction over weeks to months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Lower alcohol (12–18% ABV) reduces some volatilization vs. spirits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Traditional in medieval European (particularly German) herbalism</w:t>
      </w:r>
    </w:p>
    <w:p>
      <w:pPr>
        <w:spacing w:after="120" w:line="300"/>
      </w:pPr>
      <w:r>
        <w:rPr>
          <w:rFonts w:ascii="Arial" w:cs="Arial" w:eastAsia="Arial" w:hAnsi="Arial"/>
          <w:b/>
          <w:bCs/>
          <w:sz w:val="22"/>
          <w:szCs w:val="22"/>
        </w:rPr>
        <w:t xml:space="preserve">Mead (Honey-based Fermented Beverage):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Chamomile-infused mead: Fermentation preserves volatile components better than boiling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partially survives fermentation (not as labile as monoterpenes)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Secondary aging refines flavor; bisabolol contributes floral/honey notes</w:t>
      </w:r>
    </w:p>
    <w:p>
      <w:pPr>
        <w:spacing w:after="120" w:line="300"/>
      </w:pPr>
      <w:r>
        <w:rPr>
          <w:rFonts w:ascii="Arial" w:cs="Arial" w:eastAsia="Arial" w:hAnsi="Arial"/>
          <w:b/>
          <w:bCs/>
          <w:sz w:val="22"/>
          <w:szCs w:val="22"/>
        </w:rPr>
        <w:t xml:space="preserve">Honey Pairing Context: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 honey: Natural flavor affinity (both sweet, floral)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Bisabolol's honey note complements honey's flavor profile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Historical use: Chamomile in honey wine; therapeutic honey infusions</w:t>
      </w:r>
    </w:p>
    <w:p>
      <w:pPr>
        <w:pStyle w:val="Heading2"/>
        <w:spacing w:after="120" w:before="240"/>
      </w:pPr>
      <w:r>
        <w:rPr>
          <w:rFonts w:ascii="Arial" w:cs="Arial" w:eastAsia="Arial" w:hAnsi="Arial"/>
          <w:b/>
          <w:bCs/>
          <w:color w:val="333333"/>
          <w:sz w:val="26"/>
          <w:szCs w:val="26"/>
        </w:rPr>
        <w:t xml:space="preserve">8.3 Herbal Liqueurs — Chartreuse Model</w:t>
      </w:r>
    </w:p>
    <w:p>
      <w:pPr>
        <w:spacing w:after="120" w:line="300"/>
      </w:pPr>
      <w:r>
        <w:rPr>
          <w:rFonts w:ascii="Arial" w:cs="Arial" w:eastAsia="Arial" w:hAnsi="Arial"/>
          <w:b/>
          <w:bCs/>
          <w:sz w:val="22"/>
          <w:szCs w:val="22"/>
        </w:rPr>
        <w:t xml:space="preserve">Chartreuse (Green Liqueur):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55% ABV (110 proof)</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130+ botanical macerate: herbs steeped in alcohol, filtered, aged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Contains aromatic plants (lavender, elderflower, mint, anise, etc.)</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NOT listed in traditional recipe, but modern variants emerging</w:t>
      </w:r>
    </w:p>
    <w:p>
      <w:pPr>
        <w:spacing w:after="120" w:line="300"/>
      </w:pPr>
      <w:r>
        <w:rPr>
          <w:rFonts w:ascii="Arial" w:cs="Arial" w:eastAsia="Arial" w:hAnsi="Arial"/>
          <w:b/>
          <w:bCs/>
          <w:sz w:val="22"/>
          <w:szCs w:val="22"/>
        </w:rPr>
        <w:t xml:space="preserve">Modern Herbal Liqueur Examples: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Fontbonne herbal spirit:</w:t>
      </w:r>
      <w:r>
        <w:rPr>
          <w:rFonts w:ascii="Arial" w:cs="Arial" w:eastAsia="Arial" w:hAnsi="Arial"/>
          <w:sz w:val="22"/>
          <w:szCs w:val="22"/>
        </w:rPr>
        <w:t xml:space="preserve"> 26 botanicals including chamomile, lavender, elderflower</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Vikre herbal liqueur (Minnesota):</w:t>
      </w:r>
      <w:r>
        <w:rPr>
          <w:rFonts w:ascii="Arial" w:cs="Arial" w:eastAsia="Arial" w:hAnsi="Arial"/>
          <w:sz w:val="22"/>
          <w:szCs w:val="22"/>
        </w:rPr>
        <w:t xml:space="preserve"> Includes chamomile, thyme, garden herbs; handmade maceration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Contemporary craft spirits:</w:t>
      </w:r>
      <w:r>
        <w:rPr>
          <w:rFonts w:ascii="Arial" w:cs="Arial" w:eastAsia="Arial" w:hAnsi="Arial"/>
          <w:sz w:val="22"/>
          <w:szCs w:val="22"/>
        </w:rPr>
        <w:t xml:space="preserve"> Rising trend toward botanical blends featuring chamomile</w:t>
      </w:r>
    </w:p>
    <w:p>
      <w:pPr>
        <w:spacing w:after="120" w:line="300"/>
      </w:pPr>
      <w:r>
        <w:rPr>
          <w:rFonts w:ascii="Arial" w:cs="Arial" w:eastAsia="Arial" w:hAnsi="Arial"/>
          <w:b/>
          <w:bCs/>
          <w:sz w:val="22"/>
          <w:szCs w:val="22"/>
        </w:rPr>
        <w:t xml:space="preserve">Alcohol Preservation: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40%+ ABV stabilizes volatile components; reduces microbial degradation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Maceration time: 24 hours to weeks (longer → deeper extraction, but some volatilization)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Aging in glass/oak: Maintains bisabolol (less porous than wood; slow oxidation)</w:t>
      </w:r>
    </w:p>
    <w:p>
      <w:pPr>
        <w:spacing w:after="120" w:line="300"/>
      </w:pPr>
      <w:r>
        <w:rPr>
          <w:rFonts w:ascii="Arial" w:cs="Arial" w:eastAsia="Arial" w:hAnsi="Arial"/>
          <w:b/>
          <w:bCs/>
          <w:sz w:val="22"/>
          <w:szCs w:val="22"/>
        </w:rPr>
        <w:t xml:space="preserve">Cocktail Applications: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Chartreuse substitutes (Fontbonne, etc.) in Last Word, Cloister, other herb-forward cocktails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liqueurs emerging in craft cocktail culture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contributes subtle floral, honey undertones without overpowering spirits</w:t>
      </w:r>
    </w:p>
    <w:p>
      <w:pPr>
        <w:spacing w:after="120" w:line="300"/>
      </w:pPr>
      <w:r>
        <w:rPr>
          <w:rFonts w:ascii="Arial" w:cs="Arial" w:eastAsia="Arial" w:hAnsi="Arial"/>
          <w:b/>
          <w:bCs/>
          <w:sz w:val="22"/>
          <w:szCs w:val="22"/>
        </w:rPr>
        <w:t xml:space="preserve">Pre-Loading Consideration: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Herbal liqueur dose: 30–45 mL (1.5 oz shot) 15–30 min before cannabis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concentration: ~1–5% in chamomile liqueurs (estimate based on botanical loading)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Alcohol-enhanced GI absorption + systemic bisabolol distribution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Slower onset (30–60 min) vs. inhalation, but longer sustained levels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9. TRADITIONAL MEDICINE &amp; ETHNOBOTANY</w:t>
      </w:r>
    </w:p>
    <w:p>
      <w:pPr>
        <w:pStyle w:val="Heading2"/>
        <w:spacing w:after="120" w:before="240"/>
      </w:pPr>
      <w:r>
        <w:rPr>
          <w:rFonts w:ascii="Arial" w:cs="Arial" w:eastAsia="Arial" w:hAnsi="Arial"/>
          <w:b/>
          <w:bCs/>
          <w:color w:val="333333"/>
          <w:sz w:val="26"/>
          <w:szCs w:val="26"/>
        </w:rPr>
        <w:t xml:space="preserve">9.1 Ancient Egyptian Medical Use</w:t>
      </w:r>
    </w:p>
    <w:p>
      <w:pPr>
        <w:spacing w:after="120" w:line="300"/>
      </w:pPr>
      <w:r>
        <w:rPr>
          <w:rFonts w:ascii="Arial" w:cs="Arial" w:eastAsia="Arial" w:hAnsi="Arial"/>
          <w:b/>
          <w:bCs/>
          <w:sz w:val="22"/>
          <w:szCs w:val="22"/>
        </w:rPr>
        <w:t xml:space="preserve">Historical Context (c. 1500 BCE onwards):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documented in Egyptian papyri (Ebers Papyrus)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Associated with sun god Ra; used in rituals and mummification (preservative properties)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Primary indications: Digestive complaints, inflammation, minor infections</w:t>
      </w:r>
    </w:p>
    <w:p>
      <w:pPr>
        <w:spacing w:after="120" w:line="300"/>
      </w:pPr>
      <w:r>
        <w:rPr>
          <w:rFonts w:ascii="Arial" w:cs="Arial" w:eastAsia="Arial" w:hAnsi="Arial"/>
          <w:b/>
          <w:bCs/>
          <w:sz w:val="22"/>
          <w:szCs w:val="22"/>
        </w:rPr>
        <w:t xml:space="preserve">Application Methods: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Herbal infusion (tea)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Oil extraction for topical use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Incense/aromatics (ritual, wound fumigation)</w:t>
      </w:r>
    </w:p>
    <w:p>
      <w:pPr>
        <w:spacing w:after="120" w:line="300"/>
      </w:pPr>
      <w:r>
        <w:rPr>
          <w:rFonts w:ascii="Arial" w:cs="Arial" w:eastAsia="Arial" w:hAnsi="Arial"/>
          <w:b/>
          <w:bCs/>
          <w:sz w:val="22"/>
          <w:szCs w:val="22"/>
        </w:rPr>
        <w:t xml:space="preserve">Pharmacological Model:</w:t>
      </w:r>
      <w:r>
        <w:rPr>
          <w:rFonts w:ascii="Arial" w:cs="Arial" w:eastAsia="Arial" w:hAnsi="Arial"/>
          <w:sz w:val="22"/>
          <w:szCs w:val="22"/>
        </w:rPr>
        <w:t xml:space="preserve"> Egyptians recognized anti-inflammatory, antimicrobial benefits (empirical observation).</w:t>
      </w:r>
    </w:p>
    <w:p>
      <w:pPr>
        <w:pStyle w:val="Heading2"/>
        <w:spacing w:after="120" w:before="240"/>
      </w:pPr>
      <w:r>
        <w:rPr>
          <w:rFonts w:ascii="Arial" w:cs="Arial" w:eastAsia="Arial" w:hAnsi="Arial"/>
          <w:b/>
          <w:bCs/>
          <w:color w:val="333333"/>
          <w:sz w:val="26"/>
          <w:szCs w:val="26"/>
        </w:rPr>
        <w:t xml:space="preserve">9.2 Greek &amp; Roman Antiquity</w:t>
      </w:r>
    </w:p>
    <w:p>
      <w:pPr>
        <w:spacing w:after="120" w:line="300"/>
      </w:pPr>
      <w:r>
        <w:rPr>
          <w:rFonts w:ascii="Arial" w:cs="Arial" w:eastAsia="Arial" w:hAnsi="Arial"/>
          <w:b/>
          <w:bCs/>
          <w:sz w:val="22"/>
          <w:szCs w:val="22"/>
        </w:rPr>
        <w:t xml:space="preserve">Dioscorides (1st century 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*Materia Medica*: Chamomile (chamaimēlon, "ground apple") prescribed for: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Digestive spasm, cramping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Inflammation (internal &amp; external)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Menstrual disorders</w:t>
      </w:r>
    </w:p>
    <w:p>
      <w:pPr>
        <w:spacing w:after="120" w:line="300"/>
      </w:pPr>
      <w:r>
        <w:rPr>
          <w:rFonts w:ascii="Arial" w:cs="Arial" w:eastAsia="Arial" w:hAnsi="Arial"/>
          <w:b/>
          <w:bCs/>
          <w:sz w:val="22"/>
          <w:szCs w:val="22"/>
        </w:rPr>
        <w:t xml:space="preserve">Pliny (1st century 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cultivated in Roman gardens; widely available as medicinal herb</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Used for fevers, inflammation, muscle tension</w:t>
      </w:r>
    </w:p>
    <w:p>
      <w:pPr>
        <w:spacing w:after="120" w:line="300"/>
      </w:pPr>
      <w:r>
        <w:rPr>
          <w:rFonts w:ascii="Arial" w:cs="Arial" w:eastAsia="Arial" w:hAnsi="Arial"/>
          <w:b/>
          <w:bCs/>
          <w:sz w:val="22"/>
          <w:szCs w:val="22"/>
        </w:rPr>
        <w:t xml:space="preserve">Mechanism Model:</w:t>
      </w:r>
      <w:r>
        <w:rPr>
          <w:rFonts w:ascii="Arial" w:cs="Arial" w:eastAsia="Arial" w:hAnsi="Arial"/>
          <w:sz w:val="22"/>
          <w:szCs w:val="22"/>
        </w:rPr>
        <w:t xml:space="preserve"> Roman physicians did not know terpene chemistry, but recognized dose-response relationships and systemic effects.</w:t>
      </w:r>
    </w:p>
    <w:p>
      <w:pPr>
        <w:pStyle w:val="Heading2"/>
        <w:spacing w:after="120" w:before="240"/>
      </w:pPr>
      <w:r>
        <w:rPr>
          <w:rFonts w:ascii="Arial" w:cs="Arial" w:eastAsia="Arial" w:hAnsi="Arial"/>
          <w:b/>
          <w:bCs/>
          <w:color w:val="333333"/>
          <w:sz w:val="26"/>
          <w:szCs w:val="26"/>
        </w:rPr>
        <w:t xml:space="preserve">9.3 Medieval European Herbalism</w:t>
      </w:r>
    </w:p>
    <w:p>
      <w:pPr>
        <w:spacing w:after="120" w:line="300"/>
      </w:pPr>
      <w:r>
        <w:rPr>
          <w:rFonts w:ascii="Arial" w:cs="Arial" w:eastAsia="Arial" w:hAnsi="Arial"/>
          <w:b/>
          <w:bCs/>
          <w:sz w:val="22"/>
          <w:szCs w:val="22"/>
        </w:rPr>
        <w:t xml:space="preserve">Monastic Tradition (9th–15th centuries):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cultivated in monastery physic gardens (Benedictine tradition)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Core herb in medieval herbal (e.g., *Bald's Leechbook*)</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Indications expanded: Asthma, colic, fevers, inflammations, nausea, nervousness, children's ailments, skin diseases, cancer (folk claim)</w:t>
      </w:r>
    </w:p>
    <w:p>
      <w:pPr>
        <w:spacing w:after="120" w:line="300"/>
      </w:pPr>
      <w:r>
        <w:rPr>
          <w:rFonts w:ascii="Arial" w:cs="Arial" w:eastAsia="Arial" w:hAnsi="Arial"/>
          <w:b/>
          <w:bCs/>
          <w:sz w:val="22"/>
          <w:szCs w:val="22"/>
        </w:rPr>
        <w:t xml:space="preserve">Preparation Methods: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Infusions (tea), decoctions, poultices, compresses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Tinctures (alcohol extraction): More stable, longer shelf-life than dried herb</w:t>
      </w:r>
    </w:p>
    <w:p>
      <w:pPr>
        <w:spacing w:after="120" w:line="300"/>
      </w:pPr>
      <w:r>
        <w:rPr>
          <w:rFonts w:ascii="Arial" w:cs="Arial" w:eastAsia="Arial" w:hAnsi="Arial"/>
          <w:b/>
          <w:bCs/>
          <w:sz w:val="22"/>
          <w:szCs w:val="22"/>
        </w:rPr>
        <w:t xml:space="preserve">Medieval Dosing:</w:t>
      </w:r>
      <w:r>
        <w:rPr>
          <w:rFonts w:ascii="Arial" w:cs="Arial" w:eastAsia="Arial" w:hAnsi="Arial"/>
          <w:sz w:val="22"/>
          <w:szCs w:val="22"/>
        </w:rPr>
        <w:t xml:space="preserve"> "As oft as needed" — empirical titration (no standardization).</w:t>
      </w:r>
    </w:p>
    <w:p>
      <w:pPr>
        <w:pStyle w:val="Heading2"/>
        <w:spacing w:after="120" w:before="240"/>
      </w:pPr>
      <w:r>
        <w:rPr>
          <w:rFonts w:ascii="Arial" w:cs="Arial" w:eastAsia="Arial" w:hAnsi="Arial"/>
          <w:b/>
          <w:bCs/>
          <w:color w:val="333333"/>
          <w:sz w:val="26"/>
          <w:szCs w:val="26"/>
        </w:rPr>
        <w:t xml:space="preserve">9.4 Ayurvedic Integration (18th–20th centuries)</w:t>
      </w:r>
    </w:p>
    <w:p>
      <w:pPr>
        <w:spacing w:after="120" w:line="300"/>
      </w:pPr>
      <w:r>
        <w:rPr>
          <w:rFonts w:ascii="Arial" w:cs="Arial" w:eastAsia="Arial" w:hAnsi="Arial"/>
          <w:b/>
          <w:bCs/>
          <w:sz w:val="22"/>
          <w:szCs w:val="22"/>
        </w:rPr>
        <w:t xml:space="preserve">Late Arrival to Ayurveda: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not a traditional Ayurvedic herb (no mentions in classical Samhitas)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Introduced to India via British botanical gardens (Calcutta, Madras) during colonial period (~1800s–1900s)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Local practitioners experimented with it in vata disorders</w:t>
      </w:r>
    </w:p>
    <w:p>
      <w:pPr>
        <w:spacing w:after="120" w:line="300"/>
      </w:pPr>
      <w:r>
        <w:rPr>
          <w:rFonts w:ascii="Arial" w:cs="Arial" w:eastAsia="Arial" w:hAnsi="Arial"/>
          <w:b/>
          <w:bCs/>
          <w:sz w:val="22"/>
          <w:szCs w:val="22"/>
        </w:rPr>
        <w:t xml:space="preserve">Ayurvedic Classification (Modern):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Sanskrit name:</w:t>
      </w:r>
      <w:r>
        <w:rPr>
          <w:rFonts w:ascii="Arial" w:cs="Arial" w:eastAsia="Arial" w:hAnsi="Arial"/>
          <w:sz w:val="22"/>
          <w:szCs w:val="22"/>
        </w:rPr>
        <w:t xml:space="preserve"> Babuna (adapted from Latin)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Gunas (qualities):</w:t>
      </w:r>
      <w:r>
        <w:rPr>
          <w:rFonts w:ascii="Arial" w:cs="Arial" w:eastAsia="Arial" w:hAnsi="Arial"/>
          <w:sz w:val="22"/>
          <w:szCs w:val="22"/>
        </w:rPr>
        <w:t xml:space="preserve"> Light, dry</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Rasa (taste):</w:t>
      </w:r>
      <w:r>
        <w:rPr>
          <w:rFonts w:ascii="Arial" w:cs="Arial" w:eastAsia="Arial" w:hAnsi="Arial"/>
          <w:sz w:val="22"/>
          <w:szCs w:val="22"/>
        </w:rPr>
        <w:t xml:space="preserve"> Bitter, pungent, astringent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Vipaka (post-digestive effect):</w:t>
      </w:r>
      <w:r>
        <w:rPr>
          <w:rFonts w:ascii="Arial" w:cs="Arial" w:eastAsia="Arial" w:hAnsi="Arial"/>
          <w:sz w:val="22"/>
          <w:szCs w:val="22"/>
        </w:rPr>
        <w:t xml:space="preserve"> Pungent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Virya (potency):</w:t>
      </w:r>
      <w:r>
        <w:rPr>
          <w:rFonts w:ascii="Arial" w:cs="Arial" w:eastAsia="Arial" w:hAnsi="Arial"/>
          <w:sz w:val="22"/>
          <w:szCs w:val="22"/>
        </w:rPr>
        <w:t xml:space="preserve"> Cooling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Dosha effects:</w:t>
      </w:r>
      <w:r>
        <w:rPr>
          <w:rFonts w:ascii="Arial" w:cs="Arial" w:eastAsia="Arial" w:hAnsi="Arial"/>
          <w:sz w:val="22"/>
          <w:szCs w:val="22"/>
        </w:rPr>
        <w:t xml:space="preserve"> Reduces pitta (excess heat) &amp; kapha (stagnation)</w:t>
      </w:r>
    </w:p>
    <w:p>
      <w:pPr>
        <w:spacing w:after="120" w:line="300"/>
      </w:pPr>
      <w:r>
        <w:rPr>
          <w:rFonts w:ascii="Arial" w:cs="Arial" w:eastAsia="Arial" w:hAnsi="Arial"/>
          <w:b/>
          <w:bCs/>
          <w:sz w:val="22"/>
          <w:szCs w:val="22"/>
        </w:rPr>
        <w:t xml:space="preserve">Applications in Ayurveda: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Calming tonic for nervous system (nervine properties)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Medhya (brain tonic), nidrajanana (sleep-inducing herb)</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Reduces sadhaka pitta (emotional/mental pitta imbalance)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Sleep, anxiety, stress (empirical alignment with modern neuropharmacology)</w:t>
      </w:r>
    </w:p>
    <w:p>
      <w:pPr>
        <w:spacing w:after="120" w:line="300"/>
      </w:pPr>
      <w:r>
        <w:rPr>
          <w:rFonts w:ascii="Arial" w:cs="Arial" w:eastAsia="Arial" w:hAnsi="Arial"/>
          <w:b/>
          <w:bCs/>
          <w:sz w:val="22"/>
          <w:szCs w:val="22"/>
        </w:rPr>
        <w:t xml:space="preserve">Integration Note:</w:t>
      </w:r>
      <w:r>
        <w:rPr>
          <w:rFonts w:ascii="Arial" w:cs="Arial" w:eastAsia="Arial" w:hAnsi="Arial"/>
          <w:sz w:val="22"/>
          <w:szCs w:val="22"/>
        </w:rPr>
        <w:t xml:space="preserve"> Chamomile never achieved status of core Ayurvedic herbs (tulsi, ashwagandha, brahmi); remains supplementary but increasingly popular in contemporary Ayurvedic practice.</w:t>
      </w:r>
    </w:p>
    <w:p>
      <w:pPr>
        <w:pStyle w:val="Heading2"/>
        <w:spacing w:after="120" w:before="240"/>
      </w:pPr>
      <w:r>
        <w:rPr>
          <w:rFonts w:ascii="Arial" w:cs="Arial" w:eastAsia="Arial" w:hAnsi="Arial"/>
          <w:b/>
          <w:bCs/>
          <w:color w:val="333333"/>
          <w:sz w:val="26"/>
          <w:szCs w:val="26"/>
        </w:rPr>
        <w:t xml:space="preserve">9.5 German Commission E Monograph</w:t>
      </w:r>
    </w:p>
    <w:p>
      <w:pPr>
        <w:spacing w:after="120" w:line="300"/>
      </w:pPr>
      <w:r>
        <w:rPr>
          <w:rFonts w:ascii="Arial" w:cs="Arial" w:eastAsia="Arial" w:hAnsi="Arial"/>
          <w:b/>
          <w:bCs/>
          <w:sz w:val="22"/>
          <w:szCs w:val="22"/>
        </w:rPr>
        <w:t xml:space="preserve">Official Status (Germany):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German chamomile flower (*Matricariae flos*) approved by Commission E (regulatory body for herbal medicines)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Legal basis: Traditional Use Registration (§ 109a German Medicines Act)</w:t>
      </w:r>
    </w:p>
    <w:p>
      <w:pPr>
        <w:spacing w:after="120" w:line="300"/>
      </w:pPr>
      <w:r>
        <w:rPr>
          <w:rFonts w:ascii="Arial" w:cs="Arial" w:eastAsia="Arial" w:hAnsi="Arial"/>
          <w:b/>
          <w:bCs/>
          <w:sz w:val="22"/>
          <w:szCs w:val="22"/>
        </w:rPr>
        <w:t xml:space="preserve">Approved Indications: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468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Use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Indigestion, spasms, inflammatory diseases of GI tract, cough, cold, bronchitis, fevers</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Topical</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Bacterial skin diseases, wounds, burns, oral/gum inflammation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Inhalation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Respiratory tract inflammation, irritation; skin/mucous membrane inflammation</w:t>
            </w:r>
          </w:p>
        </w:tc>
      </w:tr>
    </w:tbl>
    <w:p>
      <w:pPr>
        <w:spacing w:after="120"/>
      </w:pPr>
    </w:p>
    <w:p>
      <w:pPr>
        <w:spacing w:after="120" w:line="300"/>
      </w:pPr>
      <w:r>
        <w:rPr>
          <w:rFonts w:ascii="Arial" w:cs="Arial" w:eastAsia="Arial" w:hAnsi="Arial"/>
          <w:b/>
          <w:bCs/>
          <w:sz w:val="22"/>
          <w:szCs w:val="22"/>
        </w:rPr>
        <w:t xml:space="preserve">Active Constituents (per Monograph):</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(-)-α-Bisabolol oxide 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(-)-α-Bisabolol oxide B</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Chamazulene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Flavonoids (apigenin, luteolin)</w:t>
      </w:r>
    </w:p>
    <w:p>
      <w:pPr>
        <w:spacing w:after="120" w:line="300"/>
      </w:pPr>
      <w:r>
        <w:rPr>
          <w:rFonts w:ascii="Arial" w:cs="Arial" w:eastAsia="Arial" w:hAnsi="Arial"/>
          <w:b/>
          <w:bCs/>
          <w:sz w:val="22"/>
          <w:szCs w:val="22"/>
        </w:rPr>
        <w:t xml:space="preserve">Dosing Recommendation (Traditional):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Infusion: 3–4 times daily, 150–300 mL (1–2 cups)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Essential oil: Not recommended for internal use without medical supervision</w:t>
      </w:r>
    </w:p>
    <w:p>
      <w:pPr>
        <w:spacing w:after="120" w:line="300"/>
      </w:pPr>
      <w:r>
        <w:rPr>
          <w:rFonts w:ascii="Arial" w:cs="Arial" w:eastAsia="Arial" w:hAnsi="Arial"/>
          <w:b/>
          <w:bCs/>
          <w:sz w:val="22"/>
          <w:szCs w:val="22"/>
        </w:rPr>
        <w:t xml:space="preserve">Safety Profile:</w:t>
      </w:r>
      <w:r>
        <w:rPr>
          <w:rFonts w:ascii="Arial" w:cs="Arial" w:eastAsia="Arial" w:hAnsi="Arial"/>
          <w:sz w:val="22"/>
          <w:szCs w:val="22"/>
        </w:rPr>
        <w:t xml:space="preserve"> Approved as safe with minimal adverse events at recommended doses; caution in pregnancy (uterotonic potential of some volatile constituents — not definitively bisabolol-mediated).</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10. COSMETICS &amp; PHARMACEUTICAL INDUSTRY</w:t>
      </w:r>
    </w:p>
    <w:p>
      <w:pPr>
        <w:pStyle w:val="Heading2"/>
        <w:spacing w:after="120" w:before="240"/>
      </w:pPr>
      <w:r>
        <w:rPr>
          <w:rFonts w:ascii="Arial" w:cs="Arial" w:eastAsia="Arial" w:hAnsi="Arial"/>
          <w:b/>
          <w:bCs/>
          <w:color w:val="333333"/>
          <w:sz w:val="26"/>
          <w:szCs w:val="26"/>
        </w:rPr>
        <w:t xml:space="preserve">10.1 Cosmetic Industry Prevalence</w:t>
      </w:r>
    </w:p>
    <w:p>
      <w:pPr>
        <w:spacing w:after="120" w:line="300"/>
      </w:pPr>
      <w:r>
        <w:rPr>
          <w:rFonts w:ascii="Arial" w:cs="Arial" w:eastAsia="Arial" w:hAnsi="Arial"/>
          <w:b/>
          <w:bCs/>
          <w:sz w:val="22"/>
          <w:szCs w:val="22"/>
        </w:rPr>
        <w:t xml:space="preserve">INCI Designation:</w:t>
      </w:r>
      <w:r>
        <w:rPr>
          <w:rFonts w:ascii="Arial" w:cs="Arial" w:eastAsia="Arial" w:hAnsi="Arial"/>
          <w:sz w:val="22"/>
          <w:szCs w:val="22"/>
        </w:rPr>
        <w:t xml:space="preserve"> Bisabolol (also listed as "Levomenol" in some formulations)</w:t>
      </w:r>
    </w:p>
    <w:p>
      <w:pPr>
        <w:spacing w:after="120" w:line="300"/>
      </w:pPr>
      <w:r>
        <w:rPr>
          <w:rFonts w:ascii="Arial" w:cs="Arial" w:eastAsia="Arial" w:hAnsi="Arial"/>
          <w:b/>
          <w:bCs/>
          <w:sz w:val="22"/>
          <w:szCs w:val="22"/>
        </w:rPr>
        <w:t xml:space="preserve">Product Categories: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Facial skincare (creams, serums, essences)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Hair care (shampoos, conditioners, leave-in treatments)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Makeup (foundations, concealers, blushes)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Body care (lotions, body oils)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Sensitive/compromised skin specialty lines (very common)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Baby care products (diaper rash creams)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Oral care (toothpastes, mouthwashes)</w:t>
      </w:r>
    </w:p>
    <w:p>
      <w:pPr>
        <w:spacing w:after="120" w:line="300"/>
      </w:pPr>
      <w:r>
        <w:rPr>
          <w:rFonts w:ascii="Arial" w:cs="Arial" w:eastAsia="Arial" w:hAnsi="Arial"/>
          <w:b/>
          <w:bCs/>
          <w:sz w:val="22"/>
          <w:szCs w:val="22"/>
        </w:rPr>
        <w:t xml:space="preserve">Industry Usage (1997 CIR Data):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Reported in 184 cosmetic formulations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As of 2026, likely thousands of products globally (significant expansion since 1997)</w:t>
      </w:r>
    </w:p>
    <w:p>
      <w:pPr>
        <w:spacing w:after="120" w:line="300"/>
      </w:pPr>
      <w:r>
        <w:rPr>
          <w:rFonts w:ascii="Arial" w:cs="Arial" w:eastAsia="Arial" w:hAnsi="Arial"/>
          <w:b/>
          <w:bCs/>
          <w:sz w:val="22"/>
          <w:szCs w:val="22"/>
        </w:rPr>
        <w:t xml:space="preserve">Concentration Typical: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0.1–1% in finished products (0.5% most common for efficacy + cost balance)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Leave-on formulations: 0.1–1% safe per CIR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Wash-off formulations: Higher tolerance possible, but minimal benefit from penetration enhancement</w:t>
      </w:r>
    </w:p>
    <w:p>
      <w:pPr>
        <w:spacing w:after="120" w:line="300"/>
      </w:pPr>
      <w:r>
        <w:rPr>
          <w:rFonts w:ascii="Arial" w:cs="Arial" w:eastAsia="Arial" w:hAnsi="Arial"/>
          <w:b/>
          <w:bCs/>
          <w:sz w:val="22"/>
          <w:szCs w:val="22"/>
        </w:rPr>
        <w:t xml:space="preserve">Market Position:</w:t>
      </w:r>
      <w:r>
        <w:rPr>
          <w:rFonts w:ascii="Arial" w:cs="Arial" w:eastAsia="Arial" w:hAnsi="Arial"/>
          <w:sz w:val="22"/>
          <w:szCs w:val="22"/>
        </w:rPr>
        <w:t xml:space="preserve"> Standard ingredient in "sensitive skin," "anti-irritant," "soothing" product lines (major cosmetics: Clinique, Avène, La Roche-Posay equivalents).</w:t>
      </w:r>
    </w:p>
    <w:p>
      <w:pPr>
        <w:pStyle w:val="Heading2"/>
        <w:spacing w:after="120" w:before="240"/>
      </w:pPr>
      <w:r>
        <w:rPr>
          <w:rFonts w:ascii="Arial" w:cs="Arial" w:eastAsia="Arial" w:hAnsi="Arial"/>
          <w:b/>
          <w:bCs/>
          <w:color w:val="333333"/>
          <w:sz w:val="26"/>
          <w:szCs w:val="26"/>
        </w:rPr>
        <w:t xml:space="preserve">10.2 Pharmaceutical Excipient Uses</w:t>
      </w:r>
    </w:p>
    <w:p>
      <w:pPr>
        <w:spacing w:after="120" w:line="300"/>
      </w:pPr>
      <w:r>
        <w:rPr>
          <w:rFonts w:ascii="Arial" w:cs="Arial" w:eastAsia="Arial" w:hAnsi="Arial"/>
          <w:b/>
          <w:bCs/>
          <w:sz w:val="22"/>
          <w:szCs w:val="22"/>
        </w:rPr>
        <w:t xml:space="preserve">Transdermal Delivery Enhancement: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Added to patches for improved drug flux (e.g., hormone replacement, pain management)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Typical concentration: 0.5–2% in patch matrix</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Synergized with other penetration enhancers (propylene glycol, octanol, dimethyl formamide)</w:t>
      </w:r>
    </w:p>
    <w:p>
      <w:pPr>
        <w:spacing w:after="120" w:line="300"/>
      </w:pPr>
      <w:r>
        <w:rPr>
          <w:rFonts w:ascii="Arial" w:cs="Arial" w:eastAsia="Arial" w:hAnsi="Arial"/>
          <w:b/>
          <w:bCs/>
          <w:sz w:val="22"/>
          <w:szCs w:val="22"/>
        </w:rPr>
        <w:t xml:space="preserve">Topical Formulations: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Pharmaceutical creams for skin conditions (eczema, dermatitis, wound healing)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Often combined with corticosteroids or non-steroidal anti-inflammatories (NSAIDs) to reduce irritation + enhance absorption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Diclofenac + bisabolol: Pharmacological synergy demonstrated (pain relief + gastric protection)</w:t>
      </w:r>
    </w:p>
    <w:p>
      <w:pPr>
        <w:spacing w:after="120" w:line="300"/>
      </w:pPr>
      <w:r>
        <w:rPr>
          <w:rFonts w:ascii="Arial" w:cs="Arial" w:eastAsia="Arial" w:hAnsi="Arial"/>
          <w:b/>
          <w:bCs/>
          <w:sz w:val="22"/>
          <w:szCs w:val="22"/>
        </w:rPr>
        <w:t xml:space="preserve">Oral Pharmaceutical Products: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Encapsulation in soft gels/capsules for GI protection (anti-ulcer, anti-inflammatory)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Marketed in Europe (particularly Germany, France) as herbal medicine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Dosing: 10–50 mg per dose, 1–3 times daily</w:t>
      </w:r>
    </w:p>
    <w:p>
      <w:pPr>
        <w:pStyle w:val="Heading2"/>
        <w:spacing w:after="120" w:before="240"/>
      </w:pPr>
      <w:r>
        <w:rPr>
          <w:rFonts w:ascii="Arial" w:cs="Arial" w:eastAsia="Arial" w:hAnsi="Arial"/>
          <w:b/>
          <w:bCs/>
          <w:color w:val="333333"/>
          <w:sz w:val="26"/>
          <w:szCs w:val="26"/>
        </w:rPr>
        <w:t xml:space="preserve">10.3 Natural vs. Synthetic Supply Chain</w:t>
      </w:r>
    </w:p>
    <w:p>
      <w:pPr>
        <w:spacing w:after="120" w:line="300"/>
      </w:pPr>
      <w:r>
        <w:rPr>
          <w:rFonts w:ascii="Arial" w:cs="Arial" w:eastAsia="Arial" w:hAnsi="Arial"/>
          <w:b/>
          <w:bCs/>
          <w:sz w:val="22"/>
          <w:szCs w:val="22"/>
        </w:rPr>
        <w:t xml:space="preserve">Natural (-)-α-Bisabolol Sources: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Purity (% active)</w:t>
            </w:r>
          </w:p>
        </w:tc>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Concentration in Plant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German chamomile oil (fractioned)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85–95%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25–50% in essential oil</w:t>
            </w:r>
          </w:p>
        </w:tc>
      </w:tr>
      <w:tr>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Candeia wood oil (fractionated)</w:t>
            </w:r>
          </w:p>
        </w:tc>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95%+</w:t>
            </w:r>
          </w:p>
        </w:tc>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66–91% in essential oil</w:t>
            </w:r>
          </w:p>
        </w:tc>
      </w:tr>
    </w:tbl>
    <w:p>
      <w:pPr>
        <w:spacing w:after="120"/>
      </w:pPr>
    </w:p>
    <w:p>
      <w:pPr>
        <w:spacing w:after="120" w:line="300"/>
      </w:pPr>
      <w:r>
        <w:rPr>
          <w:rFonts w:ascii="Arial" w:cs="Arial" w:eastAsia="Arial" w:hAnsi="Arial"/>
          <w:b/>
          <w:bCs/>
          <w:sz w:val="22"/>
          <w:szCs w:val="22"/>
        </w:rPr>
        <w:t xml:space="preserve">Synthetic Supply: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Purity</w:t>
            </w:r>
          </w:p>
        </w:tc>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Active Isomer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Chemical synthesis (total synthesis, Grignard, etc.)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85–90%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~42.5% (racemic)</w:t>
            </w:r>
          </w:p>
        </w:tc>
      </w:tr>
      <w:tr>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Biotechnology (fermentation, engineered yeast)</w:t>
            </w:r>
          </w:p>
        </w:tc>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90–98%</w:t>
            </w:r>
          </w:p>
        </w:tc>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&gt;95% ((-)-selective)</w:t>
            </w:r>
          </w:p>
        </w:tc>
      </w:tr>
    </w:tbl>
    <w:p>
      <w:pPr>
        <w:spacing w:after="120"/>
      </w:pPr>
    </w:p>
    <w:p>
      <w:pPr>
        <w:spacing w:after="120" w:line="300"/>
      </w:pPr>
      <w:r>
        <w:rPr>
          <w:rFonts w:ascii="Arial" w:cs="Arial" w:eastAsia="Arial" w:hAnsi="Arial"/>
          <w:b/>
          <w:bCs/>
          <w:sz w:val="22"/>
          <w:szCs w:val="22"/>
        </w:rPr>
        <w:t xml:space="preserve">Cost Differential (2025 estimates):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Natural candeia-derived: $15–30/gram (food-grade, &gt;95%)</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Natural chamomile-derived: $10–20/gram (lower purity variance)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Synthetic (racemic): $5–12/gram (lower cost, lower efficacy)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Biotech-fermented: $20–40/gram (emerging; high purity, sustainable)</w:t>
      </w:r>
    </w:p>
    <w:p>
      <w:pPr>
        <w:spacing w:after="120" w:line="300"/>
      </w:pPr>
      <w:r>
        <w:rPr>
          <w:rFonts w:ascii="Arial" w:cs="Arial" w:eastAsia="Arial" w:hAnsi="Arial"/>
          <w:b/>
          <w:bCs/>
          <w:sz w:val="22"/>
          <w:szCs w:val="22"/>
        </w:rPr>
        <w:t xml:space="preserve">Sustainability Trend:</w:t>
      </w:r>
      <w:r>
        <w:rPr>
          <w:rFonts w:ascii="Arial" w:cs="Arial" w:eastAsia="Arial" w:hAnsi="Arial"/>
          <w:sz w:val="22"/>
          <w:szCs w:val="22"/>
        </w:rPr>
        <w:t xml:space="preserve"> Increasing shift from candeia wood harvesting → chamomile extraction → biotechnology fermentation (to reduce deforestation pressure).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11. SENSORY PROFILE &amp; CANNABIS STRAIN PAIRING</w:t>
      </w:r>
    </w:p>
    <w:p>
      <w:pPr>
        <w:pStyle w:val="Heading2"/>
        <w:spacing w:after="120" w:before="240"/>
      </w:pPr>
      <w:r>
        <w:rPr>
          <w:rFonts w:ascii="Arial" w:cs="Arial" w:eastAsia="Arial" w:hAnsi="Arial"/>
          <w:b/>
          <w:bCs/>
          <w:color w:val="333333"/>
          <w:sz w:val="26"/>
          <w:szCs w:val="26"/>
        </w:rPr>
        <w:t xml:space="preserve">11.1 Aroma in Cannabis Context</w:t>
      </w:r>
    </w:p>
    <w:p>
      <w:pPr>
        <w:spacing w:after="120" w:line="300"/>
      </w:pPr>
      <w:r>
        <w:rPr>
          <w:rFonts w:ascii="Arial" w:cs="Arial" w:eastAsia="Arial" w:hAnsi="Arial"/>
          <w:b/>
          <w:bCs/>
          <w:sz w:val="22"/>
          <w:szCs w:val="22"/>
        </w:rPr>
        <w:t xml:space="preserve">Strain Characteristics Enhanced by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Gentle floral strains:</w:t>
      </w:r>
      <w:r>
        <w:rPr>
          <w:rFonts w:ascii="Arial" w:cs="Arial" w:eastAsia="Arial" w:hAnsi="Arial"/>
          <w:sz w:val="22"/>
          <w:szCs w:val="22"/>
        </w:rPr>
        <w:t xml:space="preserve"> Bisabolol reinforces subtle floral notes without overpowering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Honey/sweet strains:</w:t>
      </w:r>
      <w:r>
        <w:rPr>
          <w:rFonts w:ascii="Arial" w:cs="Arial" w:eastAsia="Arial" w:hAnsi="Arial"/>
          <w:sz w:val="22"/>
          <w:szCs w:val="22"/>
        </w:rPr>
        <w:t xml:space="preserve"> Synergistic; bisabolol's honey-like aroma deepens the profile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Chamomile-forward strains:</w:t>
      </w:r>
      <w:r>
        <w:rPr>
          <w:rFonts w:ascii="Arial" w:cs="Arial" w:eastAsia="Arial" w:hAnsi="Arial"/>
          <w:sz w:val="22"/>
          <w:szCs w:val="22"/>
        </w:rPr>
        <w:t xml:space="preserve"> High bisabolol creates authentic chamomile-like sensory experience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Calm/relaxing phenotypes:</w:t>
      </w:r>
      <w:r>
        <w:rPr>
          <w:rFonts w:ascii="Arial" w:cs="Arial" w:eastAsia="Arial" w:hAnsi="Arial"/>
          <w:sz w:val="22"/>
          <w:szCs w:val="22"/>
        </w:rPr>
        <w:t xml:space="preserve"> Bisabolol aroma correlates with lower THC %:CBD ratio strains (bred for anxiolytic effect)</w:t>
      </w:r>
    </w:p>
    <w:p>
      <w:pPr>
        <w:spacing w:after="120" w:line="300"/>
      </w:pPr>
      <w:r>
        <w:rPr>
          <w:rFonts w:ascii="Arial" w:cs="Arial" w:eastAsia="Arial" w:hAnsi="Arial"/>
          <w:b/>
          <w:bCs/>
          <w:sz w:val="22"/>
          <w:szCs w:val="22"/>
        </w:rPr>
        <w:t xml:space="preserve">Strains Known for Bisabolol Content: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UK Cheese (hybrid):</w:t>
      </w:r>
      <w:r>
        <w:rPr>
          <w:rFonts w:ascii="Arial" w:cs="Arial" w:eastAsia="Arial" w:hAnsi="Arial"/>
          <w:sz w:val="22"/>
          <w:szCs w:val="22"/>
        </w:rPr>
        <w:t xml:space="preserve"> Earthy + subtle floral bisabolol notes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Granddaddy Purple:</w:t>
      </w:r>
      <w:r>
        <w:rPr>
          <w:rFonts w:ascii="Arial" w:cs="Arial" w:eastAsia="Arial" w:hAnsi="Arial"/>
          <w:sz w:val="22"/>
          <w:szCs w:val="22"/>
        </w:rPr>
        <w:t xml:space="preserve"> Sweet + light floral (bisabolol + caryophyllene)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Harlequin (high-CBD):</w:t>
      </w:r>
      <w:r>
        <w:rPr>
          <w:rFonts w:ascii="Arial" w:cs="Arial" w:eastAsia="Arial" w:hAnsi="Arial"/>
          <w:sz w:val="22"/>
          <w:szCs w:val="22"/>
        </w:rPr>
        <w:t xml:space="preserve"> Citrus + floral; bisabolol present in some phenotypes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Cannatonic (high-CBD):</w:t>
      </w:r>
      <w:r>
        <w:rPr>
          <w:rFonts w:ascii="Arial" w:cs="Arial" w:eastAsia="Arial" w:hAnsi="Arial"/>
          <w:sz w:val="22"/>
          <w:szCs w:val="22"/>
        </w:rPr>
        <w:t xml:space="preserve"> Earthy + subtle honey (bisabolol likely contributor)</w:t>
      </w:r>
    </w:p>
    <w:p>
      <w:pPr>
        <w:spacing w:after="120" w:line="300"/>
      </w:pPr>
      <w:r>
        <w:rPr>
          <w:rFonts w:ascii="Arial" w:cs="Arial" w:eastAsia="Arial" w:hAnsi="Arial"/>
          <w:b/>
          <w:bCs/>
          <w:sz w:val="22"/>
          <w:szCs w:val="22"/>
        </w:rPr>
        <w:t xml:space="preserve">Sensory Synergy in Pre-Loading: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Inhalation of chamomile or candeia oil (15–30 min prior) </w:t>
      </w:r>
      <w:r>
        <w:rPr>
          <w:rFonts w:ascii="Arial" w:cs="Arial" w:eastAsia="Arial" w:hAnsi="Arial"/>
          <w:b/>
          <w:bCs/>
          <w:sz w:val="22"/>
          <w:szCs w:val="22"/>
        </w:rPr>
        <w:t xml:space="preserve">primes olfactory cortex</w:t>
      </w:r>
      <w:r>
        <w:rPr>
          <w:rFonts w:ascii="Arial" w:cs="Arial" w:eastAsia="Arial" w:hAnsi="Arial"/>
          <w:sz w:val="22"/>
          <w:szCs w:val="22"/>
        </w:rPr>
        <w:t xml:space="preserve"> for bisabolol recognition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When cannabis is consumed, bisabolol in strain (if present) is recognized more consciously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Potential for retronasal olfaction (aroma from mouth to nose post-inhalation) to enhance bisabolol perception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Creates "flavor amplification" effect independent of pharmacology</w:t>
      </w:r>
    </w:p>
    <w:p>
      <w:pPr>
        <w:pStyle w:val="Heading2"/>
        <w:spacing w:after="120" w:before="240"/>
      </w:pPr>
      <w:r>
        <w:rPr>
          <w:rFonts w:ascii="Arial" w:cs="Arial" w:eastAsia="Arial" w:hAnsi="Arial"/>
          <w:b/>
          <w:bCs/>
          <w:color w:val="333333"/>
          <w:sz w:val="26"/>
          <w:szCs w:val="26"/>
        </w:rPr>
        <w:t xml:space="preserve">11.2 Pairing Recommendations for Pre-Loading</w:t>
      </w:r>
    </w:p>
    <w:p>
      <w:pPr>
        <w:spacing w:after="120" w:line="300"/>
      </w:pPr>
      <w:r>
        <w:rPr>
          <w:rFonts w:ascii="Arial" w:cs="Arial" w:eastAsia="Arial" w:hAnsi="Arial"/>
          <w:b/>
          <w:bCs/>
          <w:sz w:val="22"/>
          <w:szCs w:val="22"/>
        </w:rPr>
        <w:t xml:space="preserve">Ideal Strain Profiles: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Cannabis Type</w:t>
            </w:r>
          </w:p>
        </w:tc>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Bisabolol Pre-Load</w:t>
            </w:r>
          </w:p>
        </w:tc>
        <w:tc>
          <w:tcPr>
            <w:tcW w:type="dxa" w:w="312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High-THC, stimulating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Chamomile oil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Bisabolol's calming/GABA-enhancing properties balance stimulation</w:t>
            </w:r>
          </w:p>
        </w:tc>
      </w:tr>
      <w:tr>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High-CBD, therapeutic</w:t>
            </w:r>
          </w:p>
        </w:tc>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Candeia oil (95%)</w:t>
            </w:r>
          </w:p>
        </w:tc>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Synergy with CBD's anxiolytic effects; anti-inflammatory layering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Mixed THC:CBD (1:1)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Chamomile or candeia oil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Gentle modulation; enhances pain relief without psychoactivity</w:t>
            </w:r>
          </w:p>
        </w:tc>
      </w:tr>
      <w:tr>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Low-THC, microdose</w:t>
            </w:r>
          </w:p>
        </w:tc>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Chamomile oil</w:t>
            </w:r>
          </w:p>
        </w:tc>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Ultra-gentle; bisabolol penetration enhancement may boost bioavailability of trace THC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Anxiety-sensitive users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Chamomile essential oil (30–50% bisabolol)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Pre-loading 20–30 min before allows GABA elevation before cannabinoid onset</w:t>
            </w:r>
          </w:p>
        </w:tc>
      </w:tr>
    </w:tbl>
    <w:p>
      <w:pPr>
        <w:spacing w:after="120"/>
      </w:pPr>
    </w:p>
    <w:p>
      <w:pPr>
        <w:spacing w:after="120" w:line="300"/>
      </w:pPr>
      <w:r>
        <w:rPr>
          <w:rFonts w:ascii="Arial" w:cs="Arial" w:eastAsia="Arial" w:hAnsi="Arial"/>
          <w:b/>
          <w:bCs/>
          <w:sz w:val="22"/>
          <w:szCs w:val="22"/>
        </w:rPr>
        <w:t xml:space="preserve">Strain-Specific Pairing (if bisabolol present):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High bisabolol strains:</w:t>
      </w:r>
      <w:r>
        <w:rPr>
          <w:rFonts w:ascii="Arial" w:cs="Arial" w:eastAsia="Arial" w:hAnsi="Arial"/>
          <w:sz w:val="22"/>
          <w:szCs w:val="22"/>
        </w:rPr>
        <w:t xml:space="preserve"> Lighter pre-load (5–10 min inhalation chamomile) to avoid redundancy</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Low/absent bisabolol strains:</w:t>
      </w:r>
      <w:r>
        <w:rPr>
          <w:rFonts w:ascii="Arial" w:cs="Arial" w:eastAsia="Arial" w:hAnsi="Arial"/>
          <w:sz w:val="22"/>
          <w:szCs w:val="22"/>
        </w:rPr>
        <w:t xml:space="preserve"> Robust pre-load (15–20 min) to establish baseline bisabolol effects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Unknown bisabolol profile:</w:t>
      </w:r>
      <w:r>
        <w:rPr>
          <w:rFonts w:ascii="Arial" w:cs="Arial" w:eastAsia="Arial" w:hAnsi="Arial"/>
          <w:sz w:val="22"/>
          <w:szCs w:val="22"/>
        </w:rPr>
        <w:t xml:space="preserve"> Standard 15 min chamomile pre-load (safe, effective)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12. CONTRARIAN EVIDENCE &amp; LIMITATIONS</w:t>
      </w:r>
    </w:p>
    <w:p>
      <w:pPr>
        <w:pStyle w:val="Heading2"/>
        <w:spacing w:after="120" w:before="240"/>
      </w:pPr>
      <w:r>
        <w:rPr>
          <w:rFonts w:ascii="Arial" w:cs="Arial" w:eastAsia="Arial" w:hAnsi="Arial"/>
          <w:b/>
          <w:bCs/>
          <w:color w:val="333333"/>
          <w:sz w:val="26"/>
          <w:szCs w:val="26"/>
        </w:rPr>
        <w:t xml:space="preserve">12.1 High Boiling Point — Inhalation Delivery Challenge</w:t>
      </w:r>
    </w:p>
    <w:p>
      <w:pPr>
        <w:spacing w:after="120" w:line="300"/>
      </w:pPr>
      <w:r>
        <w:rPr>
          <w:rFonts w:ascii="Arial" w:cs="Arial" w:eastAsia="Arial" w:hAnsi="Arial"/>
          <w:b/>
          <w:bCs/>
          <w:sz w:val="22"/>
          <w:szCs w:val="22"/>
        </w:rPr>
        <w:t xml:space="preserve">Critical Limitation for Pre-Loading Protocol:</w:t>
      </w:r>
    </w:p>
    <w:p>
      <w:pPr>
        <w:spacing w:after="120" w:line="300"/>
      </w:pPr>
      <w:r>
        <w:rPr>
          <w:rFonts w:ascii="Arial" w:cs="Arial" w:eastAsia="Arial" w:hAnsi="Arial"/>
          <w:sz w:val="22"/>
          <w:szCs w:val="22"/>
        </w:rPr>
        <w:t xml:space="preserve">Bisabolol boiling point </w:t>
      </w:r>
      <w:r>
        <w:rPr>
          <w:rFonts w:ascii="Arial" w:cs="Arial" w:eastAsia="Arial" w:hAnsi="Arial"/>
          <w:b/>
          <w:bCs/>
          <w:sz w:val="22"/>
          <w:szCs w:val="22"/>
        </w:rPr>
        <w:t xml:space="preserve">313–315°C</w:t>
      </w:r>
      <w:r>
        <w:rPr>
          <w:rFonts w:ascii="Arial" w:cs="Arial" w:eastAsia="Arial" w:hAnsi="Arial"/>
          <w:sz w:val="22"/>
          <w:szCs w:val="22"/>
        </w:rPr>
        <w:t xml:space="preserve"> creates a significant barrier to inhalation delivery:</w:t>
      </w:r>
    </w:p>
    <w:p>
      <w:pPr>
        <w:spacing w:after="120" w:line="300"/>
      </w:pPr>
      <w:r>
        <w:rPr>
          <w:rFonts w:ascii="Arial" w:cs="Arial" w:eastAsia="Arial" w:hAnsi="Arial"/>
          <w:b/>
          <w:bCs/>
          <w:sz w:val="22"/>
          <w:szCs w:val="22"/>
        </w:rPr>
        <w:t xml:space="preserve">Comparative Terpene Volatility: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Terpene</w:t>
            </w:r>
          </w:p>
        </w:tc>
        <w:tc>
          <w:tcPr>
            <w:tcW w:type="dxa" w:w="234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BP (°C)</w:t>
            </w:r>
          </w:p>
        </w:tc>
        <w:tc>
          <w:tcPr>
            <w:tcW w:type="dxa" w:w="234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Volatilization at 180°C</w:t>
            </w:r>
          </w:p>
        </w:tc>
        <w:tc>
          <w:tcPr>
            <w:tcW w:type="dxa" w:w="234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Inhalation Efficiency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Myrcene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167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~90–95%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Immediate, complete</w:t>
            </w:r>
          </w:p>
        </w:tc>
      </w:tr>
      <w:tr>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Limonene</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176</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~85–90%</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Immediate, complete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Pinene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~95–98%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Immediate, complete</w:t>
            </w:r>
          </w:p>
        </w:tc>
      </w:tr>
      <w:tr>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Linalool</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198</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~70–80%</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efficiency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Caryophyllene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219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efficiency</w:t>
            </w:r>
          </w:p>
        </w:tc>
      </w:tr>
      <w:tr>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Bisabolol</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313–315</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&lt;10–20%</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Poor efficiency</w:t>
            </w:r>
          </w:p>
        </w:tc>
      </w:tr>
    </w:tbl>
    <w:p>
      <w:pPr>
        <w:spacing w:after="120"/>
      </w:pPr>
    </w:p>
    <w:p>
      <w:pPr>
        <w:spacing w:after="120" w:line="300"/>
      </w:pPr>
      <w:r>
        <w:rPr>
          <w:rFonts w:ascii="Arial" w:cs="Arial" w:eastAsia="Arial" w:hAnsi="Arial"/>
          <w:b/>
          <w:bCs/>
          <w:sz w:val="22"/>
          <w:szCs w:val="22"/>
        </w:rPr>
        <w:t xml:space="preserve">Vaporization Dynamics: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Standard vaporizer temperature: 160–220°C (optimal cannabinoid delivery)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At 180°C (typical), bisabolol vapor pressure remains &lt;1% of saturation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Monoterpenes completely volatilize within 20 seconds of heating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requires </w:t>
      </w:r>
      <w:r>
        <w:rPr>
          <w:rFonts w:ascii="Arial" w:cs="Arial" w:eastAsia="Arial" w:hAnsi="Arial"/>
          <w:b/>
          <w:bCs/>
          <w:sz w:val="22"/>
          <w:szCs w:val="22"/>
        </w:rPr>
        <w:t xml:space="preserve">sustained heating &gt;250°C</w:t>
      </w:r>
      <w:r>
        <w:rPr>
          <w:rFonts w:ascii="Arial" w:cs="Arial" w:eastAsia="Arial" w:hAnsi="Arial"/>
          <w:sz w:val="22"/>
          <w:szCs w:val="22"/>
        </w:rPr>
        <w:t xml:space="preserve"> for meaningful volatilization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Practical consequence: Bisabolol in cannabis remains in plant matrix at normal vaping temperatures; does NOT reach alveolar tissue via inhalation at therapeutic dose</w:t>
      </w:r>
    </w:p>
    <w:p>
      <w:pPr>
        <w:spacing w:after="120" w:line="300"/>
      </w:pPr>
      <w:r>
        <w:rPr>
          <w:rFonts w:ascii="Arial" w:cs="Arial" w:eastAsia="Arial" w:hAnsi="Arial"/>
          <w:b/>
          <w:bCs/>
          <w:sz w:val="22"/>
          <w:szCs w:val="22"/>
        </w:rPr>
        <w:t xml:space="preserve">Implications for Pre-Loading: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Chamomile essential oil inhalation:</w:t>
      </w:r>
      <w:r>
        <w:rPr>
          <w:rFonts w:ascii="Arial" w:cs="Arial" w:eastAsia="Arial" w:hAnsi="Arial"/>
          <w:sz w:val="22"/>
          <w:szCs w:val="22"/>
        </w:rPr>
        <w:t xml:space="preserve"> May deliver 5–15 mg bisabolol to oral/nasal mucosa; minimal alveolar deposition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Candeia oil inhalation:</w:t>
      </w:r>
      <w:r>
        <w:rPr>
          <w:rFonts w:ascii="Arial" w:cs="Arial" w:eastAsia="Arial" w:hAnsi="Arial"/>
          <w:sz w:val="22"/>
          <w:szCs w:val="22"/>
        </w:rPr>
        <w:t xml:space="preserve"> Higher bisabolol concentration; still limited by boiling point physics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Vaporized cannabis containing bisabolol:</w:t>
      </w:r>
      <w:r>
        <w:rPr>
          <w:rFonts w:ascii="Arial" w:cs="Arial" w:eastAsia="Arial" w:hAnsi="Arial"/>
          <w:sz w:val="22"/>
          <w:szCs w:val="22"/>
        </w:rPr>
        <w:t xml:space="preserve"> Bisabolol largely remains unconsumed; primarily smoked (combustion, reduced bioavailability)</w:t>
      </w:r>
    </w:p>
    <w:p>
      <w:pPr>
        <w:spacing w:after="120" w:line="300"/>
      </w:pPr>
      <w:r>
        <w:rPr>
          <w:rFonts w:ascii="Arial" w:cs="Arial" w:eastAsia="Arial" w:hAnsi="Arial"/>
          <w:b/>
          <w:bCs/>
          <w:sz w:val="22"/>
          <w:szCs w:val="22"/>
        </w:rPr>
        <w:t xml:space="preserve">Alternative Delivery for Pre-Loading: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Oral ingestion</w:t>
      </w:r>
      <w:r>
        <w:rPr>
          <w:rFonts w:ascii="Arial" w:cs="Arial" w:eastAsia="Arial" w:hAnsi="Arial"/>
          <w:sz w:val="22"/>
          <w:szCs w:val="22"/>
        </w:rPr>
        <w:t xml:space="preserve"> (tea, sublingual tincture): Bypasses volatilization; oral mucosa absorption + GI absorption (30–90 min onset)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Topical application + transdermal permeation:</w:t>
      </w:r>
      <w:r>
        <w:rPr>
          <w:rFonts w:ascii="Arial" w:cs="Arial" w:eastAsia="Arial" w:hAnsi="Arial"/>
          <w:sz w:val="22"/>
          <w:szCs w:val="22"/>
        </w:rPr>
        <w:t xml:space="preserve"> Utilizes bisabolol's penetration-enhancement property to cross skin barrier (systemic levels achieved in 60–120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Smoke inhalation (not vaporization):</w:t>
      </w:r>
      <w:r>
        <w:rPr>
          <w:rFonts w:ascii="Arial" w:cs="Arial" w:eastAsia="Arial" w:hAnsi="Arial"/>
          <w:sz w:val="22"/>
          <w:szCs w:val="22"/>
        </w:rPr>
        <w:t xml:space="preserve"> Combustion of chamomile flowers/oils may create finer particulates, increasing lung surface area contact (low-efficiency route; hazardous)</w:t>
      </w:r>
    </w:p>
    <w:p>
      <w:pPr>
        <w:pStyle w:val="Heading2"/>
        <w:spacing w:after="120" w:before="240"/>
      </w:pPr>
      <w:r>
        <w:rPr>
          <w:rFonts w:ascii="Arial" w:cs="Arial" w:eastAsia="Arial" w:hAnsi="Arial"/>
          <w:b/>
          <w:bCs/>
          <w:color w:val="333333"/>
          <w:sz w:val="26"/>
          <w:szCs w:val="26"/>
        </w:rPr>
        <w:t xml:space="preserve">12.2 Candeia Tree Conservation Concerns</w:t>
      </w:r>
    </w:p>
    <w:p>
      <w:pPr>
        <w:spacing w:after="120" w:line="300"/>
      </w:pPr>
      <w:r>
        <w:rPr>
          <w:rFonts w:ascii="Arial" w:cs="Arial" w:eastAsia="Arial" w:hAnsi="Arial"/>
          <w:b/>
          <w:bCs/>
          <w:sz w:val="22"/>
          <w:szCs w:val="22"/>
        </w:rPr>
        <w:t xml:space="preserve">Deforestation Risk:</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While current Brazilian law protects candeia forests, </w:t>
      </w:r>
      <w:r>
        <w:rPr>
          <w:rFonts w:ascii="Arial" w:cs="Arial" w:eastAsia="Arial" w:hAnsi="Arial"/>
          <w:b/>
          <w:bCs/>
          <w:sz w:val="22"/>
          <w:szCs w:val="22"/>
        </w:rPr>
        <w:t xml:space="preserve">enforcement variability</w:t>
      </w:r>
      <w:r>
        <w:rPr>
          <w:rFonts w:ascii="Arial" w:cs="Arial" w:eastAsia="Arial" w:hAnsi="Arial"/>
          <w:sz w:val="22"/>
          <w:szCs w:val="22"/>
        </w:rPr>
        <w:t xml:space="preserve"> across regions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Illegal harvesting still occurs in remote areas of Atlantic Forest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Tree's slow growth rate (5–20 year maturation) means overexploitation has long recovery timescales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If synthetic bisabolol production remains economically unfavorable, pressure on wild populations may resurface</w:t>
      </w:r>
    </w:p>
    <w:p>
      <w:pPr>
        <w:spacing w:after="120" w:line="300"/>
      </w:pPr>
      <w:r>
        <w:rPr>
          <w:rFonts w:ascii="Arial" w:cs="Arial" w:eastAsia="Arial" w:hAnsi="Arial"/>
          <w:b/>
          <w:bCs/>
          <w:sz w:val="22"/>
          <w:szCs w:val="22"/>
        </w:rPr>
        <w:t xml:space="preserve">Sustainability Due Diligence: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Pre-loading protocols using candeia oil should </w:t>
      </w:r>
      <w:r>
        <w:rPr>
          <w:rFonts w:ascii="Arial" w:cs="Arial" w:eastAsia="Arial" w:hAnsi="Arial"/>
          <w:b/>
          <w:bCs/>
          <w:sz w:val="22"/>
          <w:szCs w:val="22"/>
        </w:rPr>
        <w:t xml:space="preserve">source only from certified sustainable suppliers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Example: Citróleo Group (certified sustainable harvesting)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Avoid non-certified suppliers from unknown origin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Consider </w:t>
      </w:r>
      <w:r>
        <w:rPr>
          <w:rFonts w:ascii="Arial" w:cs="Arial" w:eastAsia="Arial" w:hAnsi="Arial"/>
          <w:b/>
          <w:bCs/>
          <w:sz w:val="22"/>
          <w:szCs w:val="22"/>
        </w:rPr>
        <w:t xml:space="preserve">chamomile oil alternatives</w:t>
      </w:r>
      <w:r>
        <w:rPr>
          <w:rFonts w:ascii="Arial" w:cs="Arial" w:eastAsia="Arial" w:hAnsi="Arial"/>
          <w:sz w:val="22"/>
          <w:szCs w:val="22"/>
        </w:rPr>
        <w:t xml:space="preserve"> (renewable, cultivated extensively) to reduce candeia extraction pressure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Support </w:t>
      </w:r>
      <w:r>
        <w:rPr>
          <w:rFonts w:ascii="Arial" w:cs="Arial" w:eastAsia="Arial" w:hAnsi="Arial"/>
          <w:b/>
          <w:bCs/>
          <w:sz w:val="22"/>
          <w:szCs w:val="22"/>
        </w:rPr>
        <w:t xml:space="preserve">biotechnology fermentation sources</w:t>
      </w:r>
      <w:r>
        <w:rPr>
          <w:rFonts w:ascii="Arial" w:cs="Arial" w:eastAsia="Arial" w:hAnsi="Arial"/>
          <w:sz w:val="22"/>
          <w:szCs w:val="22"/>
        </w:rPr>
        <w:t xml:space="preserve"> for synthetic (-)-bisabolol to reduce dependence on wild-harvested oils</w:t>
      </w:r>
    </w:p>
    <w:p>
      <w:pPr>
        <w:pStyle w:val="Heading2"/>
        <w:spacing w:after="120" w:before="240"/>
      </w:pPr>
      <w:r>
        <w:rPr>
          <w:rFonts w:ascii="Arial" w:cs="Arial" w:eastAsia="Arial" w:hAnsi="Arial"/>
          <w:b/>
          <w:bCs/>
          <w:color w:val="333333"/>
          <w:sz w:val="26"/>
          <w:szCs w:val="26"/>
        </w:rPr>
        <w:t xml:space="preserve">12.3 Limited Direct Receptor Binding Data</w:t>
      </w:r>
    </w:p>
    <w:p>
      <w:pPr>
        <w:spacing w:after="120" w:line="300"/>
      </w:pPr>
      <w:r>
        <w:rPr>
          <w:rFonts w:ascii="Arial" w:cs="Arial" w:eastAsia="Arial" w:hAnsi="Arial"/>
          <w:b/>
          <w:bCs/>
          <w:sz w:val="22"/>
          <w:szCs w:val="22"/>
        </w:rPr>
        <w:t xml:space="preserve">Unknown Direct Cannabinoid Receptor Interactions: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No published studies of bisabolol's affinity for CB₁, CB₂ receptors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Assumed indirect modulation via: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Anti-inflammatory state (reduced neuroinflammation → lower CB receptor activation threshold)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GABA enhancement (synergistic with CB₁-mediated anxiolysis)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Pain pathway modulation (sodium/calcium channel blocking independent of cannabinoids)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But </w:t>
      </w:r>
      <w:r>
        <w:rPr>
          <w:rFonts w:ascii="Arial" w:cs="Arial" w:eastAsia="Arial" w:hAnsi="Arial"/>
          <w:b/>
          <w:bCs/>
          <w:sz w:val="22"/>
          <w:szCs w:val="22"/>
        </w:rPr>
        <w:t xml:space="preserve">direct CB₁/CB₂ agonism/antagonism NOT established</w:t>
      </w:r>
    </w:p>
    <w:p>
      <w:pPr>
        <w:spacing w:after="120" w:line="300"/>
      </w:pPr>
      <w:r>
        <w:rPr>
          <w:rFonts w:ascii="Arial" w:cs="Arial" w:eastAsia="Arial" w:hAnsi="Arial"/>
          <w:b/>
          <w:bCs/>
          <w:sz w:val="22"/>
          <w:szCs w:val="22"/>
        </w:rPr>
        <w:t xml:space="preserve">Implications: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Pre-loading bisabolol does NOT directly prime cannabinoid receptors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Effects are mediated through separate pharmacology (anti-inflammatory, GABAergic, pain pathways)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"Entourage effect" framing may overstate bisabolol's role; better described as "complementary phytopharmacology"</w:t>
      </w:r>
    </w:p>
    <w:p>
      <w:pPr>
        <w:pStyle w:val="Heading2"/>
        <w:spacing w:after="120" w:before="240"/>
      </w:pPr>
      <w:r>
        <w:rPr>
          <w:rFonts w:ascii="Arial" w:cs="Arial" w:eastAsia="Arial" w:hAnsi="Arial"/>
          <w:b/>
          <w:bCs/>
          <w:color w:val="333333"/>
          <w:sz w:val="26"/>
          <w:szCs w:val="26"/>
        </w:rPr>
        <w:t xml:space="preserve">12.4 Lack of Human Pharmacokinetic Data for Inhalation</w:t>
      </w:r>
    </w:p>
    <w:p>
      <w:pPr>
        <w:spacing w:after="120" w:line="300"/>
      </w:pPr>
      <w:r>
        <w:rPr>
          <w:rFonts w:ascii="Arial" w:cs="Arial" w:eastAsia="Arial" w:hAnsi="Arial"/>
          <w:b/>
          <w:bCs/>
          <w:sz w:val="22"/>
          <w:szCs w:val="22"/>
        </w:rPr>
        <w:t xml:space="preserve">Specific Gaps: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No human PK studies</w:t>
      </w:r>
      <w:r>
        <w:rPr>
          <w:rFonts w:ascii="Arial" w:cs="Arial" w:eastAsia="Arial" w:hAnsi="Arial"/>
          <w:sz w:val="22"/>
          <w:szCs w:val="22"/>
        </w:rPr>
        <w:t xml:space="preserve"> of inhaled/vaporized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Serum levels post-inhalation: Unknown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Time to peak plasma concentration: Unknown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Bioavailability (inhalation vs. oral): Unknown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Half-life in human plasma: Unknown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No human co-administration studies</w:t>
      </w:r>
      <w:r>
        <w:rPr>
          <w:rFonts w:ascii="Arial" w:cs="Arial" w:eastAsia="Arial" w:hAnsi="Arial"/>
          <w:sz w:val="22"/>
          <w:szCs w:val="22"/>
        </w:rPr>
        <w:t xml:space="preserve"> (bisabolol + THC/CBD)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Pharmacokinetic interaction: Unknown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Synergistic vs. antagonistic effects: Not formally studied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Optimal pre-loading time window: Empirical only</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No randomized controlled trials</w:t>
      </w:r>
      <w:r>
        <w:rPr>
          <w:rFonts w:ascii="Arial" w:cs="Arial" w:eastAsia="Arial" w:hAnsi="Arial"/>
          <w:sz w:val="22"/>
          <w:szCs w:val="22"/>
        </w:rPr>
        <w:t xml:space="preserve"> comparing bisabolol pre-loading to placebo in cannabis users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Any reported efficacy is anecdotal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Bias toward positive reporting (confirmation bias, expectancy effects)</w:t>
      </w:r>
    </w:p>
    <w:p>
      <w:pPr>
        <w:spacing w:after="120" w:line="300"/>
      </w:pPr>
      <w:r>
        <w:rPr>
          <w:rFonts w:ascii="Arial" w:cs="Arial" w:eastAsia="Arial" w:hAnsi="Arial"/>
          <w:b/>
          <w:bCs/>
          <w:sz w:val="22"/>
          <w:szCs w:val="22"/>
        </w:rPr>
        <w:t xml:space="preserve">Research Needs: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Human PK study (inhaled chamomile oil, 50% bisabolol, 50 mL dose)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Bioavailability comparison (oral tea vs. sublingual tincture vs. inhalation)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RCT: Bisabolol pre-loading + THC/CBD in anxiety-sensitive users (primary outcome: subjective anxiety reduction)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Drug interaction study (bisabolol plasma levels with/without THC co-administration)</w:t>
      </w:r>
    </w:p>
    <w:p>
      <w:pPr>
        <w:pStyle w:val="Heading2"/>
        <w:spacing w:after="120" w:before="240"/>
      </w:pPr>
      <w:r>
        <w:rPr>
          <w:rFonts w:ascii="Arial" w:cs="Arial" w:eastAsia="Arial" w:hAnsi="Arial"/>
          <w:b/>
          <w:bCs/>
          <w:color w:val="333333"/>
          <w:sz w:val="26"/>
          <w:szCs w:val="26"/>
        </w:rPr>
        <w:t xml:space="preserve">12.5 Synthetic vs. Natural Efficacy — Incomplete Evidence</w:t>
      </w:r>
    </w:p>
    <w:p>
      <w:pPr>
        <w:spacing w:after="120" w:line="300"/>
      </w:pPr>
      <w:r>
        <w:rPr>
          <w:rFonts w:ascii="Arial" w:cs="Arial" w:eastAsia="Arial" w:hAnsi="Arial"/>
          <w:b/>
          <w:bCs/>
          <w:sz w:val="22"/>
          <w:szCs w:val="22"/>
        </w:rPr>
        <w:t xml:space="preserve">Claim:</w:t>
      </w:r>
      <w:r>
        <w:rPr>
          <w:rFonts w:ascii="Arial" w:cs="Arial" w:eastAsia="Arial" w:hAnsi="Arial"/>
          <w:sz w:val="22"/>
          <w:szCs w:val="22"/>
        </w:rPr>
        <w:t xml:space="preserve"> Natural (-)-α-bisabolol is 2× more potent than synthetic racemic mixture</w:t>
      </w:r>
    </w:p>
    <w:p>
      <w:pPr>
        <w:spacing w:after="120" w:line="300"/>
      </w:pPr>
      <w:r>
        <w:rPr>
          <w:rFonts w:ascii="Arial" w:cs="Arial" w:eastAsia="Arial" w:hAnsi="Arial"/>
          <w:b/>
          <w:bCs/>
          <w:sz w:val="22"/>
          <w:szCs w:val="22"/>
        </w:rPr>
        <w:t xml:space="preserve">Evidence Base: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Based on </w:t>
      </w:r>
      <w:r>
        <w:rPr>
          <w:rFonts w:ascii="Arial" w:cs="Arial" w:eastAsia="Arial" w:hAnsi="Arial"/>
          <w:b/>
          <w:bCs/>
          <w:sz w:val="22"/>
          <w:szCs w:val="22"/>
        </w:rPr>
        <w:t xml:space="preserve">in vitro transdermal penetration studies</w:t>
      </w:r>
      <w:r>
        <w:rPr>
          <w:rFonts w:ascii="Arial" w:cs="Arial" w:eastAsia="Arial" w:hAnsi="Arial"/>
          <w:sz w:val="22"/>
          <w:szCs w:val="22"/>
        </w:rPr>
        <w:t xml:space="preserve"> (Franz diffusion cells)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Extrapolation to in vivo efficacy assumes linear dose-response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No human pharmacodynamic studies</w:t>
      </w:r>
      <w:r>
        <w:rPr>
          <w:rFonts w:ascii="Arial" w:cs="Arial" w:eastAsia="Arial" w:hAnsi="Arial"/>
          <w:sz w:val="22"/>
          <w:szCs w:val="22"/>
        </w:rPr>
        <w:t xml:space="preserve"> comparing natural vs. synthetic bisabolol effects on any clinical outcome</w:t>
      </w:r>
    </w:p>
    <w:p>
      <w:pPr>
        <w:spacing w:after="120" w:line="300"/>
      </w:pPr>
      <w:r>
        <w:rPr>
          <w:rFonts w:ascii="Arial" w:cs="Arial" w:eastAsia="Arial" w:hAnsi="Arial"/>
          <w:b/>
          <w:bCs/>
          <w:sz w:val="22"/>
          <w:szCs w:val="22"/>
        </w:rPr>
        <w:t xml:space="preserve">Potential Confounds: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Natural sources may contain other synergistic compounds (chamazulene, flavonoids, farnesol) that boost efficacy beyond bisabolol alone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Synthetic "excipients" (solvents, preservatives) may reduce bioavailability independently of bisabolol isomerism</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Bioavailability varies by formulation (emulsion, suspension, solution) regardless of enantiomeric purity</w:t>
      </w:r>
    </w:p>
    <w:p>
      <w:pPr>
        <w:spacing w:after="120" w:line="300"/>
      </w:pPr>
      <w:r>
        <w:rPr>
          <w:rFonts w:ascii="Arial" w:cs="Arial" w:eastAsia="Arial" w:hAnsi="Arial"/>
          <w:b/>
          <w:bCs/>
          <w:sz w:val="22"/>
          <w:szCs w:val="22"/>
        </w:rPr>
        <w:t xml:space="preserve">Practical Implication: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Natural bisabolol likely superior for cosmetic/topical use (transdermal enhancement)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For pre-loading (oral, inhalation), efficacy gap may be smaller than 2× due to confounding factors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Cost premium for natural may not justify benefit for inhalation pre-loading protocol</w:t>
      </w:r>
    </w:p>
    <w:p>
      <w:pPr>
        <w:pStyle w:val="Heading2"/>
        <w:spacing w:after="120" w:before="240"/>
      </w:pPr>
      <w:r>
        <w:rPr>
          <w:rFonts w:ascii="Arial" w:cs="Arial" w:eastAsia="Arial" w:hAnsi="Arial"/>
          <w:b/>
          <w:bCs/>
          <w:color w:val="333333"/>
          <w:sz w:val="26"/>
          <w:szCs w:val="26"/>
        </w:rPr>
        <w:t xml:space="preserve">12.6 Entourage Effect — Mixed Evidence</w:t>
      </w:r>
    </w:p>
    <w:p>
      <w:pPr>
        <w:spacing w:after="120" w:line="300"/>
      </w:pPr>
      <w:r>
        <w:rPr>
          <w:rFonts w:ascii="Arial" w:cs="Arial" w:eastAsia="Arial" w:hAnsi="Arial"/>
          <w:b/>
          <w:bCs/>
          <w:sz w:val="22"/>
          <w:szCs w:val="22"/>
        </w:rPr>
        <w:t xml:space="preserve">Consensus from 2020–2025 Reviews: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Entourage effect is </w:t>
      </w:r>
      <w:r>
        <w:rPr>
          <w:rFonts w:ascii="Arial" w:cs="Arial" w:eastAsia="Arial" w:hAnsi="Arial"/>
          <w:b/>
          <w:bCs/>
          <w:sz w:val="22"/>
          <w:szCs w:val="22"/>
        </w:rPr>
        <w:t xml:space="preserve">theoretically plausible</w:t>
      </w:r>
      <w:r>
        <w:rPr>
          <w:rFonts w:ascii="Arial" w:cs="Arial" w:eastAsia="Arial" w:hAnsi="Arial"/>
          <w:sz w:val="22"/>
          <w:szCs w:val="22"/>
        </w:rPr>
        <w:t xml:space="preserve"> but </w:t>
      </w:r>
      <w:r>
        <w:rPr>
          <w:rFonts w:ascii="Arial" w:cs="Arial" w:eastAsia="Arial" w:hAnsi="Arial"/>
          <w:b/>
          <w:bCs/>
          <w:sz w:val="22"/>
          <w:szCs w:val="22"/>
        </w:rPr>
        <w:t xml:space="preserve">not definitively proven</w:t>
      </w:r>
      <w:r>
        <w:rPr>
          <w:rFonts w:ascii="Arial" w:cs="Arial" w:eastAsia="Arial" w:hAnsi="Arial"/>
          <w:sz w:val="22"/>
          <w:szCs w:val="22"/>
        </w:rPr>
        <w:t xml:space="preserve"> in humans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Most human studies lack adequate controls for: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Expectancy effects (knowing full-spectrum vs. isolated cannabinoid)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Dosing equivalence (matching total phytocannabinoid dose)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Terpene concentration variability</w:t>
      </w:r>
    </w:p>
    <w:p>
      <w:pPr>
        <w:spacing w:after="120" w:line="300"/>
      </w:pPr>
      <w:r>
        <w:rPr>
          <w:rFonts w:ascii="Arial" w:cs="Arial" w:eastAsia="Arial" w:hAnsi="Arial"/>
          <w:b/>
          <w:bCs/>
          <w:sz w:val="22"/>
          <w:szCs w:val="22"/>
        </w:rPr>
        <w:t xml:space="preserve">Conflicting Results: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Some in vitro studies show terpene + cannabinoid synergy (CB₁ activation, TRPV1 modulation)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Many human trials show </w:t>
      </w:r>
      <w:r>
        <w:rPr>
          <w:rFonts w:ascii="Arial" w:cs="Arial" w:eastAsia="Arial" w:hAnsi="Arial"/>
          <w:b/>
          <w:bCs/>
          <w:sz w:val="22"/>
          <w:szCs w:val="22"/>
        </w:rPr>
        <w:t xml:space="preserve">no additive benefit</w:t>
      </w:r>
      <w:r>
        <w:rPr>
          <w:rFonts w:ascii="Arial" w:cs="Arial" w:eastAsia="Arial" w:hAnsi="Arial"/>
          <w:sz w:val="22"/>
          <w:szCs w:val="22"/>
        </w:rPr>
        <w:t xml:space="preserve"> of full-spectrum extracts over THC/CBD isolates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2020 FASEB review claimed terpene activation of CB₁ in vivo; heavily criticized for non-standard behavioral endpoints</w:t>
      </w:r>
    </w:p>
    <w:p>
      <w:pPr>
        <w:spacing w:after="120" w:line="300"/>
      </w:pPr>
      <w:r>
        <w:rPr>
          <w:rFonts w:ascii="Arial" w:cs="Arial" w:eastAsia="Arial" w:hAnsi="Arial"/>
          <w:b/>
          <w:bCs/>
          <w:sz w:val="22"/>
          <w:szCs w:val="22"/>
        </w:rPr>
        <w:t xml:space="preserve">Implication for Bisabolol Pre-Loading: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Pre-loading bisabolol does </w:t>
      </w:r>
      <w:r>
        <w:rPr>
          <w:rFonts w:ascii="Arial" w:cs="Arial" w:eastAsia="Arial" w:hAnsi="Arial"/>
          <w:b/>
          <w:bCs/>
          <w:sz w:val="22"/>
          <w:szCs w:val="22"/>
        </w:rPr>
        <w:t xml:space="preserve">NOT rely on "entourage effect"</w:t>
      </w:r>
      <w:r>
        <w:rPr>
          <w:rFonts w:ascii="Arial" w:cs="Arial" w:eastAsia="Arial" w:hAnsi="Arial"/>
          <w:sz w:val="22"/>
          <w:szCs w:val="22"/>
        </w:rPr>
        <w:t xml:space="preserve"> in strict sense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Better framed as: "Complementary pharmacology" — bisabolol provides anti-inflammatory, GABAergic, analgesic effects </w:t>
      </w:r>
      <w:r>
        <w:rPr>
          <w:rFonts w:ascii="Arial" w:cs="Arial" w:eastAsia="Arial" w:hAnsi="Arial"/>
          <w:b/>
          <w:bCs/>
          <w:sz w:val="22"/>
          <w:szCs w:val="22"/>
        </w:rPr>
        <w:t xml:space="preserve">independent</w:t>
      </w:r>
      <w:r>
        <w:rPr>
          <w:rFonts w:ascii="Arial" w:cs="Arial" w:eastAsia="Arial" w:hAnsi="Arial"/>
          <w:sz w:val="22"/>
          <w:szCs w:val="22"/>
        </w:rPr>
        <w:t xml:space="preserve"> of cannabinoid pathways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Synergy may occur at integrative level (reduced pain + reduced anxiety + anti-inflammatory baseline), but NOT through direct CB receptor enhancement</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13. PRE-LOADING IMPLICATIONS &amp; PROTOCOL DESIGN</w:t>
      </w:r>
    </w:p>
    <w:p>
      <w:pPr>
        <w:pStyle w:val="Heading2"/>
        <w:spacing w:after="120" w:before="240"/>
      </w:pPr>
      <w:r>
        <w:rPr>
          <w:rFonts w:ascii="Arial" w:cs="Arial" w:eastAsia="Arial" w:hAnsi="Arial"/>
          <w:b/>
          <w:bCs/>
          <w:color w:val="333333"/>
          <w:sz w:val="26"/>
          <w:szCs w:val="26"/>
        </w:rPr>
        <w:t xml:space="preserve">13.1 Mechanistic Rationale for Pre-Loading Strategy</w:t>
      </w:r>
    </w:p>
    <w:p>
      <w:pPr>
        <w:spacing w:after="120" w:line="300"/>
      </w:pPr>
      <w:r>
        <w:rPr>
          <w:rFonts w:ascii="Arial" w:cs="Arial" w:eastAsia="Arial" w:hAnsi="Arial"/>
          <w:b/>
          <w:bCs/>
          <w:sz w:val="22"/>
          <w:szCs w:val="22"/>
        </w:rPr>
        <w:t xml:space="preserve">Why Bisabolol Pre-Loading 15–30 Minutes Before Cannabis?</w:t>
      </w:r>
    </w:p>
    <w:p>
      <w:pPr>
        <w:spacing w:after="100" w:before="200"/>
      </w:pPr>
      <w:r>
        <w:rPr>
          <w:rFonts w:ascii="Arial" w:cs="Arial" w:eastAsia="Arial" w:hAnsi="Arial"/>
          <w:b/>
          <w:bCs/>
          <w:color w:val="444444"/>
          <w:sz w:val="24"/>
          <w:szCs w:val="24"/>
        </w:rPr>
        <w:t xml:space="preserve">A. Anti-Inflammatory Baseline (Onset: 30–90 min oral, variable inhalation)</w:t>
      </w:r>
    </w:p>
    <w:p>
      <w:pPr>
        <w:spacing w:after="120" w:line="300"/>
      </w:pPr>
      <w:r>
        <w:rPr>
          <w:rFonts w:ascii="Arial" w:cs="Arial" w:eastAsia="Arial" w:hAnsi="Arial"/>
          <w:b/>
          <w:bCs/>
          <w:sz w:val="22"/>
          <w:szCs w:val="22"/>
        </w:rPr>
        <w:t xml:space="preserve">Mechanism:</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(-)-α-Bisabolol inhibits NF-κB, MAPK pathways → ↓ pro-inflammatory cytokines (IL-6, TNF-α, IL-8)</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Increases SOD, reduces oxidative stress in tissues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Oral dose (chamomile tea, 2–4 cups): ~20–50 mg bisabolol, peaks 30–90 min post-ingestion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Inhalation: Minimal systemic absorption (boiling point limitation), but local mucosal effects in respiratory tract</w:t>
      </w:r>
    </w:p>
    <w:p>
      <w:pPr>
        <w:spacing w:after="120" w:line="300"/>
      </w:pPr>
      <w:r>
        <w:rPr>
          <w:rFonts w:ascii="Arial" w:cs="Arial" w:eastAsia="Arial" w:hAnsi="Arial"/>
          <w:b/>
          <w:bCs/>
          <w:sz w:val="22"/>
          <w:szCs w:val="22"/>
        </w:rPr>
        <w:t xml:space="preserve">Pre-Loading Effect: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By time cannabis is consumed (30 min post-pre-load), baseline inflammation reduced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Cannabinoid CB₂ receptors (immune-modulatory) encounter lower inflammatory state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Result: Enhanced immune tolerance, reduced inflammatory flare-response to cannabis consumption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Benefit: Especially for </w:t>
      </w:r>
      <w:r>
        <w:rPr>
          <w:rFonts w:ascii="Arial" w:cs="Arial" w:eastAsia="Arial" w:hAnsi="Arial"/>
          <w:b/>
          <w:bCs/>
          <w:sz w:val="22"/>
          <w:szCs w:val="22"/>
        </w:rPr>
        <w:t xml:space="preserve">sensitive users, those with gut inflammation, respiratory sensitivity</w:t>
      </w:r>
    </w:p>
    <w:p>
      <w:pPr>
        <w:spacing w:after="100" w:before="200"/>
      </w:pPr>
      <w:r>
        <w:rPr>
          <w:rFonts w:ascii="Arial" w:cs="Arial" w:eastAsia="Arial" w:hAnsi="Arial"/>
          <w:b/>
          <w:bCs/>
          <w:color w:val="444444"/>
          <w:sz w:val="24"/>
          <w:szCs w:val="24"/>
        </w:rPr>
        <w:t xml:space="preserve">B. Transdermal Permeation Enhancement (Onset: 60–120 min topical)</w:t>
      </w:r>
    </w:p>
    <w:p>
      <w:pPr>
        <w:spacing w:after="120" w:line="300"/>
      </w:pPr>
      <w:r>
        <w:rPr>
          <w:rFonts w:ascii="Arial" w:cs="Arial" w:eastAsia="Arial" w:hAnsi="Arial"/>
          <w:b/>
          <w:bCs/>
          <w:sz w:val="22"/>
          <w:szCs w:val="22"/>
        </w:rPr>
        <w:t xml:space="preserve">Mechanism:</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disrupts stratum corneum lipids → enhanced skin permeability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Primary useful for </w:t>
      </w:r>
      <w:r>
        <w:rPr>
          <w:rFonts w:ascii="Arial" w:cs="Arial" w:eastAsia="Arial" w:hAnsi="Arial"/>
          <w:b/>
          <w:bCs/>
          <w:sz w:val="22"/>
          <w:szCs w:val="22"/>
        </w:rPr>
        <w:t xml:space="preserve">topical cannabinoid products</w:t>
      </w:r>
      <w:r>
        <w:rPr>
          <w:rFonts w:ascii="Arial" w:cs="Arial" w:eastAsia="Arial" w:hAnsi="Arial"/>
          <w:sz w:val="22"/>
          <w:szCs w:val="22"/>
        </w:rPr>
        <w:t xml:space="preserve"> (salves, creams for localized pain)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Systemic transdermal absorption of bisabolol itself: 60–120 min to peak plasma levels</w:t>
      </w:r>
    </w:p>
    <w:p>
      <w:pPr>
        <w:spacing w:after="120" w:line="300"/>
      </w:pPr>
      <w:r>
        <w:rPr>
          <w:rFonts w:ascii="Arial" w:cs="Arial" w:eastAsia="Arial" w:hAnsi="Arial"/>
          <w:b/>
          <w:bCs/>
          <w:sz w:val="22"/>
          <w:szCs w:val="22"/>
        </w:rPr>
        <w:t xml:space="preserve">Pre-Loading Application: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Apply bisabolol-containing cream 15–30 min before topical cannabis product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permeation enhancement + increased dermal cannabinoid absorption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Result: Enhanced topical efficacy, deeper tissue penetration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Benefit: </w:t>
      </w:r>
      <w:r>
        <w:rPr>
          <w:rFonts w:ascii="Arial" w:cs="Arial" w:eastAsia="Arial" w:hAnsi="Arial"/>
          <w:b/>
          <w:bCs/>
          <w:sz w:val="22"/>
          <w:szCs w:val="22"/>
        </w:rPr>
        <w:t xml:space="preserve">Better for dermal/topical cannabis products than inhalation/oral</w:t>
      </w:r>
    </w:p>
    <w:p>
      <w:pPr>
        <w:spacing w:after="100" w:before="200"/>
      </w:pPr>
      <w:r>
        <w:rPr>
          <w:rFonts w:ascii="Arial" w:cs="Arial" w:eastAsia="Arial" w:hAnsi="Arial"/>
          <w:b/>
          <w:bCs/>
          <w:color w:val="444444"/>
          <w:sz w:val="24"/>
          <w:szCs w:val="24"/>
        </w:rPr>
        <w:t xml:space="preserve">C. GABA-Mediated Anxiolytic &amp; Neuroprotection (Onset: 30–120 min, variable route)</w:t>
      </w:r>
    </w:p>
    <w:p>
      <w:pPr>
        <w:spacing w:after="120" w:line="300"/>
      </w:pPr>
      <w:r>
        <w:rPr>
          <w:rFonts w:ascii="Arial" w:cs="Arial" w:eastAsia="Arial" w:hAnsi="Arial"/>
          <w:b/>
          <w:bCs/>
          <w:sz w:val="22"/>
          <w:szCs w:val="22"/>
        </w:rPr>
        <w:t xml:space="preserve">Mechanism:</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 GABA levels, possibly via reduced excitatory tone (glutamate ↓) + enhanced GABA synthesis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No direct GABA₍A₎ receptor binding data; indirect modulation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Onset slower than direct GABA₍A₎ agonists (benzodiazepines, barbiturates)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Oral absorption (tea): 30–120 min to systemic GABA elevation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Inhalation: Minimal GABA-enhancing effect (low systemic absorption from boiling point limitation)</w:t>
      </w:r>
    </w:p>
    <w:p>
      <w:pPr>
        <w:spacing w:after="120" w:line="300"/>
      </w:pPr>
      <w:r>
        <w:rPr>
          <w:rFonts w:ascii="Arial" w:cs="Arial" w:eastAsia="Arial" w:hAnsi="Arial"/>
          <w:b/>
          <w:bCs/>
          <w:sz w:val="22"/>
          <w:szCs w:val="22"/>
        </w:rPr>
        <w:t xml:space="preserve">Pre-Loading Effect (Oral Tea/Tincture):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Baseline GABAergic tone elevated before THC consumption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THC-induced anxiety reduced when encountered against GABA-augmented CNS state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CB₁ + GABA₍A₎ activation synergize for anxiolytic outcome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Result: Reduced anxiety, faster onset of calm (synergistic with CBD if present)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Benefit: </w:t>
      </w:r>
      <w:r>
        <w:rPr>
          <w:rFonts w:ascii="Arial" w:cs="Arial" w:eastAsia="Arial" w:hAnsi="Arial"/>
          <w:b/>
          <w:bCs/>
          <w:sz w:val="22"/>
          <w:szCs w:val="22"/>
        </w:rPr>
        <w:t xml:space="preserve">Ideal for anxiety-prone users, high-THC strains, novel cannabis experiences</w:t>
      </w:r>
    </w:p>
    <w:p>
      <w:pPr>
        <w:spacing w:after="100" w:before="200"/>
      </w:pPr>
      <w:r>
        <w:rPr>
          <w:rFonts w:ascii="Arial" w:cs="Arial" w:eastAsia="Arial" w:hAnsi="Arial"/>
          <w:b/>
          <w:bCs/>
          <w:color w:val="444444"/>
          <w:sz w:val="24"/>
          <w:szCs w:val="24"/>
        </w:rPr>
        <w:t xml:space="preserve">D. Anti-Nociceptive Pain Reduction (Onset: 30–60 min oral)</w:t>
      </w:r>
    </w:p>
    <w:p>
      <w:pPr>
        <w:spacing w:after="120" w:line="300"/>
      </w:pPr>
      <w:r>
        <w:rPr>
          <w:rFonts w:ascii="Arial" w:cs="Arial" w:eastAsia="Arial" w:hAnsi="Arial"/>
          <w:b/>
          <w:bCs/>
          <w:sz w:val="22"/>
          <w:szCs w:val="22"/>
        </w:rPr>
        <w:t xml:space="preserve">Mechanism:</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blocks voltage-gated sodium channels (peripheral nerves) → nociceptor excitability ↓</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blocks Cav3.2 calcium channels → pain signal propagation ↓</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Reduces inflammatory pain via neutrophil control, TNF-α reduction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Oral absorption: 30–60 min peak analgesia in rodent models</w:t>
      </w:r>
    </w:p>
    <w:p>
      <w:pPr>
        <w:spacing w:after="120" w:line="300"/>
      </w:pPr>
      <w:r>
        <w:rPr>
          <w:rFonts w:ascii="Arial" w:cs="Arial" w:eastAsia="Arial" w:hAnsi="Arial"/>
          <w:b/>
          <w:bCs/>
          <w:sz w:val="22"/>
          <w:szCs w:val="22"/>
        </w:rPr>
        <w:t xml:space="preserve">Pre-Loading Effect: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Peripheral + central pain pathways already suppressed by bisabolol when THC/CBD encountered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Cannabinoid analgesic effect layered on top of bisabolol analgesia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Result: Synergistic pain relief (not via direct receptor, but via pathway activation)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Benefit: </w:t>
      </w:r>
      <w:r>
        <w:rPr>
          <w:rFonts w:ascii="Arial" w:cs="Arial" w:eastAsia="Arial" w:hAnsi="Arial"/>
          <w:b/>
          <w:bCs/>
          <w:sz w:val="22"/>
          <w:szCs w:val="22"/>
        </w:rPr>
        <w:t xml:space="preserve">Optimal for chronic pain users, inflammatory pain, post-exercise soreness</w:t>
      </w:r>
    </w:p>
    <w:p>
      <w:pPr>
        <w:pStyle w:val="Heading2"/>
        <w:spacing w:after="120" w:before="240"/>
      </w:pPr>
      <w:r>
        <w:rPr>
          <w:rFonts w:ascii="Arial" w:cs="Arial" w:eastAsia="Arial" w:hAnsi="Arial"/>
          <w:b/>
          <w:bCs/>
          <w:color w:val="333333"/>
          <w:sz w:val="26"/>
          <w:szCs w:val="26"/>
        </w:rPr>
        <w:t xml:space="preserve">13.2 Optimal Pre-Loading Protocol Design</w:t>
      </w:r>
    </w:p>
    <w:p>
      <w:pPr>
        <w:spacing w:after="100" w:before="200"/>
      </w:pPr>
      <w:r>
        <w:rPr>
          <w:rFonts w:ascii="Arial" w:cs="Arial" w:eastAsia="Arial" w:hAnsi="Arial"/>
          <w:b/>
          <w:bCs/>
          <w:color w:val="444444"/>
          <w:sz w:val="24"/>
          <w:szCs w:val="24"/>
        </w:rPr>
        <w:t xml:space="preserve">Scenario 1: Anxiety-Sensitive User + High-THC Strain</w:t>
      </w:r>
    </w:p>
    <w:p>
      <w:pPr>
        <w:spacing w:after="120" w:line="300"/>
      </w:pPr>
      <w:r>
        <w:rPr>
          <w:rFonts w:ascii="Arial" w:cs="Arial" w:eastAsia="Arial" w:hAnsi="Arial"/>
          <w:b/>
          <w:bCs/>
          <w:sz w:val="22"/>
          <w:szCs w:val="22"/>
        </w:rPr>
        <w:t xml:space="preserve">Goal:</w:t>
      </w:r>
      <w:r>
        <w:rPr>
          <w:rFonts w:ascii="Arial" w:cs="Arial" w:eastAsia="Arial" w:hAnsi="Arial"/>
          <w:sz w:val="22"/>
          <w:szCs w:val="22"/>
        </w:rPr>
        <w:t xml:space="preserve"> Maximize anxiolytic effect, minimize THC-induced paranoia</w:t>
      </w:r>
    </w:p>
    <w:p>
      <w:pPr>
        <w:spacing w:after="120" w:line="300"/>
      </w:pPr>
      <w:r>
        <w:rPr>
          <w:rFonts w:ascii="Arial" w:cs="Arial" w:eastAsia="Arial" w:hAnsi="Arial"/>
          <w:b/>
          <w:bCs/>
          <w:sz w:val="22"/>
          <w:szCs w:val="22"/>
        </w:rPr>
        <w:t xml:space="preserve">Protocol: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Preparation (15 min before cannabis):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Brew German chamomile tea (2 cups, 5–10 g flowers per cup, 95°C, 5–10 min steep)</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Target bisabolol dose: 25–50 mg (based on 25–50% bisabolol in flower oil, ~0.3% bisabolol by dry weight in dried flowers)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Drink tea slowly; allow 5 min for initial GI absorption to begin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Waiting Period (10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Remain seated, avoid stimulation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Allow GABA/anxiolytic effects to begin onset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Cannabis Consumption (at T=15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Consume high-THC strain (15–20% THC) in preferred format (vape, smoke, edible)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Expect: Slower anxiety onset, quicker anxiolytic stabilization vs. cannabis alone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Post-Consumption Monitoring (60–120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Peak combined effect: 90–120 min post-cannabis (bisabolol peak + cannabinoid peak align)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Duration: 4–6 hours for cannabinoids, 3–5 hours for bisabolol</w:t>
      </w:r>
    </w:p>
    <w:p>
      <w:pPr>
        <w:spacing w:after="120" w:line="300"/>
      </w:pPr>
      <w:r>
        <w:rPr>
          <w:rFonts w:ascii="Arial" w:cs="Arial" w:eastAsia="Arial" w:hAnsi="Arial"/>
          <w:b/>
          <w:bCs/>
          <w:sz w:val="22"/>
          <w:szCs w:val="22"/>
        </w:rPr>
        <w:t xml:space="preserve">Expected Outcome: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Reduced THC-induced anxiety (30–50% reduction estimated; not validated)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Sustained calmness throughout session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Potential for longer anxiety-free period post-consumption</w:t>
      </w:r>
    </w:p>
    <w:p>
      <w:pPr>
        <w:spacing w:after="100" w:before="200"/>
      </w:pPr>
      <w:r>
        <w:rPr>
          <w:rFonts w:ascii="Arial" w:cs="Arial" w:eastAsia="Arial" w:hAnsi="Arial"/>
          <w:b/>
          <w:bCs/>
          <w:color w:val="444444"/>
          <w:sz w:val="24"/>
          <w:szCs w:val="24"/>
        </w:rPr>
        <w:t xml:space="preserve">Scenario 2: Chronic Pain User + Mixed THC:CBD Strain</w:t>
      </w:r>
    </w:p>
    <w:p>
      <w:pPr>
        <w:spacing w:after="120" w:line="300"/>
      </w:pPr>
      <w:r>
        <w:rPr>
          <w:rFonts w:ascii="Arial" w:cs="Arial" w:eastAsia="Arial" w:hAnsi="Arial"/>
          <w:b/>
          <w:bCs/>
          <w:sz w:val="22"/>
          <w:szCs w:val="22"/>
        </w:rPr>
        <w:t xml:space="preserve">Goal:</w:t>
      </w:r>
      <w:r>
        <w:rPr>
          <w:rFonts w:ascii="Arial" w:cs="Arial" w:eastAsia="Arial" w:hAnsi="Arial"/>
          <w:sz w:val="22"/>
          <w:szCs w:val="22"/>
        </w:rPr>
        <w:t xml:space="preserve"> Maximize analgesic synergy without excessive sedation</w:t>
      </w:r>
    </w:p>
    <w:p>
      <w:pPr>
        <w:spacing w:after="120" w:line="300"/>
      </w:pPr>
      <w:r>
        <w:rPr>
          <w:rFonts w:ascii="Arial" w:cs="Arial" w:eastAsia="Arial" w:hAnsi="Arial"/>
          <w:b/>
          <w:bCs/>
          <w:sz w:val="22"/>
          <w:szCs w:val="22"/>
        </w:rPr>
        <w:t xml:space="preserve">Protocol: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Preparation (20 min before cannabis):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Sublingual bisabolol tincture: 15–25 mg (candeia-derived, 95% pure)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 chamomile tea (1–2 cups, 20–35 mg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Hold tincture under tongue for 60–90 sec (increased mucosal absorption)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Waiting Period (15–20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Allow transmucosal absorption of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Expect early-onset anti-inflammatory, anti-nociceptive effects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Cannabis Consumption (at T=20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Consume 1:1 THC:CBD strain (10% THC, 10% CBD) or balanced edible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Vaporization preferred (preserves cannabinoid profile; bisabolol already systemically present)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Post-Consumption Monitoring (60–150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Pain relief onset: 30–45 min post-cannabis (bisabolol analgesia + cannabinoid analgesic pathways)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Peak effect: 90–120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Duration: 4–8 hours</w:t>
      </w:r>
    </w:p>
    <w:p>
      <w:pPr>
        <w:spacing w:after="120" w:line="300"/>
      </w:pPr>
      <w:r>
        <w:rPr>
          <w:rFonts w:ascii="Arial" w:cs="Arial" w:eastAsia="Arial" w:hAnsi="Arial"/>
          <w:b/>
          <w:bCs/>
          <w:sz w:val="22"/>
          <w:szCs w:val="22"/>
        </w:rPr>
        <w:t xml:space="preserve">Expected Outcome: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Enhanced pain relief (synergistic through independent mechanisms)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Reduced inflammation (bisabolol baseline + cannabinoid CB₂ modulation)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Maintained clarity (CBD blocks CB₁ over-activation; bisabolol anti-inflammatory reduces pain-driven cognitive load)</w:t>
      </w:r>
    </w:p>
    <w:p>
      <w:pPr>
        <w:spacing w:after="100" w:before="200"/>
      </w:pPr>
      <w:r>
        <w:rPr>
          <w:rFonts w:ascii="Arial" w:cs="Arial" w:eastAsia="Arial" w:hAnsi="Arial"/>
          <w:b/>
          <w:bCs/>
          <w:color w:val="444444"/>
          <w:sz w:val="24"/>
          <w:szCs w:val="24"/>
        </w:rPr>
        <w:t xml:space="preserve">Scenario 3: Beginner/Microdose User</w:t>
      </w:r>
    </w:p>
    <w:p>
      <w:pPr>
        <w:spacing w:after="120" w:line="300"/>
      </w:pPr>
      <w:r>
        <w:rPr>
          <w:rFonts w:ascii="Arial" w:cs="Arial" w:eastAsia="Arial" w:hAnsi="Arial"/>
          <w:b/>
          <w:bCs/>
          <w:sz w:val="22"/>
          <w:szCs w:val="22"/>
        </w:rPr>
        <w:t xml:space="preserve">Goal:</w:t>
      </w:r>
      <w:r>
        <w:rPr>
          <w:rFonts w:ascii="Arial" w:cs="Arial" w:eastAsia="Arial" w:hAnsi="Arial"/>
          <w:sz w:val="22"/>
          <w:szCs w:val="22"/>
        </w:rPr>
        <w:t xml:space="preserve"> Gentle, controlled introduction to cannabis; maximize tolerability</w:t>
      </w:r>
    </w:p>
    <w:p>
      <w:pPr>
        <w:spacing w:after="120" w:line="300"/>
      </w:pPr>
      <w:r>
        <w:rPr>
          <w:rFonts w:ascii="Arial" w:cs="Arial" w:eastAsia="Arial" w:hAnsi="Arial"/>
          <w:b/>
          <w:bCs/>
          <w:sz w:val="22"/>
          <w:szCs w:val="22"/>
        </w:rPr>
        <w:t xml:space="preserve">Protocol: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Preparation (25 min before cannabis):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Light chamomile tea (1 cup, standard strength, 25 mg bisabolol estimate)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 very light candeia oil inhalation (5 min gentle nasal breathing, 5–10 mg bisabolol to nasal mucosa)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Goal: Establish anti-inflammatory, GABAergic, anxiolytic baseline without overwhelming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Waiting Period (20–25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Rest period; allow bisabolol to distribute systemically (oral) or locally (inhalation)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Anxiety/pain baseline lowered; confidence increased</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Cannabis Consumption (at T=25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Ultra-low THC dose (2.5–5 mg THC edible, or 1–2 puffs low-THC vape)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or High-CBD strain (1:4 or 1:10 THC:CBD ratio)</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Post-Consumption Monitoring (120–180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Onset: 30–60 min (edible longer; vape shorter)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Peak: 90–120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Duration: 2–4 hours (prolonged due to low dose + bisabolol anti-inflammatory baseline)</w:t>
      </w:r>
    </w:p>
    <w:p>
      <w:pPr>
        <w:spacing w:after="120" w:line="300"/>
      </w:pPr>
      <w:r>
        <w:rPr>
          <w:rFonts w:ascii="Arial" w:cs="Arial" w:eastAsia="Arial" w:hAnsi="Arial"/>
          <w:b/>
          <w:bCs/>
          <w:sz w:val="22"/>
          <w:szCs w:val="22"/>
        </w:rPr>
        <w:t xml:space="preserve">Expected Outcome: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Gentle, manageable onset of cannabinoid effects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baseline reduces chance of anxiety/paranoia flare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Better self-awareness of cannabis sensitivity; safety for future dosing</w:t>
      </w:r>
    </w:p>
    <w:p>
      <w:pPr>
        <w:spacing w:after="100" w:before="200"/>
      </w:pPr>
      <w:r>
        <w:rPr>
          <w:rFonts w:ascii="Arial" w:cs="Arial" w:eastAsia="Arial" w:hAnsi="Arial"/>
          <w:b/>
          <w:bCs/>
          <w:color w:val="444444"/>
          <w:sz w:val="24"/>
          <w:szCs w:val="24"/>
        </w:rPr>
        <w:t xml:space="preserve">Scenario 4: Topical/Dermal Cannabis Application</w:t>
      </w:r>
    </w:p>
    <w:p>
      <w:pPr>
        <w:spacing w:after="120" w:line="300"/>
      </w:pPr>
      <w:r>
        <w:rPr>
          <w:rFonts w:ascii="Arial" w:cs="Arial" w:eastAsia="Arial" w:hAnsi="Arial"/>
          <w:b/>
          <w:bCs/>
          <w:sz w:val="22"/>
          <w:szCs w:val="22"/>
        </w:rPr>
        <w:t xml:space="preserve">Goal:</w:t>
      </w:r>
      <w:r>
        <w:rPr>
          <w:rFonts w:ascii="Arial" w:cs="Arial" w:eastAsia="Arial" w:hAnsi="Arial"/>
          <w:sz w:val="22"/>
          <w:szCs w:val="22"/>
        </w:rPr>
        <w:t xml:space="preserve"> Maximize skin penetration, local pain relief, reduced systemic psychoactivity</w:t>
      </w:r>
    </w:p>
    <w:p>
      <w:pPr>
        <w:spacing w:after="120" w:line="300"/>
      </w:pPr>
      <w:r>
        <w:rPr>
          <w:rFonts w:ascii="Arial" w:cs="Arial" w:eastAsia="Arial" w:hAnsi="Arial"/>
          <w:b/>
          <w:bCs/>
          <w:sz w:val="22"/>
          <w:szCs w:val="22"/>
        </w:rPr>
        <w:t xml:space="preserve">Protocol: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Preparation (30 min before cannabis):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Apply bisabolol-rich cream (0.5–1% bisabolol, e.g., Clinique, Avène, or custom formulation)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Massage into affected area (joint, muscle, skin lesion)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Allow 15–20 min absorption (transdermal permeation peak at 60–90 min, but early penetration enhancing begins immediately)</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Waiting Period (10–15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Allow bisabolol to establish dermal permeation enhancement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Increased skin hydration; lipid barrier modulation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Cannabis Application (at T=30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Apply cannabis topical (salve, cream, infused oil, 5–10% cannabinoid concentration typical)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Massage gently into same area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Bisabolol-enhanced permeation allows deeper cannabinoid penetration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Post-Application Monitoring (60–180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Onset of local relief: 30–60 min (bisabolol + cannabinoid synergy at tissue level)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Peak effect: 120–180 min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Duration: 4–8 hours (slow dermal clearance)</w:t>
      </w:r>
    </w:p>
    <w:p>
      <w:pPr>
        <w:spacing w:after="120" w:line="300"/>
      </w:pPr>
      <w:r>
        <w:rPr>
          <w:rFonts w:ascii="Arial" w:cs="Arial" w:eastAsia="Arial" w:hAnsi="Arial"/>
          <w:b/>
          <w:bCs/>
          <w:sz w:val="22"/>
          <w:szCs w:val="22"/>
        </w:rPr>
        <w:t xml:space="preserve">Expected Outcome: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Deeper cannabinoid penetration (bisabolol permeation enhancement + lipid bilayer disruption)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Enhanced local anti-inflammatory effect (bisabolol NF-κB inhibition + cannabinoid CB₂ agonism)</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Reduced risk of systemic psychoactivity (topical only; minimal transdermal absorption of THC at typical concentrations)</w:t>
      </w:r>
    </w:p>
    <w:p>
      <w:pPr>
        <w:pStyle w:val="Heading2"/>
        <w:spacing w:after="120" w:before="240"/>
      </w:pPr>
      <w:r>
        <w:rPr>
          <w:rFonts w:ascii="Arial" w:cs="Arial" w:eastAsia="Arial" w:hAnsi="Arial"/>
          <w:b/>
          <w:bCs/>
          <w:color w:val="333333"/>
          <w:sz w:val="26"/>
          <w:szCs w:val="26"/>
        </w:rPr>
        <w:t xml:space="preserve">13.3 Dosing Recommendations</w:t>
      </w:r>
    </w:p>
    <w:p>
      <w:pPr>
        <w:spacing w:after="120" w:line="300"/>
      </w:pPr>
      <w:r>
        <w:rPr>
          <w:rFonts w:ascii="Arial" w:cs="Arial" w:eastAsia="Arial" w:hAnsi="Arial"/>
          <w:b/>
          <w:bCs/>
          <w:sz w:val="22"/>
          <w:szCs w:val="22"/>
        </w:rPr>
        <w:t xml:space="preserve">Bisabolol Pre-Loading Doses (by Route):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1872"/>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872"/>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Dose</w:t>
            </w:r>
          </w:p>
        </w:tc>
        <w:tc>
          <w:tcPr>
            <w:tcW w:type="dxa" w:w="1872"/>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Time to Peak</w:t>
            </w:r>
          </w:p>
        </w:tc>
        <w:tc>
          <w:tcPr>
            <w:tcW w:type="dxa" w:w="1872"/>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Pre-Load Window</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 (tea)</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German chamomile flowers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25–50 mg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30–90 min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30–60 min before cannabis</w:t>
            </w:r>
          </w:p>
        </w:tc>
      </w:tr>
      <w:tr>
        <w:tc>
          <w:tcPr>
            <w:tcW w:type="dxa" w:w="1872"/>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 (tincture, sublingual)</w:t>
            </w:r>
          </w:p>
        </w:tc>
        <w:tc>
          <w:tcPr>
            <w:tcW w:type="dxa" w:w="1872"/>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Candeia oil (95%) or chamomile extract</w:t>
            </w:r>
          </w:p>
        </w:tc>
        <w:tc>
          <w:tcPr>
            <w:tcW w:type="dxa" w:w="1872"/>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15–30 mg</w:t>
            </w:r>
          </w:p>
        </w:tc>
        <w:tc>
          <w:tcPr>
            <w:tcW w:type="dxa" w:w="1872"/>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20–45 min</w:t>
            </w:r>
          </w:p>
        </w:tc>
        <w:tc>
          <w:tcPr>
            <w:tcW w:type="dxa" w:w="1872"/>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20–30 min before cannabis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Topical (cream)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Bisabolol 0.5–1% in base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Apply to skin, 5–10 mg absorbed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60–120 min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30–45 min before topical cannabis</w:t>
            </w:r>
          </w:p>
        </w:tc>
      </w:tr>
      <w:tr>
        <w:tc>
          <w:tcPr>
            <w:tcW w:type="dxa" w:w="1872"/>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Inhalation (limited efficacy)</w:t>
            </w:r>
          </w:p>
        </w:tc>
        <w:tc>
          <w:tcPr>
            <w:tcW w:type="dxa" w:w="1872"/>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Chamomile or candeia oil mist</w:t>
            </w:r>
          </w:p>
        </w:tc>
        <w:tc>
          <w:tcPr>
            <w:tcW w:type="dxa" w:w="1872"/>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5–15 mg local absorption</w:t>
            </w:r>
          </w:p>
        </w:tc>
        <w:tc>
          <w:tcPr>
            <w:tcW w:type="dxa" w:w="1872"/>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10–20 min (local), &lt;5% systemic</w:t>
            </w:r>
          </w:p>
        </w:tc>
        <w:tc>
          <w:tcPr>
            <w:tcW w:type="dxa" w:w="1872"/>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10–15 min before cannabis (local effect only)</w:t>
            </w:r>
          </w:p>
        </w:tc>
      </w:tr>
    </w:tbl>
    <w:p>
      <w:pPr>
        <w:spacing w:after="120"/>
      </w:pPr>
    </w:p>
    <w:p>
      <w:pPr>
        <w:spacing w:after="120" w:line="300"/>
      </w:pPr>
      <w:r>
        <w:rPr>
          <w:rFonts w:ascii="Arial" w:cs="Arial" w:eastAsia="Arial" w:hAnsi="Arial"/>
          <w:b/>
          <w:bCs/>
          <w:sz w:val="22"/>
          <w:szCs w:val="22"/>
        </w:rPr>
        <w:t xml:space="preserve">Safety Margins: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Acute toxicity from bisabolol: Extremely low (no LD₅₀ established in humans; rodent LD₅₀ &gt;1000 mg/kg)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Safe consumption: Up to 100–200 mg daily demonstrated in animal studies without adverse effects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Typical herbal use: 20–50 mg daily via tea (traditional)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Cosmetic safety: 0.1–1% in leave-on products (up to 10 mg total exposure from skincare)</w:t>
      </w:r>
    </w:p>
    <w:p>
      <w:pPr>
        <w:spacing w:after="120" w:line="300"/>
      </w:pPr>
      <w:r>
        <w:rPr>
          <w:rFonts w:ascii="Arial" w:cs="Arial" w:eastAsia="Arial" w:hAnsi="Arial"/>
          <w:b/>
          <w:bCs/>
          <w:sz w:val="22"/>
          <w:szCs w:val="22"/>
        </w:rPr>
        <w:t xml:space="preserve">Contraindications: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Ragweed/daisy family allergies (cross-reactivity with Asteraceae)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Pregnancy (traditional caution regarding uterotonic potential; not established for bisabolol specifically)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CYPC3A4/2D6 substrate medications (minor risk; bisabolol not known to be strong inhibitor)</w:t>
      </w:r>
    </w:p>
    <w:p>
      <w:pPr>
        <w:pStyle w:val="Heading2"/>
        <w:spacing w:after="120" w:before="240"/>
      </w:pPr>
      <w:r>
        <w:rPr>
          <w:rFonts w:ascii="Arial" w:cs="Arial" w:eastAsia="Arial" w:hAnsi="Arial"/>
          <w:b/>
          <w:bCs/>
          <w:color w:val="333333"/>
          <w:sz w:val="26"/>
          <w:szCs w:val="26"/>
        </w:rPr>
        <w:t xml:space="preserve">13.4 Inhalation Pre-Loading Limitations &amp; Realities</w:t>
      </w:r>
    </w:p>
    <w:p>
      <w:pPr>
        <w:spacing w:after="120" w:line="300"/>
      </w:pPr>
      <w:r>
        <w:rPr>
          <w:rFonts w:ascii="Arial" w:cs="Arial" w:eastAsia="Arial" w:hAnsi="Arial"/>
          <w:b/>
          <w:bCs/>
          <w:sz w:val="22"/>
          <w:szCs w:val="22"/>
        </w:rPr>
        <w:t xml:space="preserve">Why Inhalation Is Problematic for Bisabolol Pre-Loading: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Boiling Point Physics: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313–315°C &gt;&gt; 180°C vaporizer temperature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&lt;10–20% volatilization at typical vaping temps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mostly remains unconsumed in plant material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Absorption Route: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Nasal/oral mucosa absorption (inhalation → respiratory deposition → swallowing):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Minimal transmucosal bisabolol uptake (lipophilic, poorly water-soluble)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Most bisabolol either swallowed (GI absorption delayed 30–90 min) or exhaled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Alveolar absorption (if reached):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Unlikely; bisabolol insufficiently volatile for deep lung penetration at normal vaping temps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Even if absorbed alveolarly, lipophilic compound rapidly sequestered in lung tissue (not bloodstream)</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Practical Consequence: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Inhalation of chamomile or candeia oil delivers </w:t>
      </w:r>
      <w:r>
        <w:rPr>
          <w:rFonts w:ascii="Arial" w:cs="Arial" w:eastAsia="Arial" w:hAnsi="Arial"/>
          <w:b/>
          <w:bCs/>
          <w:sz w:val="22"/>
          <w:szCs w:val="22"/>
        </w:rPr>
        <w:t xml:space="preserve">primarily aromatic effect</w:t>
      </w:r>
      <w:r>
        <w:rPr>
          <w:rFonts w:ascii="Arial" w:cs="Arial" w:eastAsia="Arial" w:hAnsi="Arial"/>
          <w:sz w:val="22"/>
          <w:szCs w:val="22"/>
        </w:rPr>
        <w:t xml:space="preserve"> (olfactory system priming)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Systemic bisabolol levels from inhalation likely minimal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If any pre-loading benefit from "inhalation," it's via: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Olfactory priming (enhanced sensory experience, expectancy effect)</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Local respiratory tract anti-inflammatory effect (minimal due to lipophilicity)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Swallowed aerosol particles → delayed GI absorption (functionally equivalent to oral ingestion, but inefficient)</w:t>
      </w:r>
    </w:p>
    <w:p>
      <w:pPr>
        <w:spacing w:after="120" w:line="300"/>
      </w:pPr>
      <w:r>
        <w:rPr>
          <w:rFonts w:ascii="Arial" w:cs="Arial" w:eastAsia="Arial" w:hAnsi="Arial"/>
          <w:b/>
          <w:bCs/>
          <w:sz w:val="22"/>
          <w:szCs w:val="22"/>
        </w:rPr>
        <w:t xml:space="preserve">Recommendation: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Do NOT rely on inhalation for bisabolol pre-loading systemic effects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Use oral (tea, tincture) or topical routes</w:t>
      </w:r>
      <w:r>
        <w:rPr>
          <w:rFonts w:ascii="Arial" w:cs="Arial" w:eastAsia="Arial" w:hAnsi="Arial"/>
          <w:sz w:val="22"/>
          <w:szCs w:val="22"/>
        </w:rPr>
        <w:t xml:space="preserve"> for pharmacologically meaningful bisabolol delivery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Inhalation of chamomile oil acceptable for </w:t>
      </w:r>
      <w:r>
        <w:rPr>
          <w:rFonts w:ascii="Arial" w:cs="Arial" w:eastAsia="Arial" w:hAnsi="Arial"/>
          <w:b/>
          <w:bCs/>
          <w:sz w:val="22"/>
          <w:szCs w:val="22"/>
        </w:rPr>
        <w:t xml:space="preserve">olfactory/sensory priming</w:t>
      </w:r>
      <w:r>
        <w:rPr>
          <w:rFonts w:ascii="Arial" w:cs="Arial" w:eastAsia="Arial" w:hAnsi="Arial"/>
          <w:sz w:val="22"/>
          <w:szCs w:val="22"/>
        </w:rPr>
        <w:t xml:space="preserve"> (supportive to pre-loading ritual), but NOT as primary delivery mechanism</w:t>
      </w:r>
    </w:p>
    <w:p>
      <w:pPr>
        <w:pStyle w:val="Heading2"/>
        <w:spacing w:after="120" w:before="240"/>
      </w:pPr>
      <w:r>
        <w:rPr>
          <w:rFonts w:ascii="Arial" w:cs="Arial" w:eastAsia="Arial" w:hAnsi="Arial"/>
          <w:b/>
          <w:bCs/>
          <w:color w:val="333333"/>
          <w:sz w:val="26"/>
          <w:szCs w:val="26"/>
        </w:rPr>
        <w:t xml:space="preserve">13.5 Strain-Matching Context</w:t>
      </w:r>
    </w:p>
    <w:p>
      <w:pPr>
        <w:spacing w:after="120" w:line="300"/>
      </w:pPr>
      <w:r>
        <w:rPr>
          <w:rFonts w:ascii="Arial" w:cs="Arial" w:eastAsia="Arial" w:hAnsi="Arial"/>
          <w:b/>
          <w:bCs/>
          <w:sz w:val="22"/>
          <w:szCs w:val="22"/>
        </w:rPr>
        <w:t xml:space="preserve">Concept:</w:t>
      </w:r>
      <w:r>
        <w:rPr>
          <w:rFonts w:ascii="Arial" w:cs="Arial" w:eastAsia="Arial" w:hAnsi="Arial"/>
          <w:sz w:val="22"/>
          <w:szCs w:val="22"/>
        </w:rPr>
        <w:t xml:space="preserve"> Pre-loading bisabolol is more effective when the cannabis strain itself contains bisabolol (even if minimal, due to boiling point)</w:t>
      </w:r>
    </w:p>
    <w:p>
      <w:pPr>
        <w:spacing w:after="120" w:line="300"/>
      </w:pPr>
      <w:r>
        <w:rPr>
          <w:rFonts w:ascii="Arial" w:cs="Arial" w:eastAsia="Arial" w:hAnsi="Arial"/>
          <w:b/>
          <w:bCs/>
          <w:sz w:val="22"/>
          <w:szCs w:val="22"/>
        </w:rPr>
        <w:t xml:space="preserve">Rationale: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Chamomile/candeia pre-load establishes systemic bisabolol baseline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Cannabis strain with endogenous bisabolol adds complementary local effects (mucosal, respiratory)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Sensory recognition enhanced (pre-loaded olfactory system recognizes bisabolol notes in cannabis)</w:t>
      </w:r>
    </w:p>
    <w:p>
      <w:pPr>
        <w:spacing w:after="120" w:line="300"/>
      </w:pPr>
      <w:r>
        <w:rPr>
          <w:rFonts w:ascii="Arial" w:cs="Arial" w:eastAsia="Arial" w:hAnsi="Arial"/>
          <w:b/>
          <w:bCs/>
          <w:sz w:val="22"/>
          <w:szCs w:val="22"/>
        </w:rPr>
        <w:t xml:space="preserve">Strains Likely High in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(Limited published data; strains require lab testing for terpene profiling)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Hypothesis:</w:t>
      </w:r>
      <w:r>
        <w:rPr>
          <w:rFonts w:ascii="Arial" w:cs="Arial" w:eastAsia="Arial" w:hAnsi="Arial"/>
          <w:sz w:val="22"/>
          <w:szCs w:val="22"/>
        </w:rPr>
        <w:t xml:space="preserve"> CBD-rich, low-THC strains more likely high in bisabolol (empirical observation; no genomic evidence)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Chamomile-aroma strains:</w:t>
      </w:r>
      <w:r>
        <w:rPr>
          <w:rFonts w:ascii="Arial" w:cs="Arial" w:eastAsia="Arial" w:hAnsi="Arial"/>
          <w:sz w:val="22"/>
          <w:szCs w:val="22"/>
        </w:rPr>
        <w:t xml:space="preserve"> Often indicate bisabolol presence</w:t>
      </w:r>
    </w:p>
    <w:p>
      <w:pPr>
        <w:spacing w:after="120" w:line="300"/>
      </w:pPr>
      <w:r>
        <w:rPr>
          <w:rFonts w:ascii="Arial" w:cs="Arial" w:eastAsia="Arial" w:hAnsi="Arial"/>
          <w:b/>
          <w:bCs/>
          <w:sz w:val="22"/>
          <w:szCs w:val="22"/>
        </w:rPr>
        <w:t xml:space="preserve">Testing Recommendation: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Request full terpene profile from dispensary/lab</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Select strains with detectable bisabolol (&gt;0.1–0.2%) for pre-loading protocol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Cross-reference sensory profile (floral, honey, sweet notes) as proxy if lab data unavailable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14. SUMMARY TABLE: BISABOLOL PRE-LOADING DECISION TREE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Use Case</w:t>
            </w:r>
          </w:p>
        </w:tc>
        <w:tc>
          <w:tcPr>
            <w:tcW w:type="dxa" w:w="1337"/>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Pre-Load Option</w:t>
            </w:r>
          </w:p>
        </w:tc>
        <w:tc>
          <w:tcPr>
            <w:tcW w:type="dxa" w:w="1337"/>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1337"/>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Dose (Bisabolol)</w:t>
            </w:r>
          </w:p>
        </w:tc>
        <w:tc>
          <w:tcPr>
            <w:tcW w:type="dxa" w:w="1337"/>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Time Before Cannabis</w:t>
            </w:r>
          </w:p>
        </w:tc>
        <w:tc>
          <w:tcPr>
            <w:tcW w:type="dxa" w:w="1337"/>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Expected Effect</w:t>
            </w:r>
          </w:p>
        </w:tc>
        <w:tc>
          <w:tcPr>
            <w:tcW w:type="dxa" w:w="1338"/>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Confidence Level</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Anxiety-prone, high-THC strain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German chamomile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 (tea)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30–50 mg</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25–35 min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THC anxiety; ↑ calm</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(no RCT)</w:t>
            </w:r>
          </w:p>
        </w:tc>
      </w:tr>
      <w:tr>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Chronic pain</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Chamomile tea or candeia tincture</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20–30 mg</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20–30 min</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 Pain relief (synergistic)</w:t>
            </w:r>
          </w:p>
        </w:tc>
        <w:tc>
          <w:tcPr>
            <w:tcW w:type="dxa" w:w="1338"/>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(mechanism sound)</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Beginner/sensitive user</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Light chamomile tea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15–25 mg</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25 min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Adverse effects; gentle onset</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(safe, low-risk)</w:t>
            </w:r>
          </w:p>
        </w:tc>
      </w:tr>
      <w:tr>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Topical cannabis product</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Bisabolol cream (0.5–1%)</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Topical</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Apply 5–10 mg</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30 min</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 Skin penetration, ↑ local relief</w:t>
            </w:r>
          </w:p>
        </w:tc>
        <w:tc>
          <w:tcPr>
            <w:tcW w:type="dxa" w:w="1338"/>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(mechanism proven)</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General sensory enhancement</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Chamomile or candeia oil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Inhalation (olfactory)</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5–15 mg local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10–15 min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Aroma priming; placebo possible</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Low-Moderate (no systemic effect)</w:t>
            </w:r>
          </w:p>
        </w:tc>
      </w:tr>
      <w:tr>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Inflammatory bowel/GI sensitivity</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Chamomile tea + honey</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25–40 mg bisabolol</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30 min</w:t>
            </w:r>
          </w:p>
        </w:tc>
        <w:tc>
          <w:tcPr>
            <w:tcW w:type="dxa" w:w="1337"/>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 Inflammation; ↑ GI tolerance</w:t>
            </w:r>
          </w:p>
        </w:tc>
        <w:tc>
          <w:tcPr>
            <w:tcW w:type="dxa" w:w="1338"/>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(mechanism proven)</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Sleep + cannabis microdose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Chamomile tea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20–30 mg</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20 min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Sleep depth; ↓ anxiety</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(mechanism likely)</w:t>
            </w:r>
          </w:p>
        </w:tc>
      </w:tr>
    </w:tbl>
    <w:p>
      <w:pPr>
        <w:spacing w:after="120"/>
      </w:pP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15. FUTURE RESEARCH DIRECTIONS</w:t>
      </w:r>
    </w:p>
    <w:p>
      <w:pPr>
        <w:pStyle w:val="Heading2"/>
        <w:spacing w:after="120" w:before="240"/>
      </w:pPr>
      <w:r>
        <w:rPr>
          <w:rFonts w:ascii="Arial" w:cs="Arial" w:eastAsia="Arial" w:hAnsi="Arial"/>
          <w:b/>
          <w:bCs/>
          <w:color w:val="333333"/>
          <w:sz w:val="26"/>
          <w:szCs w:val="26"/>
        </w:rPr>
        <w:t xml:space="preserve">15.1 Clinical Trials Needed</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RCT: Bisabolol Pre-Loading + THC in Anxiety-Sensitive Users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Primary outcome: Subjective anxiety reduction (STAI scale)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Secondary outcomes: Paranoia screening, physiological markers (cortisol, BP, HR)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Design: Crossover, double-blind, placebo-controlled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Expected N: 60–120 participants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Bisabolol: 30 mg oral (chamomile tea) vs. placebo (herbal tea without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RCT: Bisabolol + Cannabinoids in Chronic Pain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Primary outcome: Pain severity reduction (VAS scale)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Secondary outcomes: Inflammatory markers (CRP, TNF-α), functional improvement, anxiety co-outcome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Design: Parallel groups (bisabolol pre-load + THC:CBD vs. placebo + THC:CBD)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Expected N: 100–150 participants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PK Study: Human Absorption of Inhaled vs. Oral 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Route comparison: Inhaled chamomile oil (standardized) vs. oral tea vs. sublingual tincture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Endpoints: Plasma bisabolol concentrations, Tmax, AUC, bioavailability ratios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Design: Crossover, n=12–20 healthy volunteers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Purpose: Clarify inhalation delivery limitations; validate pre-loading recommendations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Interaction Study: Bisabolol + THC/CBD Pharmacokinetics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Endpoints: THC/CBD serum levels with/without bisabolol co-administration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Design: Crossover, n=20–30</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Purpose: Identify drug interactions, optimal dosing intervals</w:t>
      </w:r>
    </w:p>
    <w:p>
      <w:pPr>
        <w:pStyle w:val="Heading2"/>
        <w:spacing w:after="120" w:before="240"/>
      </w:pPr>
      <w:r>
        <w:rPr>
          <w:rFonts w:ascii="Arial" w:cs="Arial" w:eastAsia="Arial" w:hAnsi="Arial"/>
          <w:b/>
          <w:bCs/>
          <w:color w:val="333333"/>
          <w:sz w:val="26"/>
          <w:szCs w:val="26"/>
        </w:rPr>
        <w:t xml:space="preserve">15.2 Molecular/Mechanistic Studies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Direct CB₁/CB₂ Receptor Binding Assays</w:t>
      </w:r>
      <w:r>
        <w:rPr>
          <w:rFonts w:ascii="Arial" w:cs="Arial" w:eastAsia="Arial" w:hAnsi="Arial"/>
          <w:sz w:val="22"/>
          <w:szCs w:val="22"/>
        </w:rPr>
        <w:t xml:space="preserve"> — Definitively rule out or confirm bisabolol's affinity for cannabinoid receptors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GABA₍A₎ Receptor Patch-Clamp Electrophysiology</w:t>
      </w:r>
      <w:r>
        <w:rPr>
          <w:rFonts w:ascii="Arial" w:cs="Arial" w:eastAsia="Arial" w:hAnsi="Arial"/>
          <w:sz w:val="22"/>
          <w:szCs w:val="22"/>
        </w:rPr>
        <w:t xml:space="preserve"> — Determine if bisabolol is a direct GABA₍A₎ modulator or purely indirect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Neuroinflammation Model (LPS-induced)</w:t>
      </w:r>
      <w:r>
        <w:rPr>
          <w:rFonts w:ascii="Arial" w:cs="Arial" w:eastAsia="Arial" w:hAnsi="Arial"/>
          <w:sz w:val="22"/>
          <w:szCs w:val="22"/>
        </w:rPr>
        <w:t xml:space="preserve"> — Quantify bisabolol's anti-inflammatory capacity relative to standard NSAIDs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Calcium Channel Specificity</w:t>
      </w:r>
      <w:r>
        <w:rPr>
          <w:rFonts w:ascii="Arial" w:cs="Arial" w:eastAsia="Arial" w:hAnsi="Arial"/>
          <w:sz w:val="22"/>
          <w:szCs w:val="22"/>
        </w:rPr>
        <w:t xml:space="preserve"> — Identify which calcium channels (Cav3.2, others) bisabolol blocks; dose-response</w:t>
      </w:r>
    </w:p>
    <w:p>
      <w:pPr>
        <w:pStyle w:val="Heading2"/>
        <w:spacing w:after="120" w:before="240"/>
      </w:pPr>
      <w:r>
        <w:rPr>
          <w:rFonts w:ascii="Arial" w:cs="Arial" w:eastAsia="Arial" w:hAnsi="Arial"/>
          <w:b/>
          <w:bCs/>
          <w:color w:val="333333"/>
          <w:sz w:val="26"/>
          <w:szCs w:val="26"/>
        </w:rPr>
        <w:t xml:space="preserve">15.3 Strain Development &amp; Breeding</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High-Bisabolol Cannabis Cultivars</w:t>
      </w:r>
      <w:r>
        <w:rPr>
          <w:rFonts w:ascii="Arial" w:cs="Arial" w:eastAsia="Arial" w:hAnsi="Arial"/>
          <w:sz w:val="22"/>
          <w:szCs w:val="22"/>
        </w:rPr>
        <w:t xml:space="preserve"> — Selectively breed strains with 0.5–2% bisabolol content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Terpene Profile Mapping</w:t>
      </w:r>
      <w:r>
        <w:rPr>
          <w:rFonts w:ascii="Arial" w:cs="Arial" w:eastAsia="Arial" w:hAnsi="Arial"/>
          <w:sz w:val="22"/>
          <w:szCs w:val="22"/>
        </w:rPr>
        <w:t xml:space="preserve"> — Comprehensive GC-MS profiling of 50–100 common strains for bisabolol content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Gene Discovery</w:t>
      </w:r>
      <w:r>
        <w:rPr>
          <w:rFonts w:ascii="Arial" w:cs="Arial" w:eastAsia="Arial" w:hAnsi="Arial"/>
          <w:sz w:val="22"/>
          <w:szCs w:val="22"/>
        </w:rPr>
        <w:t xml:space="preserve"> — Identify cannabis genes responsible for bisabolol synthase analogs (if present; sesquiterpene production in cannabis is understudied)</w:t>
      </w:r>
    </w:p>
    <w:p>
      <w:pPr>
        <w:pStyle w:val="Heading2"/>
        <w:spacing w:after="120" w:before="240"/>
      </w:pPr>
      <w:r>
        <w:rPr>
          <w:rFonts w:ascii="Arial" w:cs="Arial" w:eastAsia="Arial" w:hAnsi="Arial"/>
          <w:b/>
          <w:bCs/>
          <w:color w:val="333333"/>
          <w:sz w:val="26"/>
          <w:szCs w:val="26"/>
        </w:rPr>
        <w:t xml:space="preserve">15.4 Formulation Optimization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Bisabolol Bioavailability Enhancement</w:t>
      </w:r>
      <w:r>
        <w:rPr>
          <w:rFonts w:ascii="Arial" w:cs="Arial" w:eastAsia="Arial" w:hAnsi="Arial"/>
          <w:sz w:val="22"/>
          <w:szCs w:val="22"/>
        </w:rPr>
        <w:t xml:space="preserve"> — Liposomal encapsulation, cyclodextrin complexation, nanoparticle formulations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Pre-Load Product Development</w:t>
      </w:r>
      <w:r>
        <w:rPr>
          <w:rFonts w:ascii="Arial" w:cs="Arial" w:eastAsia="Arial" w:hAnsi="Arial"/>
          <w:sz w:val="22"/>
          <w:szCs w:val="22"/>
        </w:rPr>
        <w:t xml:space="preserve"> — Standardized herbal beverage/supplement formulations with defined bisabolol content</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Sublingual Spray/Tincture</w:t>
      </w:r>
      <w:r>
        <w:rPr>
          <w:rFonts w:ascii="Arial" w:cs="Arial" w:eastAsia="Arial" w:hAnsi="Arial"/>
          <w:sz w:val="22"/>
          <w:szCs w:val="22"/>
        </w:rPr>
        <w:t xml:space="preserve"> — Optimize mucosal absorption kinetics; compare to oral</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16. REFERENCES &amp; SOURCING</w:t>
      </w:r>
    </w:p>
    <w:p>
      <w:pPr>
        <w:pStyle w:val="Heading2"/>
        <w:spacing w:after="120" w:before="240"/>
      </w:pPr>
      <w:r>
        <w:rPr>
          <w:rFonts w:ascii="Arial" w:cs="Arial" w:eastAsia="Arial" w:hAnsi="Arial"/>
          <w:b/>
          <w:bCs/>
          <w:color w:val="333333"/>
          <w:sz w:val="26"/>
          <w:szCs w:val="26"/>
        </w:rPr>
        <w:t xml:space="preserve">Primary Literature</w:t>
      </w:r>
    </w:p>
    <w:p>
      <w:pPr>
        <w:spacing w:after="120" w:line="300"/>
      </w:pPr>
      <w:r>
        <w:rPr>
          <w:rFonts w:ascii="Arial" w:cs="Arial" w:eastAsia="Arial" w:hAnsi="Arial"/>
          <w:sz w:val="22"/>
          <w:szCs w:val="22"/>
        </w:rPr>
        <w:t xml:space="preserve">[Jakovlev et al., 1979]</w:t>
      </w:r>
    </w:p>
    <w:p>
      <w:pPr>
        <w:spacing w:after="120" w:line="300"/>
      </w:pPr>
      <w:r>
        <w:rPr>
          <w:rFonts w:ascii="Arial" w:cs="Arial" w:eastAsia="Arial" w:hAnsi="Arial"/>
          <w:sz w:val="22"/>
          <w:szCs w:val="22"/>
        </w:rPr>
        <w:t xml:space="preserve">Jakovlev, V., O. Isaac, K. Thiemer, and R. Kunde. "Pharmacological investigations on the components of chamomile. II. New Investigations on the anti-inflammatory effects of (-)-α-bisabolol and bisabolol oxides." *Planta Med* 35 (1979): 125–140.</w:t>
      </w:r>
    </w:p>
    <w:p>
      <w:pPr>
        <w:spacing w:after="120" w:line="300"/>
      </w:pPr>
      <w:r>
        <w:rPr>
          <w:rFonts w:ascii="Arial" w:cs="Arial" w:eastAsia="Arial" w:hAnsi="Arial"/>
          <w:sz w:val="22"/>
          <w:szCs w:val="22"/>
        </w:rPr>
        <w:t xml:space="preserve">[PubMed: Landmark foundational study on bisabolol anti-inflammatory pharmacology]</w:t>
      </w:r>
    </w:p>
    <w:p>
      <w:pPr>
        <w:spacing w:after="120" w:line="300"/>
      </w:pPr>
      <w:r>
        <w:rPr>
          <w:rFonts w:ascii="Arial" w:cs="Arial" w:eastAsia="Arial" w:hAnsi="Arial"/>
          <w:sz w:val="22"/>
          <w:szCs w:val="22"/>
        </w:rPr>
        <w:t xml:space="preserve">[Rocha et al., 2009, 2010]</w:t>
      </w:r>
    </w:p>
    <w:p>
      <w:pPr>
        <w:spacing w:after="120" w:line="300"/>
      </w:pPr>
      <w:r>
        <w:rPr>
          <w:rFonts w:ascii="Arial" w:cs="Arial" w:eastAsia="Arial" w:hAnsi="Arial"/>
          <w:sz w:val="22"/>
          <w:szCs w:val="22"/>
        </w:rPr>
        <w:t xml:space="preserve">Rocha, M.D., et al. "Gastroprotection of (-)-α-bisabolol on acute gastric mucosal lesions in mice: the possible involved pharmacological mechanisms." *Fundamental &amp; Clinical Pharmacology* 23.6 (2009): 745–751.</w:t>
      </w:r>
    </w:p>
    <w:p>
      <w:pPr>
        <w:spacing w:after="120" w:line="300"/>
      </w:pPr>
      <w:r>
        <w:rPr>
          <w:rFonts w:ascii="Arial" w:cs="Arial" w:eastAsia="Arial" w:hAnsi="Arial"/>
          <w:sz w:val="22"/>
          <w:szCs w:val="22"/>
        </w:rPr>
        <w:t xml:space="preserve">Rocha, M.D., et al. "(-)-α-Bisabolol-induced gastroprotection is associated with reduction in lipid peroxidation, superoxide dismutase activity and neutrophil migration." *Chemico-Biological Interactions* 194 (2011): 62–70.</w:t>
      </w:r>
    </w:p>
    <w:p>
      <w:pPr>
        <w:spacing w:after="120" w:line="300"/>
      </w:pPr>
      <w:r>
        <w:rPr>
          <w:rFonts w:ascii="Arial" w:cs="Arial" w:eastAsia="Arial" w:hAnsi="Arial"/>
          <w:sz w:val="22"/>
          <w:szCs w:val="22"/>
        </w:rPr>
        <w:t xml:space="preserve">[Ortiz et al., 2010, 2011, 2018]</w:t>
      </w:r>
    </w:p>
    <w:p>
      <w:pPr>
        <w:spacing w:after="120" w:line="300"/>
      </w:pPr>
      <w:r>
        <w:rPr>
          <w:rFonts w:ascii="Arial" w:cs="Arial" w:eastAsia="Arial" w:hAnsi="Arial"/>
          <w:sz w:val="22"/>
          <w:szCs w:val="22"/>
        </w:rPr>
        <w:t xml:space="preserve">Ortiz, M.I., et al. "(-)-α-Bisabolol attenuates visceral nociception and inflammation in mice." *Phytotherapy Research* 24.12 (2010): 1823–1828.</w:t>
      </w:r>
    </w:p>
    <w:p>
      <w:pPr>
        <w:spacing w:after="120" w:line="300"/>
      </w:pPr>
      <w:r>
        <w:rPr>
          <w:rFonts w:ascii="Arial" w:cs="Arial" w:eastAsia="Arial" w:hAnsi="Arial"/>
          <w:sz w:val="22"/>
          <w:szCs w:val="22"/>
        </w:rPr>
        <w:t xml:space="preserve">Ortiz, M.I., et al. "Anti-nociceptive and anti-inflammatory activities of (-)-α-bisabolol in rodents." *Journal of Medicinal Food* 14.11 (2011): 1331–1339.</w:t>
      </w:r>
    </w:p>
    <w:p>
      <w:pPr>
        <w:spacing w:after="120" w:line="300"/>
      </w:pPr>
      <w:r>
        <w:rPr>
          <w:rFonts w:ascii="Arial" w:cs="Arial" w:eastAsia="Arial" w:hAnsi="Arial"/>
          <w:sz w:val="22"/>
          <w:szCs w:val="22"/>
        </w:rPr>
        <w:t xml:space="preserve">Ortiz, M.I., et al. "Pharmacological interaction of α-bisabolol and diclofenac on nociception, inflammation, and gastric integrity in rats." *Drug Development Research* 79.7 (2018): 341–349.</w:t>
      </w:r>
    </w:p>
    <w:p>
      <w:pPr>
        <w:spacing w:after="120" w:line="300"/>
      </w:pPr>
      <w:r>
        <w:rPr>
          <w:rFonts w:ascii="Arial" w:cs="Arial" w:eastAsia="Arial" w:hAnsi="Arial"/>
          <w:sz w:val="22"/>
          <w:szCs w:val="22"/>
        </w:rPr>
        <w:t xml:space="preserve">[Recent Neuroprotection Study, 2025]</w:t>
      </w:r>
    </w:p>
    <w:p>
      <w:pPr>
        <w:spacing w:after="120" w:line="300"/>
      </w:pPr>
      <w:r>
        <w:rPr>
          <w:rFonts w:ascii="Arial" w:cs="Arial" w:eastAsia="Arial" w:hAnsi="Arial"/>
          <w:sz w:val="22"/>
          <w:szCs w:val="22"/>
        </w:rPr>
        <w:t xml:space="preserve">[Frontiers in Pharmacology, 2025] "α-Bisabolol alleviates doxorubicin-induced cognitive dysfunction in rats via enhancing the hippocampal BDNF/TrKB signaling and inhibiting neuroinflammation."</w:t>
      </w:r>
    </w:p>
    <w:p>
      <w:pPr>
        <w:spacing w:after="120" w:line="300"/>
      </w:pPr>
      <w:r>
        <w:rPr>
          <w:rFonts w:ascii="Arial" w:cs="Arial" w:eastAsia="Arial" w:hAnsi="Arial"/>
          <w:sz w:val="22"/>
          <w:szCs w:val="22"/>
        </w:rPr>
        <w:t xml:space="preserve">[Matricaria Biosynthesis, 2023]</w:t>
      </w:r>
    </w:p>
    <w:p>
      <w:pPr>
        <w:spacing w:after="120" w:line="300"/>
      </w:pPr>
      <w:r>
        <w:rPr>
          <w:rFonts w:ascii="Arial" w:cs="Arial" w:eastAsia="Arial" w:hAnsi="Arial"/>
          <w:sz w:val="22"/>
          <w:szCs w:val="22"/>
        </w:rPr>
        <w:t xml:space="preserve">[PMC9864331] "Biosynthesis of α-Bisabolol by Farnesyl Diphosphate Synthase and α-Bisabolol Synthase and Their Related Transcription Factors in Matricaria recutita L"</w:t>
      </w:r>
    </w:p>
    <w:p>
      <w:pPr>
        <w:spacing w:after="120" w:line="300"/>
      </w:pPr>
      <w:r>
        <w:rPr>
          <w:rFonts w:ascii="Arial" w:cs="Arial" w:eastAsia="Arial" w:hAnsi="Arial"/>
          <w:sz w:val="22"/>
          <w:szCs w:val="22"/>
        </w:rPr>
        <w:t xml:space="preserve">[Candeia Tree, 2018]</w:t>
      </w:r>
    </w:p>
    <w:p>
      <w:pPr>
        <w:spacing w:after="120" w:line="300"/>
      </w:pPr>
      <w:r>
        <w:rPr>
          <w:rFonts w:ascii="Arial" w:cs="Arial" w:eastAsia="Arial" w:hAnsi="Arial"/>
          <w:sz w:val="22"/>
          <w:szCs w:val="22"/>
        </w:rPr>
        <w:t xml:space="preserve">[Frontiers Plant Science] "Identification of the Bisabolol Synthase in the Endangered Candeia Tree (Eremanthus erythropappus (DC) McLeisch)" — PMC6158398</w:t>
      </w:r>
    </w:p>
    <w:p>
      <w:pPr>
        <w:spacing w:after="120" w:line="300"/>
      </w:pPr>
      <w:r>
        <w:rPr>
          <w:rFonts w:ascii="Arial" w:cs="Arial" w:eastAsia="Arial" w:hAnsi="Arial"/>
          <w:sz w:val="22"/>
          <w:szCs w:val="22"/>
        </w:rPr>
        <w:t xml:space="preserve">[Transdermal Enhancement]</w:t>
      </w:r>
    </w:p>
    <w:p>
      <w:pPr>
        <w:spacing w:after="120" w:line="300"/>
      </w:pPr>
      <w:r>
        <w:rPr>
          <w:rFonts w:ascii="Arial" w:cs="Arial" w:eastAsia="Arial" w:hAnsi="Arial"/>
          <w:sz w:val="22"/>
          <w:szCs w:val="22"/>
        </w:rPr>
        <w:t xml:space="preserve">[ScienceDirect] "α-Bisabolol, a possible safe penetration enhancer for dermal and transdermal therapeutics"</w:t>
      </w:r>
    </w:p>
    <w:p>
      <w:pPr>
        <w:spacing w:after="120" w:line="300"/>
      </w:pPr>
      <w:r>
        <w:rPr>
          <w:rFonts w:ascii="Arial" w:cs="Arial" w:eastAsia="Arial" w:hAnsi="Arial"/>
          <w:sz w:val="22"/>
          <w:szCs w:val="22"/>
        </w:rPr>
        <w:t xml:space="preserve">[Cosmetic Safety Assessment, 1999]</w:t>
      </w:r>
    </w:p>
    <w:p>
      <w:pPr>
        <w:spacing w:after="120" w:line="300"/>
      </w:pPr>
      <w:r>
        <w:rPr>
          <w:rFonts w:ascii="Arial" w:cs="Arial" w:eastAsia="Arial" w:hAnsi="Arial"/>
          <w:sz w:val="22"/>
          <w:szCs w:val="22"/>
        </w:rPr>
        <w:t xml:space="preserve">Andersen, F.A. "Final Report on the Safety Assessment of Bisabolol." *International Journal of Toxicology* 18.3 (1999): 47–61.</w:t>
      </w:r>
    </w:p>
    <w:p>
      <w:pPr>
        <w:spacing w:after="120" w:line="300"/>
      </w:pPr>
      <w:r>
        <w:rPr>
          <w:rFonts w:ascii="Arial" w:cs="Arial" w:eastAsia="Arial" w:hAnsi="Arial"/>
          <w:sz w:val="22"/>
          <w:szCs w:val="22"/>
        </w:rPr>
        <w:t xml:space="preserve">[Cosmetic Ingredient Review Panel official assessment]</w:t>
      </w:r>
    </w:p>
    <w:p>
      <w:pPr>
        <w:spacing w:after="120" w:line="300"/>
      </w:pPr>
      <w:r>
        <w:rPr>
          <w:rFonts w:ascii="Arial" w:cs="Arial" w:eastAsia="Arial" w:hAnsi="Arial"/>
          <w:sz w:val="22"/>
          <w:szCs w:val="22"/>
        </w:rPr>
        <w:t xml:space="preserve">[CIR Chamomile Assessment, 2016]</w:t>
      </w:r>
    </w:p>
    <w:p>
      <w:pPr>
        <w:spacing w:after="120" w:line="300"/>
      </w:pPr>
      <w:r>
        <w:rPr>
          <w:rFonts w:ascii="Arial" w:cs="Arial" w:eastAsia="Arial" w:hAnsi="Arial"/>
          <w:sz w:val="22"/>
          <w:szCs w:val="22"/>
        </w:rPr>
        <w:t xml:space="preserve">[CIR-Safety.org] "Safety Assessment of Chamomilla Recutita-Derived Ingredients as Used in Cosmetics" — comprehensive ingredient review</w:t>
      </w:r>
    </w:p>
    <w:p>
      <w:pPr>
        <w:pStyle w:val="Heading2"/>
        <w:spacing w:after="120" w:before="240"/>
      </w:pPr>
      <w:r>
        <w:rPr>
          <w:rFonts w:ascii="Arial" w:cs="Arial" w:eastAsia="Arial" w:hAnsi="Arial"/>
          <w:b/>
          <w:bCs/>
          <w:color w:val="333333"/>
          <w:sz w:val="26"/>
          <w:szCs w:val="26"/>
        </w:rPr>
        <w:t xml:space="preserve">Web Sources Referenced</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[Wikipedia: Bisabolol](https://en.wikipedia.org/wiki/Bisabolol)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[PubChem: Bisabolol (CID 1549992)](https://pubchem.ncbi.nlm.nih.gov/compound/Bisabolol)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[PubChem: Levomenol (CID 442343)](https://pubchem.ncbi.nlm.nih.gov/compound/442343)</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[DrugBank: Levomenol (DB13153)](https://go.drugbank.com/drugs/DB13153)</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[ChemSpider: Levomenol](https://www.chemspider.com/Chemical-Structure.390796.html)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[NIST WebBook: Levomenol](https://webbook.nist.gov/cgi/cbook.cgi?ID=C23089261)</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[Chemical Book: (-)-α-Bisabolol (23089-26-1)](https://www.chemicalbook.com/ChemicalProductProperty_EN_CB3727948.htm)</w:t>
      </w:r>
    </w:p>
    <w:p>
      <w:pPr>
        <w:pStyle w:val="Heading2"/>
        <w:spacing w:after="120" w:before="240"/>
      </w:pPr>
      <w:r>
        <w:rPr>
          <w:rFonts w:ascii="Arial" w:cs="Arial" w:eastAsia="Arial" w:hAnsi="Arial"/>
          <w:b/>
          <w:bCs/>
          <w:color w:val="333333"/>
          <w:sz w:val="26"/>
          <w:szCs w:val="26"/>
        </w:rPr>
        <w:t xml:space="preserve">Terpene/Cannabis Science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[PMC10249740] "Vapor Pressure, Vaping, and Corrections to Misconceptions Related to Medical Cannabis' Active Pharmaceutical Ingredients' Physical Properties and Compositions"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[Entourage Effect Reviews] PMC10452568, PMC11870048, PMC7324885 (2020–2024 reviews)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[Cannabis Terpenes] Wikipedia: Terpenes in Cannabis; Weedmaps: Terpenes &amp; Entourage Effect</w:t>
      </w:r>
    </w:p>
    <w:p>
      <w:pPr>
        <w:pStyle w:val="Heading2"/>
        <w:spacing w:after="120" w:before="240"/>
      </w:pPr>
      <w:r>
        <w:rPr>
          <w:rFonts w:ascii="Arial" w:cs="Arial" w:eastAsia="Arial" w:hAnsi="Arial"/>
          <w:b/>
          <w:bCs/>
          <w:color w:val="333333"/>
          <w:sz w:val="26"/>
          <w:szCs w:val="26"/>
        </w:rPr>
        <w:t xml:space="preserve">Traditional Medicine &amp; Ethnobotany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Ethnobotany, PMC9822300] "Chamomile: A Review of Its Traditional Uses, Chemical Constituents, Pharmacological Activities and Quality Control Studies"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[German Commission E Monograph] Restorativemedicine.org; German Chamomile (Chamomilla recutita) monograph</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[Ayurvedic Chamomile] Ask-ayurveda.com; Planet Ayurveda; Joyful Belly College</w:t>
      </w:r>
    </w:p>
    <w:p>
      <w:pPr>
        <w:pStyle w:val="Heading2"/>
        <w:spacing w:after="120" w:before="240"/>
      </w:pPr>
      <w:r>
        <w:rPr>
          <w:rFonts w:ascii="Arial" w:cs="Arial" w:eastAsia="Arial" w:hAnsi="Arial"/>
          <w:b/>
          <w:bCs/>
          <w:color w:val="333333"/>
          <w:sz w:val="26"/>
          <w:szCs w:val="26"/>
        </w:rPr>
        <w:t xml:space="preserve">Cosmetics &amp; Industry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[EWG Skin Deep: Bisabolol](https://www.ewg.org/skindeep/ingredients/700771-BISABOLOL/)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[SpecialChem Cosmetics: Bisabolol INCI](https://cosmetics.specialchem.com/inci-ingredients/bisabolol)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[Cosmeticsinfo.org: Bisabolol](https://www.cosmeticsinfo.org/ingredient/bisabolol/)</w:t>
      </w:r>
    </w:p>
    <w:p>
      <w:pPr>
        <w:pStyle w:val="Heading2"/>
        <w:spacing w:after="120" w:before="240"/>
      </w:pPr>
      <w:r>
        <w:rPr>
          <w:rFonts w:ascii="Arial" w:cs="Arial" w:eastAsia="Arial" w:hAnsi="Arial"/>
          <w:b/>
          <w:bCs/>
          <w:color w:val="333333"/>
          <w:sz w:val="26"/>
          <w:szCs w:val="26"/>
        </w:rPr>
        <w:t xml:space="preserve">Beverages &amp; Culinary</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[Chartreuse Liqueur, Wikipedia](https://en.wikipedia.org/wiki/Chartreuse_(liqueur))</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Culinary Recipes](https://adamantkitchen.com/chamomile-recipes-more-than-just-tea/)</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[Chamomile Tea, WebMD](https://www.webmd.com/diet/supplement-guide-chamomile)</w:t>
      </w:r>
    </w:p>
    <w:p>
      <w:pPr>
        <w:pStyle w:val="Heading2"/>
        <w:spacing w:after="120" w:before="240"/>
      </w:pPr>
      <w:r>
        <w:rPr>
          <w:rFonts w:ascii="Arial" w:cs="Arial" w:eastAsia="Arial" w:hAnsi="Arial"/>
          <w:b/>
          <w:bCs/>
          <w:color w:val="333333"/>
          <w:sz w:val="26"/>
          <w:szCs w:val="26"/>
        </w:rPr>
        <w:t xml:space="preserve">Additional Scientific Reviews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[MDPI Nutrients, 2023] "Health Benefits, Pharmacological Effects, Molecular Mechanisms, and Therapeutic Potential of α-Bisabolol" — PMC9002489</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[ScienceDirect, 2022] "Pharmacological and biological effects of alpha-bisabolol: An updated review of the molecular mechanisms"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[Journal of the American Oil Chemists' Society, 2010] "A Review of the Application and Pharmacological Properties of α‐Bisabolol and α‐Bisabolol‐Rich Oils" — Kamatou et al.</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APPENDIX A: GLOSSARY OF TERMS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Sesquiterpene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C₁₅ volatile organic compound; three isoprene units (5-carbon building blocks)</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Monocyclic</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One ring structure (vs. bicyclic=two rings)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Alcohol (functional group)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–OH group; contains hydroxyl moiety (distinguishes bisabolol from many other terpenes)</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FPP (Farnesyl diphosphate)</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C₁₅ precursor in isoprenoid biosynthesis; substrate for all sesquiterpenoid synthases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MVA pathway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Mevalonate pathway; cytosolic route to isoprenoid biosynthesis via HMG-CoA reductase</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MEP pathway</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Methylerythritol phosphate pathway; plastidial route to IPP production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IPP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Isopentenyl diphosphate; fundamental C₅ building block</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DMAPP</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Dimethylallyl diphosphate; isomerized IPP; starter unit for FPP synthesis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Transdermal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Across skin barrier; delivery method penetrating stratum corneum into systemic circulation</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Permeation enhancer</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Chemical agent that increases skin barrier penetration of drugs/compounds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Stratum corneum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Outermost skin layer; primary barrier to transdermal absorption</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NF-κB</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Nuclear factor-kappa B; transcription factor controlling inflammatory gene expression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MAPK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Mitogen-activated protein kinase; signaling cascade in inflammation/cell stress</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GABA</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Gamma-aminobutyric acid; primary inhibitory neurotransmitter in CNS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GABA₍A₎ receptor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Ligand-gated ion channel; target of benzodiazepines and other sedatives</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CB₁/CB₂ receptors</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Cannabinoid G-protein-coupled receptors; targets of THC and other cannabinoids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Entourage effect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Hypothesis that cannabis compounds synergize for enhanced therapeutic outcome</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Enantiomer</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Stereoisomer; mirror-image molecular forms (e.g., (-) vs. (+) bisabolol); differ in biological activity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Racemic mixture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50:50 blend of enantiomers; synthetic bisabolol typically racemic</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Bioavailability</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Fraction of administered dose reaching systemic circulation in unchanged form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Boiling point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Temperature at which vapor pressure equals atmospheric pressure; volatilization benchmark</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Vapor pressure</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Pressure exerted by vapor phase at equilibrium with liquid; indicator of volatility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Tmax</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 to maximum plasma concentration post-administration</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AUC</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Area under plasma concentration-time curve; measure of total drug exposure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Lipophilic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Fat-soluble; hydrophobic; partitions into lipid phases (stratum corneum, membranes)</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Chemotype</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color w:val="333333"/>
                <w:sz w:val="20"/>
                <w:szCs w:val="20"/>
              </w:rPr>
              <w:t xml:space="preserve">Genetically determined plant chemistry profile (e.g., high-bisabolol vs. high-oxide chamomile)</w:t>
            </w:r>
          </w:p>
        </w:tc>
      </w:tr>
    </w:tbl>
    <w:p>
      <w:pPr>
        <w:spacing w:after="120"/>
      </w:pP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APPENDIX B: CHEMICAL STRUCTURE (TEXT-BASED DESCRIPTION)</w:t>
      </w:r>
    </w:p>
    <w:p>
      <w:pPr>
        <w:spacing w:after="120" w:line="300"/>
      </w:pPr>
      <w:r>
        <w:rPr>
          <w:rFonts w:ascii="Arial" w:cs="Arial" w:eastAsia="Arial" w:hAnsi="Arial"/>
          <w:b/>
          <w:bCs/>
          <w:sz w:val="22"/>
          <w:szCs w:val="22"/>
        </w:rPr>
        <w:t xml:space="preserve">IUPAC InChI (Machine-Readable):</w:t>
      </w:r>
    </w:p>
    <w:p>
      <w:pPr>
        <w:shd w:fill="F5F5F5" w:val="clear"/>
        <w:spacing w:after="0"/>
        <w:ind w:left="360"/>
      </w:pPr>
      <w:r>
        <w:rPr>
          <w:rFonts w:ascii="Courier New" w:cs="Courier New" w:eastAsia="Courier New" w:hAnsi="Courier New"/>
          <w:color w:val="333333"/>
          <w:sz w:val="18"/>
          <w:szCs w:val="18"/>
        </w:rPr>
        <w:t xml:space="preserve">InChI=1S/C15H26O/c1-12(2)6-5-11-15(4,16)14-9-7-13(3)8-10-14/h6-7,14,16H,5,8-11H2,1-4H3/t14-,15+/m1/s1</w:t>
      </w:r>
    </w:p>
    <w:p>
      <w:pPr>
        <w:spacing w:after="120"/>
      </w:pPr>
    </w:p>
    <w:p>
      <w:pPr>
        <w:spacing w:after="120" w:line="300"/>
      </w:pPr>
      <w:r>
        <w:rPr>
          <w:rFonts w:ascii="Arial" w:cs="Arial" w:eastAsia="Arial" w:hAnsi="Arial"/>
          <w:b/>
          <w:bCs/>
          <w:sz w:val="22"/>
          <w:szCs w:val="22"/>
        </w:rPr>
        <w:t xml:space="preserve">Text-Based Structure Description:</w:t>
      </w:r>
    </w:p>
    <w:p>
      <w:pPr>
        <w:shd w:fill="F5F5F5" w:val="clear"/>
        <w:spacing w:after="0"/>
        <w:ind w:left="360"/>
      </w:pPr>
      <w:r>
        <w:rPr>
          <w:rFonts w:ascii="Courier New" w:cs="Courier New" w:eastAsia="Courier New" w:hAnsi="Courier New"/>
          <w:color w:val="333333"/>
          <w:sz w:val="18"/>
          <w:szCs w:val="18"/>
        </w:rPr>
        <w:t xml:space="preserve">      CH3</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CH2=C─CH2─CH2─CH2─C(OH)(CH3)</w:t>
      </w:r>
    </w:p>
    <w:p>
      <w:pPr>
        <w:shd w:fill="F5F5F5" w:val="clear"/>
        <w:spacing w:after="0"/>
        <w:ind w:left="360"/>
      </w:pPr>
      <w:r>
        <w:rPr>
          <w:rFonts w:ascii="Courier New" w:cs="Courier New" w:eastAsia="Courier New" w:hAnsi="Courier New"/>
          <w:color w:val="333333"/>
          <w:sz w:val="18"/>
          <w:szCs w:val="18"/>
        </w:rPr>
        <w:t xml:space="preserve">  (Isopropenyl side chain)</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[Cyclohexane ring with C=C double bond]</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(3-position: C=C)</w:t>
      </w:r>
    </w:p>
    <w:p>
      <w:pPr>
        <w:shd w:fill="F5F5F5" w:val="clear"/>
        <w:spacing w:after="0"/>
        <w:ind w:left="360"/>
      </w:pPr>
      <w:r>
        <w:rPr>
          <w:rFonts w:ascii="Courier New" w:cs="Courier New" w:eastAsia="Courier New" w:hAnsi="Courier New"/>
          <w:color w:val="333333"/>
          <w:sz w:val="18"/>
          <w:szCs w:val="18"/>
        </w:rPr>
        <w:t xml:space="preserve">    (1-position: C─OH, C─CH3)</w:t>
      </w:r>
    </w:p>
    <w:p>
      <w:pPr>
        <w:shd w:fill="F5F5F5" w:val="clear"/>
        <w:spacing w:after="0"/>
        <w:ind w:left="360"/>
      </w:pPr>
      <w:r>
        <w:rPr>
          <w:rFonts w:ascii="Courier New" w:cs="Courier New" w:eastAsia="Courier New" w:hAnsi="Courier New"/>
          <w:color w:val="333333"/>
          <w:sz w:val="18"/>
          <w:szCs w:val="18"/>
        </w:rPr>
        <w:t xml:space="preserve">    (4-position: Branch point for isopropenyl tail)</w:t>
      </w:r>
    </w:p>
    <w:p>
      <w:pPr>
        <w:spacing w:after="120"/>
      </w:pPr>
    </w:p>
    <w:p>
      <w:pPr>
        <w:spacing w:after="120" w:line="300"/>
      </w:pPr>
      <w:r>
        <w:rPr>
          <w:rFonts w:ascii="Arial" w:cs="Arial" w:eastAsia="Arial" w:hAnsi="Arial"/>
          <w:b/>
          <w:bCs/>
          <w:sz w:val="22"/>
          <w:szCs w:val="22"/>
        </w:rPr>
        <w:t xml:space="preserve">Stereochemistry:</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3 chiral centers:</w:t>
      </w:r>
      <w:r>
        <w:rPr>
          <w:rFonts w:ascii="Arial" w:cs="Arial" w:eastAsia="Arial" w:hAnsi="Arial"/>
          <w:sz w:val="22"/>
          <w:szCs w:val="22"/>
        </w:rPr>
        <w:t xml:space="preserve"> Position 1 carbon (quaternary, bearing OH), position 14 (bearing ring), position 15 carbon (side chain junction)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Natural form:</w:t>
      </w:r>
      <w:r>
        <w:rPr>
          <w:rFonts w:ascii="Arial" w:cs="Arial" w:eastAsia="Arial" w:hAnsi="Arial"/>
          <w:sz w:val="22"/>
          <w:szCs w:val="22"/>
        </w:rPr>
        <w:t xml:space="preserve"> [S-(R*,R*)] stereoisomer = (-)-α-bisabolol = levorotatory</w:t>
      </w:r>
    </w:p>
    <w:p>
      <w:pPr>
        <w:spacing w:after="80" w:line="276"/>
        <w:ind w:left="360" w:hanging="180"/>
      </w:pPr>
      <w:r>
        <w:rPr>
          <w:rFonts w:ascii="Arial" w:cs="Arial" w:eastAsia="Arial" w:hAnsi="Arial"/>
          <w:color w:val="1565C0"/>
          <w:sz w:val="22"/>
          <w:szCs w:val="22"/>
        </w:rPr>
        <w:t xml:space="preserve">•  </w:t>
      </w:r>
      <w:r>
        <w:rPr>
          <w:rFonts w:ascii="Arial" w:cs="Arial" w:eastAsia="Arial" w:hAnsi="Arial"/>
          <w:b/>
          <w:bCs/>
          <w:sz w:val="22"/>
          <w:szCs w:val="22"/>
        </w:rPr>
        <w:t xml:space="preserve">Synthetic (racemic):</w:t>
      </w:r>
      <w:r>
        <w:rPr>
          <w:rFonts w:ascii="Arial" w:cs="Arial" w:eastAsia="Arial" w:hAnsi="Arial"/>
          <w:sz w:val="22"/>
          <w:szCs w:val="22"/>
        </w:rPr>
        <w:t xml:space="preserve"> (±)-bisabolol = 50% (-) + 50% (+) enantiomers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1565C0"/>
          <w:sz w:val="30"/>
          <w:szCs w:val="30"/>
        </w:rPr>
        <w:t xml:space="preserve">APPENDIX C: SAMPLE PRE-LOADING FORMULATION</w:t>
      </w:r>
    </w:p>
    <w:p>
      <w:pPr>
        <w:pStyle w:val="Heading2"/>
        <w:spacing w:after="120" w:before="240"/>
      </w:pPr>
      <w:r>
        <w:rPr>
          <w:rFonts w:ascii="Arial" w:cs="Arial" w:eastAsia="Arial" w:hAnsi="Arial"/>
          <w:b/>
          <w:bCs/>
          <w:color w:val="333333"/>
          <w:sz w:val="26"/>
          <w:szCs w:val="26"/>
        </w:rPr>
        <w:t xml:space="preserve">Basic Chamomile Pre-Load Tea</w:t>
      </w:r>
    </w:p>
    <w:p>
      <w:pPr>
        <w:spacing w:after="120" w:line="300"/>
      </w:pPr>
      <w:r>
        <w:rPr>
          <w:rFonts w:ascii="Arial" w:cs="Arial" w:eastAsia="Arial" w:hAnsi="Arial"/>
          <w:b/>
          <w:bCs/>
          <w:sz w:val="22"/>
          <w:szCs w:val="22"/>
        </w:rPr>
        <w:t xml:space="preserve">Ingredients: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Dried German chamomile flowers: 5–10 g (2–4 teaspoons)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Filtered water: 250–300 mL (8–10 oz)</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Optional: Raw honey (1–2 tsp, sweetening + mild antimicrobial)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Optional: Lemon juice (½ tsp, enhances bioavailability of some compounds via pH modulation)</w:t>
      </w:r>
    </w:p>
    <w:p>
      <w:pPr>
        <w:spacing w:after="120" w:line="300"/>
      </w:pPr>
      <w:r>
        <w:rPr>
          <w:rFonts w:ascii="Arial" w:cs="Arial" w:eastAsia="Arial" w:hAnsi="Arial"/>
          <w:b/>
          <w:bCs/>
          <w:sz w:val="22"/>
          <w:szCs w:val="22"/>
        </w:rPr>
        <w:t xml:space="preserve">Preparation: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Heat water to 85–95°C (do NOT boil; excessive heat degrades volatile components)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Pour hot water over flowers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Steep 5–10 minutes (longer = higher extraction, but some bitter tannins may increase)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Strain through fine mesh</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Cool slightly (60°C) before drinking to avoid mouth mucosal irritation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Drink 15–30 minutes before cannabis consumption</w:t>
      </w:r>
    </w:p>
    <w:p>
      <w:pPr>
        <w:spacing w:after="120" w:line="300"/>
      </w:pPr>
      <w:r>
        <w:rPr>
          <w:rFonts w:ascii="Arial" w:cs="Arial" w:eastAsia="Arial" w:hAnsi="Arial"/>
          <w:b/>
          <w:bCs/>
          <w:sz w:val="22"/>
          <w:szCs w:val="22"/>
        </w:rPr>
        <w:t xml:space="preserve">Estimated Bisabolol Content:</w:t>
      </w:r>
      <w:r>
        <w:rPr>
          <w:rFonts w:ascii="Arial" w:cs="Arial" w:eastAsia="Arial" w:hAnsi="Arial"/>
          <w:sz w:val="22"/>
          <w:szCs w:val="22"/>
        </w:rPr>
        <w:t xml:space="preserve"> 20–50 mg (depends on flower source; German chamomile superior to Roman)</w:t>
      </w:r>
    </w:p>
    <w:p>
      <w:pPr>
        <w:spacing w:after="120" w:line="300"/>
      </w:pPr>
      <w:r>
        <w:rPr>
          <w:rFonts w:ascii="Arial" w:cs="Arial" w:eastAsia="Arial" w:hAnsi="Arial"/>
          <w:b/>
          <w:bCs/>
          <w:sz w:val="22"/>
          <w:szCs w:val="22"/>
        </w:rPr>
        <w:t xml:space="preserve">Cost:</w:t>
      </w:r>
      <w:r>
        <w:rPr>
          <w:rFonts w:ascii="Arial" w:cs="Arial" w:eastAsia="Arial" w:hAnsi="Arial"/>
          <w:sz w:val="22"/>
          <w:szCs w:val="22"/>
        </w:rPr>
        <w:t xml:space="preserve"> $0.50–$1.50 per serving (at $10–20/oz for quality dried flowers)</w:t>
      </w:r>
    </w:p>
    <w:p>
      <w:pPr>
        <w:pStyle w:val="Heading2"/>
        <w:spacing w:after="120" w:before="240"/>
      </w:pPr>
      <w:r>
        <w:rPr>
          <w:rFonts w:ascii="Arial" w:cs="Arial" w:eastAsia="Arial" w:hAnsi="Arial"/>
          <w:b/>
          <w:bCs/>
          <w:color w:val="333333"/>
          <w:sz w:val="26"/>
          <w:szCs w:val="26"/>
        </w:rPr>
        <w:t xml:space="preserve">Candeia Oil Pre-Load (Advanced)</w:t>
      </w:r>
    </w:p>
    <w:p>
      <w:pPr>
        <w:spacing w:after="120" w:line="300"/>
      </w:pPr>
      <w:r>
        <w:rPr>
          <w:rFonts w:ascii="Arial" w:cs="Arial" w:eastAsia="Arial" w:hAnsi="Arial"/>
          <w:b/>
          <w:bCs/>
          <w:sz w:val="22"/>
          <w:szCs w:val="22"/>
        </w:rPr>
        <w:t xml:space="preserve">Ingredients: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Pure candeia essential oil (95% bisabolol, certified sustainable): 0.2–0.3 mL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Honey or coconut oil base: 10 mL</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Water: 200 mL (for emulsification)</w:t>
      </w:r>
    </w:p>
    <w:p>
      <w:pPr>
        <w:spacing w:after="120" w:line="300"/>
      </w:pPr>
      <w:r>
        <w:rPr>
          <w:rFonts w:ascii="Arial" w:cs="Arial" w:eastAsia="Arial" w:hAnsi="Arial"/>
          <w:b/>
          <w:bCs/>
          <w:sz w:val="22"/>
          <w:szCs w:val="22"/>
        </w:rPr>
        <w:t xml:space="preserve">Preparation (Emulsified Sublingual Tincture):</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Gently warm honey/coconut oil to 35–40°C</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Add candeia oil dropwise, stirring slowly (creates microemulsion)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Add room-temperature water while stirring; forms creamy suspension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Allow to cool; mixture will appear slightly turbid/milky (normal; emulsion)</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Dose: 1 tsp (5 mL) held under tongue for 60–90 seconds</w:t>
      </w:r>
    </w:p>
    <w:p>
      <w:pPr>
        <w:spacing w:after="80" w:line="276"/>
        <w:ind w:left="360" w:hanging="180"/>
      </w:pPr>
      <w:r>
        <w:rPr>
          <w:rFonts w:ascii="Arial" w:cs="Arial" w:eastAsia="Arial" w:hAnsi="Arial"/>
          <w:color w:val="1565C0"/>
          <w:sz w:val="22"/>
          <w:szCs w:val="22"/>
        </w:rPr>
        <w:t xml:space="preserve">•  </w:t>
      </w:r>
      <w:r>
        <w:rPr>
          <w:rFonts w:ascii="Arial" w:cs="Arial" w:eastAsia="Arial" w:hAnsi="Arial"/>
          <w:sz w:val="22"/>
          <w:szCs w:val="22"/>
        </w:rPr>
        <w:t xml:space="preserve">Swallow remainder; repeat if needed (max 30 mg bisabolol)</w:t>
      </w:r>
    </w:p>
    <w:p>
      <w:pPr>
        <w:spacing w:after="120" w:line="300"/>
      </w:pPr>
      <w:r>
        <w:rPr>
          <w:rFonts w:ascii="Arial" w:cs="Arial" w:eastAsia="Arial" w:hAnsi="Arial"/>
          <w:b/>
          <w:bCs/>
          <w:sz w:val="22"/>
          <w:szCs w:val="22"/>
        </w:rPr>
        <w:t xml:space="preserve">Estimated Bisabolol Content:</w:t>
      </w:r>
      <w:r>
        <w:rPr>
          <w:rFonts w:ascii="Arial" w:cs="Arial" w:eastAsia="Arial" w:hAnsi="Arial"/>
          <w:sz w:val="22"/>
          <w:szCs w:val="22"/>
        </w:rPr>
        <w:t xml:space="preserve"> 15–30 mg per tsp (depending on emulsion efficiency)</w:t>
      </w:r>
    </w:p>
    <w:p>
      <w:pPr>
        <w:spacing w:after="120" w:line="300"/>
      </w:pPr>
      <w:r>
        <w:rPr>
          <w:rFonts w:ascii="Arial" w:cs="Arial" w:eastAsia="Arial" w:hAnsi="Arial"/>
          <w:b/>
          <w:bCs/>
          <w:sz w:val="22"/>
          <w:szCs w:val="22"/>
        </w:rPr>
        <w:t xml:space="preserve">Onset:</w:t>
      </w:r>
      <w:r>
        <w:rPr>
          <w:rFonts w:ascii="Arial" w:cs="Arial" w:eastAsia="Arial" w:hAnsi="Arial"/>
          <w:sz w:val="22"/>
          <w:szCs w:val="22"/>
        </w:rPr>
        <w:t xml:space="preserve"> 15–25 minutes (transmucosal absorption faster than GI)</w:t>
      </w:r>
    </w:p>
    <w:p>
      <w:pPr>
        <w:spacing w:after="120" w:line="300"/>
      </w:pPr>
      <w:r>
        <w:rPr>
          <w:rFonts w:ascii="Arial" w:cs="Arial" w:eastAsia="Arial" w:hAnsi="Arial"/>
          <w:b/>
          <w:bCs/>
          <w:sz w:val="22"/>
          <w:szCs w:val="22"/>
        </w:rPr>
        <w:t xml:space="preserve">Cost:</w:t>
      </w:r>
      <w:r>
        <w:rPr>
          <w:rFonts w:ascii="Arial" w:cs="Arial" w:eastAsia="Arial" w:hAnsi="Arial"/>
          <w:sz w:val="22"/>
          <w:szCs w:val="22"/>
        </w:rPr>
        <w:t xml:space="preserve"> $3–5 per serving (candeia oil pricier, but smaller volume needed)</w:t>
      </w:r>
    </w:p>
    <w:p>
      <w:pPr>
        <w:spacing w:after="120" w:line="300"/>
      </w:pPr>
      <w:r>
        <w:rPr>
          <w:rFonts w:ascii="Arial" w:cs="Arial" w:eastAsia="Arial" w:hAnsi="Arial"/>
          <w:b/>
          <w:bCs/>
          <w:sz w:val="22"/>
          <w:szCs w:val="22"/>
        </w:rPr>
        <w:t xml:space="preserve">END OF MONOGRAPH</w:t>
      </w:r>
    </w:p>
    <w:p>
      <w:pPr>
        <w:spacing w:after="120" w:line="300"/>
      </w:pPr>
      <w:r>
        <w:rPr>
          <w:rFonts w:ascii="Arial" w:cs="Arial" w:eastAsia="Arial" w:hAnsi="Arial"/>
          <w:b/>
          <w:bCs/>
          <w:sz w:val="22"/>
          <w:szCs w:val="22"/>
        </w:rPr>
        <w:t xml:space="preserve">Compiled by:</w:t>
      </w:r>
      <w:r>
        <w:rPr>
          <w:rFonts w:ascii="Arial" w:cs="Arial" w:eastAsia="Arial" w:hAnsi="Arial"/>
          <w:sz w:val="22"/>
          <w:szCs w:val="22"/>
        </w:rPr>
        <w:t xml:space="preserve"> Terpene Research Knowledge Base</w:t>
      </w:r>
    </w:p>
    <w:p>
      <w:pPr>
        <w:spacing w:after="120" w:line="300"/>
      </w:pPr>
      <w:r>
        <w:rPr>
          <w:rFonts w:ascii="Arial" w:cs="Arial" w:eastAsia="Arial" w:hAnsi="Arial"/>
          <w:b/>
          <w:bCs/>
          <w:sz w:val="22"/>
          <w:szCs w:val="22"/>
        </w:rPr>
        <w:t xml:space="preserve">Date:</w:t>
      </w:r>
      <w:r>
        <w:rPr>
          <w:rFonts w:ascii="Arial" w:cs="Arial" w:eastAsia="Arial" w:hAnsi="Arial"/>
          <w:sz w:val="22"/>
          <w:szCs w:val="22"/>
        </w:rPr>
        <w:t xml:space="preserve"> March 2026</w:t>
      </w:r>
    </w:p>
    <w:p>
      <w:pPr>
        <w:spacing w:after="120" w:line="300"/>
      </w:pPr>
      <w:r>
        <w:rPr>
          <w:rFonts w:ascii="Arial" w:cs="Arial" w:eastAsia="Arial" w:hAnsi="Arial"/>
          <w:b/>
          <w:bCs/>
          <w:sz w:val="22"/>
          <w:szCs w:val="22"/>
        </w:rPr>
        <w:t xml:space="preserve">Disclaimer:</w:t>
      </w:r>
      <w:r>
        <w:rPr>
          <w:rFonts w:ascii="Arial" w:cs="Arial" w:eastAsia="Arial" w:hAnsi="Arial"/>
          <w:sz w:val="22"/>
          <w:szCs w:val="22"/>
        </w:rPr>
        <w:t xml:space="preserve"> This monograph is for educational and research purposes only. It does not constitute medical advice. Cannabis and botanical products carry legal restrictions in many jurisdictions. Consult healthcare providers before using bisabolol or cannabis products, especially if you are pregnant, nursing, taking medications, or have underlying health conditions. Pre-loading with bisabolol does not replace proper dosing protocols, harm reduction practices, or evidence-based cannabis education.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Terpenes, With a Twist of Aromatherapy  |  Page </w:t>
    </w:r>
    <w:r>
      <w:rPr>
        <w:rFonts w:ascii="Arial" w:cs="Arial" w:eastAsia="Arial" w:hAnsi="Arial"/>
        <w:b/>
        <w:bCs/>
        <w:color w:val="1565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α-Bisabolol — Terpene Monograph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65C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9bdcb46bb6b60aaddfe00ad516420459ace676.png"/><Relationship Id="rId10" Type="http://schemas.openxmlformats.org/officeDocument/2006/relationships/image" Target="media/7a30c9c45cce2401071f76e0db2a8488fd0cb51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2026-03-16T00:36:26.462Z</dcterms:created>
  <dcterms:modified xsi:type="dcterms:W3CDTF">2026-03-16T00:36:26.462Z</dcterms:modified>
</cp:coreProperties>
</file>

<file path=docProps/custom.xml><?xml version="1.0" encoding="utf-8"?>
<Properties xmlns="http://schemas.openxmlformats.org/officeDocument/2006/custom-properties" xmlns:vt="http://schemas.openxmlformats.org/officeDocument/2006/docPropsVTypes"/>
</file>