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drawing>
          <wp:inline distT="0" distB="0" distL="0" distR="0">
            <wp:extent cx="6191250" cy="2324100"/>
            <wp:effectExtent t="0" r="0" b="0" l="0"/>
            <wp:docPr id="1" name="cover" descr="Cover image for 1,8-Cineole monograph" title="1,8-Cine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324100"/>
                    </a:xfrm>
                    <a:prstGeom prst="rect">
                      <a:avLst/>
                    </a:prstGeom>
                  </pic:spPr>
                </pic:pic>
              </a:graphicData>
            </a:graphic>
          </wp:inline>
        </w:drawing>
      </w:r>
    </w:p>
    <w:p>
      <w:pPr>
        <w:spacing w:before="600"/>
      </w:pPr>
    </w:p>
    <w:p>
      <w:pPr>
        <w:spacing w:after="200"/>
        <w:jc w:val="center"/>
      </w:pPr>
      <w:r>
        <w:rPr>
          <w:rFonts w:ascii="Arial" w:cs="Arial" w:eastAsia="Arial" w:hAnsi="Arial"/>
          <w:b/>
          <w:bCs/>
          <w:color w:val="00838F"/>
          <w:spacing w:val="200"/>
          <w:sz w:val="28"/>
          <w:szCs w:val="28"/>
        </w:rPr>
        <w:t xml:space="preserve">TERPENE MONOGRAPH</w:t>
      </w:r>
    </w:p>
    <w:p>
      <w:pPr>
        <w:spacing w:after="100"/>
        <w:jc w:val="center"/>
      </w:pPr>
      <w:r>
        <w:rPr>
          <w:rFonts w:ascii="Arial" w:cs="Arial" w:eastAsia="Arial" w:hAnsi="Arial"/>
          <w:i/>
          <w:iCs/>
          <w:color w:val="666666"/>
          <w:sz w:val="22"/>
          <w:szCs w:val="22"/>
        </w:rPr>
        <w:t xml:space="preserve">Terpenes, With a Twist of Aromatherapy</w:t>
      </w:r>
    </w:p>
    <w:p>
      <w:pPr>
        <w:spacing w:after="100"/>
        <w:jc w:val="center"/>
      </w:pPr>
      <w:r>
        <w:rPr>
          <w:rFonts w:ascii="Arial" w:cs="Arial" w:eastAsia="Arial" w:hAnsi="Arial"/>
          <w:color w:val="888888"/>
          <w:sz w:val="20"/>
          <w:szCs w:val="20"/>
        </w:rPr>
        <w:t xml:space="preserve">Terpene Pre-Loading Knowledge Base</w:t>
      </w:r>
    </w:p>
    <w:p>
      <w:pPr>
        <w:spacing w:before="1200"/>
        <w:jc w:val="center"/>
      </w:pPr>
      <w:r>
        <w:rPr>
          <w:rFonts w:ascii="Arial" w:cs="Arial" w:eastAsia="Arial" w:hAnsi="Arial"/>
          <w:color w:val="999999"/>
          <w:sz w:val="20"/>
          <w:szCs w:val="20"/>
        </w:rPr>
        <w:t xml:space="preserve">March 2026</w:t>
      </w:r>
    </w:p>
    <w:p>
      <w:r>
        <w:br w:type="page"/>
      </w:r>
    </w:p>
    <w:p>
      <w:pPr>
        <w:pStyle w:val="Heading1"/>
      </w:pPr>
      <w:r>
        <w:rPr>
          <w:rFonts w:ascii="Arial" w:cs="Arial" w:eastAsia="Arial" w:hAnsi="Arial"/>
          <w:b/>
          <w:bCs/>
          <w:color w:val="00838F"/>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838F"/>
          <w:sz w:val="30"/>
          <w:szCs w:val="30"/>
        </w:rPr>
        <w:t xml:space="preserve">A Cannabis Pre-Loading Reference for Receptor Priming via Botanical Oils</w:t>
      </w:r>
    </w:p>
    <w:p>
      <w:pPr>
        <w:spacing w:after="120" w:line="300"/>
      </w:pPr>
      <w:r>
        <w:rPr>
          <w:rFonts w:ascii="Arial" w:cs="Arial" w:eastAsia="Arial" w:hAnsi="Arial"/>
          <w:b/>
          <w:bCs/>
          <w:sz w:val="22"/>
          <w:szCs w:val="22"/>
        </w:rPr>
        <w:t xml:space="preserve">Author</w:t>
      </w:r>
      <w:r>
        <w:rPr>
          <w:rFonts w:ascii="Arial" w:cs="Arial" w:eastAsia="Arial" w:hAnsi="Arial"/>
          <w:sz w:val="22"/>
          <w:szCs w:val="22"/>
        </w:rPr>
        <w:t xml:space="preserve">: Terpene Knowledge Base</w:t>
      </w:r>
    </w:p>
    <w:p>
      <w:pPr>
        <w:spacing w:after="120" w:line="300"/>
      </w:pPr>
      <w:r>
        <w:rPr>
          <w:rFonts w:ascii="Arial" w:cs="Arial" w:eastAsia="Arial" w:hAnsi="Arial"/>
          <w:b/>
          <w:bCs/>
          <w:sz w:val="22"/>
          <w:szCs w:val="22"/>
        </w:rPr>
        <w:t xml:space="preserve">Date</w:t>
      </w:r>
      <w:r>
        <w:rPr>
          <w:rFonts w:ascii="Arial" w:cs="Arial" w:eastAsia="Arial" w:hAnsi="Arial"/>
          <w:sz w:val="22"/>
          <w:szCs w:val="22"/>
        </w:rPr>
        <w:t xml:space="preserve">: March 2026</w:t>
      </w:r>
    </w:p>
    <w:p>
      <w:pPr>
        <w:spacing w:after="120" w:line="300"/>
      </w:pPr>
      <w:r>
        <w:rPr>
          <w:rFonts w:ascii="Arial" w:cs="Arial" w:eastAsia="Arial" w:hAnsi="Arial"/>
          <w:b/>
          <w:bCs/>
          <w:sz w:val="22"/>
          <w:szCs w:val="22"/>
        </w:rPr>
        <w:t xml:space="preserve">Focus</w:t>
      </w:r>
      <w:r>
        <w:rPr>
          <w:rFonts w:ascii="Arial" w:cs="Arial" w:eastAsia="Arial" w:hAnsi="Arial"/>
          <w:sz w:val="22"/>
          <w:szCs w:val="22"/>
        </w:rPr>
        <w:t xml:space="preserve">: Terpene pre-loading strategy — inhalation of strain-matched botanical oils 15–30 minutes before cannabis consumption</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838F"/>
          <w:sz w:val="30"/>
          <w:szCs w:val="30"/>
        </w:rPr>
        <w:t xml:space="preserve">Table of Contents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[Chemical Identity](#1-chemical-identity)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[Biosynthesis](#2-biosynthesis)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[Sensory Profile](#3-sensory-profile)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[Pharmacology](#4-pharmacology)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[Clinical Evidence](#5-clinical-evidence)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[Cross-Botanical Sources](#6-cross-botanical-sources)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[Molecular Cousins](#7-molecular-cousins)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[Wine &amp; Beverage](#8-wine--beverage)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[Perfumery](#9-perfumery)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[Culinary Applications](#10-culinary-applications)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[Traditional Medicine](#11-traditional-medicine)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[Forest Ecology](#12-forest-ecology)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[Industrial Applications](#13-industrial-applications)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[Contrarian Evidence &amp; Toxicity](#14-contrarian-evidence--toxicity)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[Pre-Loading Implications](#15-pre-loading-implications)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838F"/>
          <w:sz w:val="30"/>
          <w:szCs w:val="30"/>
        </w:rPr>
        <w:t xml:space="preserve">1. Chemical Identity</w:t>
      </w:r>
    </w:p>
    <w:p>
      <w:pPr>
        <w:pStyle w:val="Heading2"/>
        <w:spacing w:after="120" w:before="240"/>
      </w:pPr>
      <w:r>
        <w:rPr>
          <w:rFonts w:ascii="Arial" w:cs="Arial" w:eastAsia="Arial" w:hAnsi="Arial"/>
          <w:b/>
          <w:bCs/>
          <w:color w:val="333333"/>
          <w:sz w:val="26"/>
          <w:szCs w:val="26"/>
        </w:rPr>
        <w:t xml:space="preserve">IUPAC Nomenclature &amp; Structure</w:t>
      </w:r>
    </w:p>
    <w:p>
      <w:pPr>
        <w:spacing w:after="120" w:line="300"/>
      </w:pPr>
      <w:r>
        <w:rPr>
          <w:rFonts w:ascii="Arial" w:cs="Arial" w:eastAsia="Arial" w:hAnsi="Arial"/>
          <w:b/>
          <w:bCs/>
          <w:sz w:val="22"/>
          <w:szCs w:val="22"/>
        </w:rPr>
        <w:t xml:space="preserve">IUPAC Name</w:t>
      </w:r>
      <w:r>
        <w:rPr>
          <w:rFonts w:ascii="Arial" w:cs="Arial" w:eastAsia="Arial" w:hAnsi="Arial"/>
          <w:sz w:val="22"/>
          <w:szCs w:val="22"/>
        </w:rPr>
        <w:t xml:space="preserve">: 1,3,3-Trimethyl-2-oxabicyclo[2.2.2]octane</w:t>
      </w:r>
    </w:p>
    <w:p>
      <w:pPr>
        <w:spacing w:after="120" w:line="300"/>
      </w:pPr>
      <w:r>
        <w:rPr>
          <w:rFonts w:ascii="Arial" w:cs="Arial" w:eastAsia="Arial" w:hAnsi="Arial"/>
          <w:b/>
          <w:bCs/>
          <w:sz w:val="22"/>
          <w:szCs w:val="22"/>
        </w:rPr>
        <w:t xml:space="preserve">Common Names</w:t>
      </w:r>
      <w:r>
        <w:rPr>
          <w:rFonts w:ascii="Arial" w:cs="Arial" w:eastAsia="Arial" w:hAnsi="Arial"/>
          <w:sz w:val="22"/>
          <w:szCs w:val="22"/>
        </w:rPr>
        <w:t xml:space="preserve">: Eucalyptol, 1,8-cineole, cineol</w:t>
      </w:r>
    </w:p>
    <w:p>
      <w:pPr>
        <w:spacing w:after="120" w:line="300"/>
      </w:pPr>
      <w:r>
        <w:rPr>
          <w:rFonts w:ascii="Arial" w:cs="Arial" w:eastAsia="Arial" w:hAnsi="Arial"/>
          <w:b/>
          <w:bCs/>
          <w:sz w:val="22"/>
          <w:szCs w:val="22"/>
        </w:rPr>
        <w:t xml:space="preserve">CAS Number</w:t>
      </w:r>
      <w:r>
        <w:rPr>
          <w:rFonts w:ascii="Arial" w:cs="Arial" w:eastAsia="Arial" w:hAnsi="Arial"/>
          <w:sz w:val="22"/>
          <w:szCs w:val="22"/>
        </w:rPr>
        <w:t xml:space="preserve">: 470-82-6</w:t>
      </w:r>
    </w:p>
    <w:p>
      <w:pPr>
        <w:spacing w:after="120" w:line="300"/>
      </w:pPr>
      <w:r>
        <w:rPr>
          <w:rFonts w:ascii="Arial" w:cs="Arial" w:eastAsia="Arial" w:hAnsi="Arial"/>
          <w:b/>
          <w:bCs/>
          <w:sz w:val="22"/>
          <w:szCs w:val="22"/>
        </w:rPr>
        <w:t xml:space="preserve">Molecular Formula</w:t>
      </w:r>
      <w:r>
        <w:rPr>
          <w:rFonts w:ascii="Arial" w:cs="Arial" w:eastAsia="Arial" w:hAnsi="Arial"/>
          <w:sz w:val="22"/>
          <w:szCs w:val="22"/>
        </w:rPr>
        <w:t xml:space="preserve">: C₁₀H₁₈O</w:t>
      </w:r>
    </w:p>
    <w:p>
      <w:pPr>
        <w:spacing w:after="120" w:line="300"/>
      </w:pPr>
      <w:r>
        <w:rPr>
          <w:rFonts w:ascii="Arial" w:cs="Arial" w:eastAsia="Arial" w:hAnsi="Arial"/>
          <w:b/>
          <w:bCs/>
          <w:sz w:val="22"/>
          <w:szCs w:val="22"/>
        </w:rPr>
        <w:t xml:space="preserve">Molecular Weight</w:t>
      </w:r>
      <w:r>
        <w:rPr>
          <w:rFonts w:ascii="Arial" w:cs="Arial" w:eastAsia="Arial" w:hAnsi="Arial"/>
          <w:sz w:val="22"/>
          <w:szCs w:val="22"/>
        </w:rPr>
        <w:t xml:space="preserve">: 154.25 g/mol</w:t>
      </w:r>
    </w:p>
    <w:p>
      <w:pPr>
        <w:spacing w:after="120" w:line="300"/>
      </w:pPr>
      <w:r>
        <w:rPr>
          <w:rFonts w:ascii="Arial" w:cs="Arial" w:eastAsia="Arial" w:hAnsi="Arial"/>
          <w:b/>
          <w:bCs/>
          <w:sz w:val="22"/>
          <w:szCs w:val="22"/>
        </w:rPr>
        <w:t xml:space="preserve">Structural Classification</w:t>
      </w:r>
      <w:r>
        <w:rPr>
          <w:rFonts w:ascii="Arial" w:cs="Arial" w:eastAsia="Arial" w:hAnsi="Arial"/>
          <w:sz w:val="22"/>
          <w:szCs w:val="22"/>
        </w:rPr>
        <w:t xml:space="preserve">: Bicyclic monoterpene ether (oxide)</w:t>
      </w:r>
    </w:p>
    <w:p>
      <w:pPr>
        <w:pStyle w:val="Heading2"/>
        <w:spacing w:after="120" w:before="240"/>
      </w:pPr>
      <w:r>
        <w:rPr>
          <w:rFonts w:ascii="Arial" w:cs="Arial" w:eastAsia="Arial" w:hAnsi="Arial"/>
          <w:b/>
          <w:bCs/>
          <w:color w:val="333333"/>
          <w:sz w:val="26"/>
          <w:szCs w:val="26"/>
        </w:rPr>
        <w:t xml:space="preserve">Physical Properties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312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Boiling Point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176°C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[PubChem CID 2758](https://pubchem.ncbi.nlm.nih.gov/compound/Eucalyptol)</w:t>
            </w:r>
          </w:p>
        </w:tc>
      </w:tr>
      <w:tr>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Density</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0.921 g/cm³</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[Chemical Book](https://www.chemicalbook.com/ChemicalProductProperty_EN_CB2853653.htm)</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Appearance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Colorless to pale yellow liquid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[PubChem](https://pubchem.ncbi.nlm.nih.gov/compound/1_8-Cineole)</w:t>
            </w:r>
          </w:p>
        </w:tc>
      </w:tr>
      <w:tr>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Odor</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Fresh, camphoraceous, minty, medicinal</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[ScienceDirect Topics](https://www.sciencedirect.com/topics/chemistry/1-8-cineole)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Solubility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Insoluble in water; miscible with organic solvents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[Wikipedia: Eucalyptol](https://en.wikipedia.org/wiki/Eucalyptol)</w:t>
            </w:r>
          </w:p>
        </w:tc>
      </w:tr>
    </w:tbl>
    <w:p>
      <w:pPr>
        <w:spacing w:after="120"/>
      </w:pPr>
    </w:p>
    <w:p>
      <w:pPr>
        <w:pStyle w:val="Heading2"/>
        <w:spacing w:after="120" w:before="240"/>
      </w:pPr>
      <w:r>
        <w:rPr>
          <w:rFonts w:ascii="Arial" w:cs="Arial" w:eastAsia="Arial" w:hAnsi="Arial"/>
          <w:b/>
          <w:bCs/>
          <w:color w:val="333333"/>
          <w:sz w:val="26"/>
          <w:szCs w:val="26"/>
        </w:rPr>
        <w:t xml:space="preserve">The Bicyclic Ether Bridge: Structural Distinction</w:t>
      </w:r>
    </w:p>
    <w:p>
      <w:pPr>
        <w:spacing w:after="120" w:line="300"/>
      </w:pPr>
      <w:r>
        <w:rPr>
          <w:rFonts w:ascii="Arial" w:cs="Arial" w:eastAsia="Arial" w:hAnsi="Arial"/>
          <w:sz w:val="22"/>
          <w:szCs w:val="22"/>
        </w:rPr>
        <w:t xml:space="preserve">1,8-cineole's unique defining feature is its </w:t>
      </w:r>
      <w:r>
        <w:rPr>
          <w:rFonts w:ascii="Arial" w:cs="Arial" w:eastAsia="Arial" w:hAnsi="Arial"/>
          <w:b/>
          <w:bCs/>
          <w:sz w:val="22"/>
          <w:szCs w:val="22"/>
        </w:rPr>
        <w:t xml:space="preserve">internal ether bridge</w:t>
      </w:r>
      <w:r>
        <w:rPr>
          <w:rFonts w:ascii="Arial" w:cs="Arial" w:eastAsia="Arial" w:hAnsi="Arial"/>
          <w:sz w:val="22"/>
          <w:szCs w:val="22"/>
        </w:rPr>
        <w:t xml:space="preserve"> (oxabicyclic structure) connecting positions 1 and 8 of the bicyclic framework. This contrasts with many monoterpenes lacking ether linkages. The presence of the ether oxygen (hence the classification as "oxide") is critical to its bioavailability and receptor interactions. This structural uniqueness explains why 1,8-cineole crosses the blood-brain barrier more readily than structurally similar terpenes—the ether linkage increases lipophilicity and membrane penetration.</w:t>
      </w:r>
    </w:p>
    <w:p>
      <w:pPr>
        <w:spacing w:after="120" w:line="300"/>
      </w:pPr>
      <w:r>
        <w:rPr>
          <w:rFonts w:ascii="Arial" w:cs="Arial" w:eastAsia="Arial" w:hAnsi="Arial"/>
          <w:sz w:val="22"/>
          <w:szCs w:val="22"/>
        </w:rPr>
        <w:t xml:space="preserve">The bicyclic structure creates a rigid 3D geometry compared to the more flexible acyclic or monocyclic terpenes (e.g., limonene, linalool), which may contribute to its specificity in binding certain ion channels and enzyme active sites.</w:t>
      </w:r>
    </w:p>
    <w:p>
      <w:pPr>
        <w:pStyle w:val="Heading2"/>
        <w:spacing w:after="120" w:before="240"/>
      </w:pPr>
      <w:r>
        <w:rPr>
          <w:rFonts w:ascii="Arial" w:cs="Arial" w:eastAsia="Arial" w:hAnsi="Arial"/>
          <w:b/>
          <w:bCs/>
          <w:color w:val="333333"/>
          <w:sz w:val="26"/>
          <w:szCs w:val="26"/>
        </w:rPr>
        <w:t xml:space="preserve">Why "Eucalyptol"?</w:t>
      </w:r>
    </w:p>
    <w:p>
      <w:pPr>
        <w:spacing w:after="120" w:line="300"/>
      </w:pPr>
      <w:r>
        <w:rPr>
          <w:rFonts w:ascii="Arial" w:cs="Arial" w:eastAsia="Arial" w:hAnsi="Arial"/>
          <w:sz w:val="22"/>
          <w:szCs w:val="22"/>
        </w:rPr>
        <w:t xml:space="preserve">The name derives from *Eucalyptus globulus* (blue gum eucalyptus), in which 1,8-cineole comprises </w:t>
      </w:r>
      <w:r>
        <w:rPr>
          <w:rFonts w:ascii="Arial" w:cs="Arial" w:eastAsia="Arial" w:hAnsi="Arial"/>
          <w:b/>
          <w:bCs/>
          <w:sz w:val="22"/>
          <w:szCs w:val="22"/>
        </w:rPr>
        <w:t xml:space="preserve">70–90% of the essential oil</w:t>
      </w:r>
      <w:r>
        <w:rPr>
          <w:rFonts w:ascii="Arial" w:cs="Arial" w:eastAsia="Arial" w:hAnsi="Arial"/>
          <w:sz w:val="22"/>
          <w:szCs w:val="22"/>
        </w:rPr>
        <w:t xml:space="preserve"> (with some samples reaching up to 95%). The compound's discovery and prominence in eucalyptus essential oils established it as the defining aromatic signature of the genus.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838F"/>
          <w:sz w:val="30"/>
          <w:szCs w:val="30"/>
        </w:rPr>
        <w:t xml:space="preserve">2. Biosynthesis</w:t>
      </w:r>
    </w:p>
    <w:p>
      <w:pPr>
        <w:pStyle w:val="Heading2"/>
        <w:spacing w:after="120" w:before="240"/>
      </w:pPr>
      <w:r>
        <w:rPr>
          <w:rFonts w:ascii="Arial" w:cs="Arial" w:eastAsia="Arial" w:hAnsi="Arial"/>
          <w:b/>
          <w:bCs/>
          <w:color w:val="333333"/>
          <w:sz w:val="26"/>
          <w:szCs w:val="26"/>
        </w:rPr>
        <w:t xml:space="preserve">The MEP-to-1,8-Cineole Pathway</w:t>
      </w:r>
    </w:p>
    <w:p>
      <w:pPr>
        <w:spacing w:after="120" w:line="300"/>
      </w:pPr>
      <w:r>
        <w:rPr>
          <w:rFonts w:ascii="Arial" w:cs="Arial" w:eastAsia="Arial" w:hAnsi="Arial"/>
          <w:sz w:val="22"/>
          <w:szCs w:val="22"/>
        </w:rPr>
        <w:t xml:space="preserve">1,8-cineole biosynthesis proceeds via the </w:t>
      </w:r>
      <w:r>
        <w:rPr>
          <w:rFonts w:ascii="Arial" w:cs="Arial" w:eastAsia="Arial" w:hAnsi="Arial"/>
          <w:b/>
          <w:bCs/>
          <w:sz w:val="22"/>
          <w:szCs w:val="22"/>
        </w:rPr>
        <w:t xml:space="preserve">Methylerythritol Phosphate (MEP) pathway</w:t>
      </w:r>
      <w:r>
        <w:rPr>
          <w:rFonts w:ascii="Arial" w:cs="Arial" w:eastAsia="Arial" w:hAnsi="Arial"/>
          <w:sz w:val="22"/>
          <w:szCs w:val="22"/>
        </w:rPr>
        <w:t xml:space="preserve">, the primary route for monoterpene production in higher plants.</w:t>
      </w:r>
    </w:p>
    <w:p>
      <w:pPr>
        <w:spacing w:after="100" w:before="200"/>
      </w:pPr>
      <w:r>
        <w:rPr>
          <w:rFonts w:ascii="Arial" w:cs="Arial" w:eastAsia="Arial" w:hAnsi="Arial"/>
          <w:b/>
          <w:bCs/>
          <w:color w:val="444444"/>
          <w:sz w:val="24"/>
          <w:szCs w:val="24"/>
        </w:rPr>
        <w:t xml:space="preserve">Step-by-Step Mechanism</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Precursor Formation</w:t>
      </w:r>
      <w:r>
        <w:rPr>
          <w:rFonts w:ascii="Arial" w:cs="Arial" w:eastAsia="Arial" w:hAnsi="Arial"/>
          <w:sz w:val="22"/>
          <w:szCs w:val="22"/>
        </w:rPr>
        <w:t xml:space="preserve">: Geranyl pyrophosphate (GPP) is synthesized via the MEP pathway from pyruvate and glyceraldehyde-3-phosphate via multiple enzymatic steps.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GPP Ionization &amp; Cation Formation</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synthase catalyzes diphosphate (PPi) elimination from GPP</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This generates the highly reactive </w:t>
      </w:r>
      <w:r>
        <w:rPr>
          <w:rFonts w:ascii="Arial" w:cs="Arial" w:eastAsia="Arial" w:hAnsi="Arial"/>
          <w:b/>
          <w:bCs/>
          <w:sz w:val="22"/>
          <w:szCs w:val="22"/>
        </w:rPr>
        <w:t xml:space="preserve">geranyl cation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Sequential cation rearrangements produce: geranyl → linalyl → α-terpinyl cation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α-Terpineol Formation</w:t>
      </w:r>
      <w:r>
        <w:rPr>
          <w:rFonts w:ascii="Arial" w:cs="Arial" w:eastAsia="Arial" w:hAnsi="Arial"/>
          <w:sz w:val="22"/>
          <w:szCs w:val="22"/>
        </w:rPr>
        <w:t xml:space="preserve"> (Key Intermediate):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The α-terpinyl cation is trapped by water</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This produces </w:t>
      </w:r>
      <w:r>
        <w:rPr>
          <w:rFonts w:ascii="Arial" w:cs="Arial" w:eastAsia="Arial" w:hAnsi="Arial"/>
          <w:b/>
          <w:bCs/>
          <w:sz w:val="22"/>
          <w:szCs w:val="22"/>
        </w:rPr>
        <w:t xml:space="preserve">α-terpineol</w:t>
      </w:r>
      <w:r>
        <w:rPr>
          <w:rFonts w:ascii="Arial" w:cs="Arial" w:eastAsia="Arial" w:hAnsi="Arial"/>
          <w:sz w:val="22"/>
          <w:szCs w:val="22"/>
        </w:rPr>
        <w:t xml:space="preserve"> (a biosynthetic precursor to 1,8-cineole)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α-terpineol remains a distinct terpene in many essential oils (e.g., tea tree oil, rosemary)</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Cyclization &amp; Ether Bridge Formation</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α-terpineol undergoes intramolecular cyclization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The hydroxyl group (-OH) at the terpineol molecule acts as a nucleophile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An internal double bond reacts with the hydroxyl group to form the second ring and ether linkage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Water is the sole source of the ether oxygen</w:t>
      </w:r>
      <w:r>
        <w:rPr>
          <w:rFonts w:ascii="Arial" w:cs="Arial" w:eastAsia="Arial" w:hAnsi="Arial"/>
          <w:sz w:val="22"/>
          <w:szCs w:val="22"/>
        </w:rPr>
        <w:t xml:space="preserve">, confirmed via isotope labeling studies with H₂¹⁸O</w:t>
      </w:r>
    </w:p>
    <w:p>
      <w:pPr>
        <w:spacing w:after="100" w:before="200"/>
      </w:pPr>
      <w:r>
        <w:rPr>
          <w:rFonts w:ascii="Arial" w:cs="Arial" w:eastAsia="Arial" w:hAnsi="Arial"/>
          <w:b/>
          <w:bCs/>
          <w:color w:val="444444"/>
          <w:sz w:val="24"/>
          <w:szCs w:val="24"/>
        </w:rPr>
        <w:t xml:space="preserve">Catalytic Mechanism</w:t>
      </w:r>
    </w:p>
    <w:p>
      <w:pPr>
        <w:spacing w:after="120" w:line="300"/>
      </w:pPr>
      <w:r>
        <w:rPr>
          <w:rFonts w:ascii="Arial" w:cs="Arial" w:eastAsia="Arial" w:hAnsi="Arial"/>
          <w:sz w:val="22"/>
          <w:szCs w:val="22"/>
        </w:rPr>
        <w:t xml:space="preserve">The enzyme 1,8-cineole synthase operates via a catalytic dyad:</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Histidine-502</w:t>
      </w:r>
      <w:r>
        <w:rPr>
          <w:rFonts w:ascii="Arial" w:cs="Arial" w:eastAsia="Arial" w:hAnsi="Arial"/>
          <w:sz w:val="22"/>
          <w:szCs w:val="22"/>
        </w:rPr>
        <w:t xml:space="preserve"> and </w:t>
      </w:r>
      <w:r>
        <w:rPr>
          <w:rFonts w:ascii="Arial" w:cs="Arial" w:eastAsia="Arial" w:hAnsi="Arial"/>
          <w:b/>
          <w:bCs/>
          <w:sz w:val="22"/>
          <w:szCs w:val="22"/>
        </w:rPr>
        <w:t xml:space="preserve">Glutamate-249</w:t>
      </w:r>
      <w:r>
        <w:rPr>
          <w:rFonts w:ascii="Arial" w:cs="Arial" w:eastAsia="Arial" w:hAnsi="Arial"/>
          <w:sz w:val="22"/>
          <w:szCs w:val="22"/>
        </w:rPr>
        <w:t xml:space="preserve"> act as a base-catalyzed system</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Threonine-278</w:t>
      </w:r>
      <w:r>
        <w:rPr>
          <w:rFonts w:ascii="Arial" w:cs="Arial" w:eastAsia="Arial" w:hAnsi="Arial"/>
          <w:sz w:val="22"/>
          <w:szCs w:val="22"/>
        </w:rPr>
        <w:t xml:space="preserve"> facilitates proton transfer during the rearrangement</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This catalytic triad promotes the autoprotonation and cyclization of (S)-(-)-α-terpineol into the final bicyclic cineole product</w:t>
      </w:r>
    </w:p>
    <w:p>
      <w:pPr>
        <w:pStyle w:val="Heading2"/>
        <w:spacing w:after="120" w:before="240"/>
      </w:pPr>
      <w:r>
        <w:rPr>
          <w:rFonts w:ascii="Arial" w:cs="Arial" w:eastAsia="Arial" w:hAnsi="Arial"/>
          <w:b/>
          <w:bCs/>
          <w:color w:val="333333"/>
          <w:sz w:val="26"/>
          <w:szCs w:val="26"/>
        </w:rPr>
        <w:t xml:space="preserve">Key References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[The α-Terpineol to 1,8-Cineole Cyclization Reaction of Tobacco Terpene Synthases - PubMed](https://pubmed.ncbi.nlm.nih.gov/27729471/)</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[Biosynthesis of monoterpenes: partial purification, characterization, and mechanism of action of 1,8-cineole synthase - PubMed](https://pubmed.ncbi.nlm.nih.gov/8117108/)</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[Structural Basis of Catalysis in the Bacterial Monoterpene Synthases - ACS Catalysis](https://pubs.acs.org/doi/10.1021/acscatal.7b01924)</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838F"/>
          <w:sz w:val="30"/>
          <w:szCs w:val="30"/>
        </w:rPr>
        <w:t xml:space="preserve">3. Sensory Profile</w:t>
      </w:r>
    </w:p>
    <w:p>
      <w:pPr>
        <w:pStyle w:val="Heading2"/>
        <w:spacing w:after="120" w:before="240"/>
      </w:pPr>
      <w:r>
        <w:rPr>
          <w:rFonts w:ascii="Arial" w:cs="Arial" w:eastAsia="Arial" w:hAnsi="Arial"/>
          <w:b/>
          <w:bCs/>
          <w:color w:val="333333"/>
          <w:sz w:val="26"/>
          <w:szCs w:val="26"/>
        </w:rPr>
        <w:t xml:space="preserve">Aroma Characteristics</w:t>
      </w:r>
    </w:p>
    <w:p>
      <w:pPr>
        <w:spacing w:after="120" w:line="300"/>
      </w:pPr>
      <w:r>
        <w:rPr>
          <w:rFonts w:ascii="Arial" w:cs="Arial" w:eastAsia="Arial" w:hAnsi="Arial"/>
          <w:sz w:val="22"/>
          <w:szCs w:val="22"/>
        </w:rPr>
        <w:t xml:space="preserve">1,8-cineole defines a distinctive </w:t>
      </w:r>
      <w:r>
        <w:rPr>
          <w:rFonts w:ascii="Arial" w:cs="Arial" w:eastAsia="Arial" w:hAnsi="Arial"/>
          <w:b/>
          <w:bCs/>
          <w:sz w:val="22"/>
          <w:szCs w:val="22"/>
        </w:rPr>
        <w:t xml:space="preserve">fresh, camphoraceous, minty, medicinal</w:t>
      </w:r>
      <w:r>
        <w:rPr>
          <w:rFonts w:ascii="Arial" w:cs="Arial" w:eastAsia="Arial" w:hAnsi="Arial"/>
          <w:sz w:val="22"/>
          <w:szCs w:val="22"/>
        </w:rPr>
        <w:t xml:space="preserve"> aroma profile. It is the olfactory signature compound of eucalyptus forests and a dominant note in many herbal essential oils.</w:t>
      </w:r>
    </w:p>
    <w:p>
      <w:pPr>
        <w:pStyle w:val="Heading2"/>
        <w:spacing w:after="120" w:before="240"/>
      </w:pPr>
      <w:r>
        <w:rPr>
          <w:rFonts w:ascii="Arial" w:cs="Arial" w:eastAsia="Arial" w:hAnsi="Arial"/>
          <w:b/>
          <w:bCs/>
          <w:color w:val="333333"/>
          <w:sz w:val="26"/>
          <w:szCs w:val="26"/>
        </w:rPr>
        <w:t xml:space="preserve">Sensory Descriptors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Quality</w:t>
            </w:r>
          </w:p>
        </w:tc>
        <w:tc>
          <w:tcPr>
            <w:tcW w:type="dxa" w:w="312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Context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Top Note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Sharp, piercing, cooling, fresh-herbal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First 30 seconds of aroma perception</w:t>
            </w:r>
          </w:p>
        </w:tc>
      </w:tr>
      <w:tr>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Heart</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Camphor-like, menthol-adjacent, crystalline</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Sustained olfactory phase (1–5 min)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Underlying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Slightly medicinal, herbaceous, mineral-green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Deeper aromatic character</w:t>
            </w:r>
          </w:p>
        </w:tc>
      </w:tr>
      <w:tr>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Taste</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Spicy, cooling, tingling (when ingested)</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Minor culinary applications</w:t>
            </w:r>
          </w:p>
        </w:tc>
      </w:tr>
    </w:tbl>
    <w:p>
      <w:pPr>
        <w:spacing w:after="120"/>
      </w:pPr>
    </w:p>
    <w:p>
      <w:pPr>
        <w:pStyle w:val="Heading2"/>
        <w:spacing w:after="120" w:before="240"/>
      </w:pPr>
      <w:r>
        <w:rPr>
          <w:rFonts w:ascii="Arial" w:cs="Arial" w:eastAsia="Arial" w:hAnsi="Arial"/>
          <w:b/>
          <w:bCs/>
          <w:color w:val="333333"/>
          <w:sz w:val="26"/>
          <w:szCs w:val="26"/>
        </w:rPr>
        <w:t xml:space="preserve">Olfactory Potency &amp; Detection Threshold</w:t>
      </w:r>
    </w:p>
    <w:p>
      <w:pPr>
        <w:spacing w:after="120" w:line="300"/>
      </w:pPr>
      <w:r>
        <w:rPr>
          <w:rFonts w:ascii="Arial" w:cs="Arial" w:eastAsia="Arial" w:hAnsi="Arial"/>
          <w:sz w:val="22"/>
          <w:szCs w:val="22"/>
        </w:rPr>
        <w:t xml:space="preserve">1,8-cineole has a very </w:t>
      </w:r>
      <w:r>
        <w:rPr>
          <w:rFonts w:ascii="Arial" w:cs="Arial" w:eastAsia="Arial" w:hAnsi="Arial"/>
          <w:b/>
          <w:bCs/>
          <w:sz w:val="22"/>
          <w:szCs w:val="22"/>
        </w:rPr>
        <w:t xml:space="preserve">low human odor detection threshold</w:t>
      </w:r>
      <w:r>
        <w:rPr>
          <w:rFonts w:ascii="Arial" w:cs="Arial" w:eastAsia="Arial" w:hAnsi="Arial"/>
          <w:sz w:val="22"/>
          <w:szCs w:val="22"/>
        </w:rPr>
        <w:t xml:space="preserve">, meaning it is readily perceived at low concentrations. This heightened olfactory sensitivity explains why small amounts (even 10–20% in botanical oils) can dominate the perceived aroma of a blend.</w:t>
      </w:r>
    </w:p>
    <w:p>
      <w:pPr>
        <w:pStyle w:val="Heading2"/>
        <w:spacing w:after="120" w:before="240"/>
      </w:pPr>
      <w:r>
        <w:rPr>
          <w:rFonts w:ascii="Arial" w:cs="Arial" w:eastAsia="Arial" w:hAnsi="Arial"/>
          <w:b/>
          <w:bCs/>
          <w:color w:val="333333"/>
          <w:sz w:val="26"/>
          <w:szCs w:val="26"/>
        </w:rPr>
        <w:t xml:space="preserve">The "Eucalyptus Effect" in Botanical Blends</w:t>
      </w:r>
    </w:p>
    <w:p>
      <w:pPr>
        <w:spacing w:after="120" w:line="300"/>
      </w:pPr>
      <w:r>
        <w:rPr>
          <w:rFonts w:ascii="Arial" w:cs="Arial" w:eastAsia="Arial" w:hAnsi="Arial"/>
          <w:sz w:val="22"/>
          <w:szCs w:val="22"/>
        </w:rPr>
        <w:t xml:space="preserve">When 1,8-cineole reaches 40%+ of an oil's composition (as in rosemary ct. cineole or pure eucalyptus), it creates an unmistakable olfactory profile that many associate with:</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Vick's VapoRub</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Medicinal throat lozenges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Forest inhalation (Australian bush)</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Clinical/spa environments</w:t>
      </w:r>
    </w:p>
    <w:p>
      <w:pPr>
        <w:spacing w:after="120" w:line="300"/>
      </w:pPr>
      <w:r>
        <w:rPr>
          <w:rFonts w:ascii="Arial" w:cs="Arial" w:eastAsia="Arial" w:hAnsi="Arial"/>
          <w:sz w:val="22"/>
          <w:szCs w:val="22"/>
        </w:rPr>
        <w:t xml:space="preserve">This sensory dominance is central to pre-loading strategy: the strong, recognizable aroma creates potent olfactory conditioning and may prime expectation-related neural pathways before cannabis use.</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838F"/>
          <w:sz w:val="30"/>
          <w:szCs w:val="30"/>
        </w:rPr>
        <w:t xml:space="preserve">4. Pharmacology</w:t>
      </w:r>
    </w:p>
    <w:p>
      <w:pPr>
        <w:pStyle w:val="Heading2"/>
        <w:spacing w:after="120" w:before="240"/>
      </w:pPr>
      <w:r>
        <w:rPr>
          <w:rFonts w:ascii="Arial" w:cs="Arial" w:eastAsia="Arial" w:hAnsi="Arial"/>
          <w:b/>
          <w:bCs/>
          <w:color w:val="333333"/>
          <w:sz w:val="26"/>
          <w:szCs w:val="26"/>
        </w:rPr>
        <w:t xml:space="preserve">Overview: The Cognitive Terpene</w:t>
      </w:r>
    </w:p>
    <w:p>
      <w:pPr>
        <w:spacing w:after="120" w:line="300"/>
      </w:pPr>
      <w:r>
        <w:rPr>
          <w:rFonts w:ascii="Arial" w:cs="Arial" w:eastAsia="Arial" w:hAnsi="Arial"/>
          <w:sz w:val="22"/>
          <w:szCs w:val="22"/>
        </w:rPr>
        <w:t xml:space="preserve">1,8-cineole holds unique status in terpene pharmacology due to the </w:t>
      </w:r>
      <w:r>
        <w:rPr>
          <w:rFonts w:ascii="Arial" w:cs="Arial" w:eastAsia="Arial" w:hAnsi="Arial"/>
          <w:b/>
          <w:bCs/>
          <w:sz w:val="22"/>
          <w:szCs w:val="22"/>
        </w:rPr>
        <w:t xml:space="preserve">Moss &amp; Oliver 2012 breakthrough study</w:t>
      </w:r>
      <w:r>
        <w:rPr>
          <w:rFonts w:ascii="Arial" w:cs="Arial" w:eastAsia="Arial" w:hAnsi="Arial"/>
          <w:sz w:val="22"/>
          <w:szCs w:val="22"/>
        </w:rPr>
        <w:t xml:space="preserve">, which provided human-level evidence that plasma concentrations of inhaled 1,8-cineole directly correlate with objective cognitive performance improvements. This is the strongest human data available for any terpene compound.</w:t>
      </w:r>
    </w:p>
    <w:p>
      <w:pPr>
        <w:pStyle w:val="Heading2"/>
        <w:spacing w:after="120" w:before="240"/>
      </w:pPr>
      <w:r>
        <w:rPr>
          <w:rFonts w:ascii="Arial" w:cs="Arial" w:eastAsia="Arial" w:hAnsi="Arial"/>
          <w:b/>
          <w:bCs/>
          <w:color w:val="333333"/>
          <w:sz w:val="26"/>
          <w:szCs w:val="26"/>
        </w:rPr>
        <w:t xml:space="preserve">4.1 Blood-Brain Barrier Crossing (Proven)</w:t>
      </w:r>
    </w:p>
    <w:p>
      <w:pPr>
        <w:spacing w:after="100" w:before="200"/>
      </w:pPr>
      <w:r>
        <w:rPr>
          <w:rFonts w:ascii="Arial" w:cs="Arial" w:eastAsia="Arial" w:hAnsi="Arial"/>
          <w:b/>
          <w:bCs/>
          <w:color w:val="444444"/>
          <w:sz w:val="24"/>
          <w:szCs w:val="24"/>
        </w:rPr>
        <w:t xml:space="preserve">Moss &amp; Oliver 2012: The Landmark Cognitive Study</w:t>
      </w:r>
    </w:p>
    <w:p>
      <w:pPr>
        <w:spacing w:after="120" w:line="300"/>
      </w:pPr>
      <w:r>
        <w:rPr>
          <w:rFonts w:ascii="Arial" w:cs="Arial" w:eastAsia="Arial" w:hAnsi="Arial"/>
          <w:b/>
          <w:bCs/>
          <w:sz w:val="22"/>
          <w:szCs w:val="22"/>
        </w:rPr>
        <w:t xml:space="preserve">Citation</w:t>
      </w:r>
      <w:r>
        <w:rPr>
          <w:rFonts w:ascii="Arial" w:cs="Arial" w:eastAsia="Arial" w:hAnsi="Arial"/>
          <w:sz w:val="22"/>
          <w:szCs w:val="22"/>
        </w:rPr>
        <w:t xml:space="preserve">: Moss, M., &amp; Oliver, L. (2012). "Plasma 1,8-cineole correlates with cognitive performance following exposure to rosemary essential oil aroma." *Therapeutic Advances in Psychopharmacology*, 2(3), 103–113. [PMC3736918](https://pmc.ncbi.nlm.nih.gov/articles/PMC3736918/)</w:t>
      </w:r>
    </w:p>
    <w:p>
      <w:pPr>
        <w:spacing w:after="120" w:line="300"/>
      </w:pPr>
      <w:r>
        <w:rPr>
          <w:rFonts w:ascii="Arial" w:cs="Arial" w:eastAsia="Arial" w:hAnsi="Arial"/>
          <w:b/>
          <w:bCs/>
          <w:sz w:val="22"/>
          <w:szCs w:val="22"/>
        </w:rPr>
        <w:t xml:space="preserve">Study Design</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20 healthy volunteers performed serial subtraction and visual information processing tasks in a test cubicle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Rosemary essential oil aroma was diffused throughout the cubicle during cognitive testing</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Venous blood was sampled at the end of the session</w:t>
      </w:r>
      <w:r>
        <w:rPr>
          <w:rFonts w:ascii="Arial" w:cs="Arial" w:eastAsia="Arial" w:hAnsi="Arial"/>
          <w:sz w:val="22"/>
          <w:szCs w:val="22"/>
        </w:rPr>
        <w:t xml:space="preserve"> to measure plasma 1,8-cineole levels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Mood assessments were recorded pre and post-testing</w:t>
      </w:r>
    </w:p>
    <w:p>
      <w:pPr>
        <w:spacing w:after="120" w:line="300"/>
      </w:pPr>
      <w:r>
        <w:rPr>
          <w:rFonts w:ascii="Arial" w:cs="Arial" w:eastAsia="Arial" w:hAnsi="Arial"/>
          <w:b/>
          <w:bCs/>
          <w:sz w:val="22"/>
          <w:szCs w:val="22"/>
        </w:rPr>
        <w:t xml:space="preserve">Key Finding - The Breakthrough</w:t>
      </w:r>
      <w:r>
        <w:rPr>
          <w:rFonts w:ascii="Arial" w:cs="Arial" w:eastAsia="Arial" w:hAnsi="Arial"/>
          <w:sz w:val="22"/>
          <w:szCs w:val="22"/>
        </w:rPr>
        <w:t xml:space="preserve">:</w:t>
      </w:r>
    </w:p>
    <w:p>
      <w:pPr>
        <w:spacing w:after="120" w:line="300"/>
      </w:pPr>
      <w:r>
        <w:rPr>
          <w:rFonts w:ascii="Arial" w:cs="Arial" w:eastAsia="Arial" w:hAnsi="Arial"/>
          <w:b/>
          <w:bCs/>
          <w:sz w:val="22"/>
          <w:szCs w:val="22"/>
        </w:rPr>
        <w:t xml:space="preserve">Performance on cognitive tasks was significantly correlated with plasma concentrations of absorbed 1,8-cineole.</w:t>
      </w:r>
      <w:r>
        <w:rPr>
          <w:rFonts w:ascii="Arial" w:cs="Arial" w:eastAsia="Arial" w:hAnsi="Arial"/>
          <w:sz w:val="22"/>
          <w:szCs w:val="22"/>
        </w:rPr>
        <w:t xml:space="preserve"> Participants with higher plasma 1,8-cineole levels showed significantly better performance on memory-demanding tasks.</w:t>
      </w:r>
    </w:p>
    <w:p>
      <w:pPr>
        <w:spacing w:after="120" w:line="300"/>
      </w:pPr>
      <w:r>
        <w:rPr>
          <w:rFonts w:ascii="Arial" w:cs="Arial" w:eastAsia="Arial" w:hAnsi="Arial"/>
          <w:b/>
          <w:bCs/>
          <w:sz w:val="22"/>
          <w:szCs w:val="22"/>
        </w:rPr>
        <w:t xml:space="preserve">Critical Implication</w:t>
      </w:r>
      <w:r>
        <w:rPr>
          <w:rFonts w:ascii="Arial" w:cs="Arial" w:eastAsia="Arial" w:hAnsi="Arial"/>
          <w:sz w:val="22"/>
          <w:szCs w:val="22"/>
        </w:rPr>
        <w:t xml:space="preserve">: This study </w:t>
      </w:r>
      <w:r>
        <w:rPr>
          <w:rFonts w:ascii="Arial" w:cs="Arial" w:eastAsia="Arial" w:hAnsi="Arial"/>
          <w:b/>
          <w:bCs/>
          <w:sz w:val="22"/>
          <w:szCs w:val="22"/>
        </w:rPr>
        <w:t xml:space="preserve">directly proved that 1,8-cineole crosses the blood-brain barrier</w:t>
      </w:r>
      <w:r>
        <w:rPr>
          <w:rFonts w:ascii="Arial" w:cs="Arial" w:eastAsia="Arial" w:hAnsi="Arial"/>
          <w:sz w:val="22"/>
          <w:szCs w:val="22"/>
        </w:rPr>
        <w:t xml:space="preserve"> through inhalation, because cognitive enhancement at the CNS level requires brain tissue penetration. The correlation between plasma levels and neural performance is *direct evidence* of BBB crossing.</w:t>
      </w:r>
    </w:p>
    <w:p>
      <w:pPr>
        <w:spacing w:after="120" w:line="300"/>
      </w:pPr>
      <w:r>
        <w:rPr>
          <w:rFonts w:ascii="Arial" w:cs="Arial" w:eastAsia="Arial" w:hAnsi="Arial"/>
          <w:b/>
          <w:bCs/>
          <w:sz w:val="22"/>
          <w:szCs w:val="22"/>
        </w:rPr>
        <w:t xml:space="preserve">Mood Effects</w:t>
      </w:r>
      <w:r>
        <w:rPr>
          <w:rFonts w:ascii="Arial" w:cs="Arial" w:eastAsia="Arial" w:hAnsi="Arial"/>
          <w:sz w:val="22"/>
          <w:szCs w:val="22"/>
        </w:rPr>
        <w:t xml:space="preserve">: Interestingly, mood changes showed weaker correlation with 1,8-cineole concentration, suggesting that the compound has selective effects on memory/attention systems rather than broad emotional regulation.</w:t>
      </w:r>
    </w:p>
    <w:p>
      <w:pPr>
        <w:spacing w:after="100" w:before="200"/>
      </w:pPr>
      <w:r>
        <w:rPr>
          <w:rFonts w:ascii="Arial" w:cs="Arial" w:eastAsia="Arial" w:hAnsi="Arial"/>
          <w:b/>
          <w:bCs/>
          <w:color w:val="444444"/>
          <w:sz w:val="24"/>
          <w:szCs w:val="24"/>
        </w:rPr>
        <w:t xml:space="preserve">Inhalation Biokinetics (Pharmacokinetic Data)</w:t>
      </w:r>
    </w:p>
    <w:p>
      <w:pPr>
        <w:spacing w:after="120" w:line="300"/>
      </w:pPr>
      <w:r>
        <w:rPr>
          <w:rFonts w:ascii="Arial" w:cs="Arial" w:eastAsia="Arial" w:hAnsi="Arial"/>
          <w:sz w:val="22"/>
          <w:szCs w:val="22"/>
        </w:rPr>
        <w:t xml:space="preserve">The successful BBB crossing is supported by rapid inhalation kinetics: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Plasma Peak Time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14–19 minutes (avg. ~18 min)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Remarkably rapid absorption</w:t>
            </w:r>
          </w:p>
        </w:tc>
      </w:tr>
      <w:tr>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Peak Plasma Concentration</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459–1,135 ng/mL</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Clinically meaningful levels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Distribution Half-Life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6.7 minutes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Very rapid CNS penetration</w:t>
            </w:r>
          </w:p>
        </w:tc>
      </w:tr>
      <w:tr>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Elimination Half-Life</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104.6 minutes</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Sustained CNS residence time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Absorption Route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Nasal/lung mucosa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dermal or systemic</w:t>
            </w:r>
          </w:p>
        </w:tc>
      </w:tr>
      <w:tr>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Bioavailability Comparison</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10× higher via inhalation than dermal</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Route-dependent absorption</w:t>
            </w:r>
          </w:p>
        </w:tc>
      </w:tr>
    </w:tbl>
    <w:p>
      <w:pPr>
        <w:spacing w:after="120"/>
      </w:pPr>
    </w:p>
    <w:p>
      <w:pPr>
        <w:spacing w:after="120" w:line="300"/>
      </w:pPr>
      <w:r>
        <w:rPr>
          <w:rFonts w:ascii="Arial" w:cs="Arial" w:eastAsia="Arial" w:hAnsi="Arial"/>
          <w:b/>
          <w:bCs/>
          <w:sz w:val="22"/>
          <w:szCs w:val="22"/>
        </w:rPr>
        <w:t xml:space="preserve">Source</w:t>
      </w:r>
      <w:r>
        <w:rPr>
          <w:rFonts w:ascii="Arial" w:cs="Arial" w:eastAsia="Arial" w:hAnsi="Arial"/>
          <w:sz w:val="22"/>
          <w:szCs w:val="22"/>
        </w:rPr>
        <w:t xml:space="preserve">: [Pharmacokinetic studies of the fragrance compound 1,8-cineol in humans during inhalation - PubMed](https://pubmed.ncbi.nlm.nih.gov/8866111/)</w:t>
      </w:r>
    </w:p>
    <w:p>
      <w:pPr>
        <w:pStyle w:val="Heading2"/>
        <w:spacing w:after="120" w:before="240"/>
      </w:pPr>
      <w:r>
        <w:rPr>
          <w:rFonts w:ascii="Arial" w:cs="Arial" w:eastAsia="Arial" w:hAnsi="Arial"/>
          <w:b/>
          <w:bCs/>
          <w:color w:val="333333"/>
          <w:sz w:val="26"/>
          <w:szCs w:val="26"/>
        </w:rPr>
        <w:t xml:space="preserve">4.2 Anti-Inflammatory Mechanism (NF-κB &amp; Cytokine Inhibition)</w:t>
      </w:r>
    </w:p>
    <w:p>
      <w:pPr>
        <w:spacing w:after="100" w:before="200"/>
      </w:pPr>
      <w:r>
        <w:rPr>
          <w:rFonts w:ascii="Arial" w:cs="Arial" w:eastAsia="Arial" w:hAnsi="Arial"/>
          <w:b/>
          <w:bCs/>
          <w:color w:val="444444"/>
          <w:sz w:val="24"/>
          <w:szCs w:val="24"/>
        </w:rPr>
        <w:t xml:space="preserve">NF-κB Pathway Suppression</w:t>
      </w:r>
    </w:p>
    <w:p>
      <w:pPr>
        <w:spacing w:after="120" w:line="300"/>
      </w:pPr>
      <w:r>
        <w:rPr>
          <w:rFonts w:ascii="Arial" w:cs="Arial" w:eastAsia="Arial" w:hAnsi="Arial"/>
          <w:sz w:val="22"/>
          <w:szCs w:val="22"/>
        </w:rPr>
        <w:t xml:space="preserve">1,8-cineole exerts potent anti-inflammatory effects by </w:t>
      </w:r>
      <w:r>
        <w:rPr>
          <w:rFonts w:ascii="Arial" w:cs="Arial" w:eastAsia="Arial" w:hAnsi="Arial"/>
          <w:b/>
          <w:bCs/>
          <w:sz w:val="22"/>
          <w:szCs w:val="22"/>
        </w:rPr>
        <w:t xml:space="preserve">directly inhibiting the NF-κB signaling cascade</w:t>
      </w:r>
      <w:r>
        <w:rPr>
          <w:rFonts w:ascii="Arial" w:cs="Arial" w:eastAsia="Arial" w:hAnsi="Arial"/>
          <w:sz w:val="22"/>
          <w:szCs w:val="22"/>
        </w:rPr>
        <w:t xml:space="preserve">, a master regulator of inflammatory gene expression.</w:t>
      </w:r>
    </w:p>
    <w:p>
      <w:pPr>
        <w:spacing w:after="120" w:line="300"/>
      </w:pPr>
      <w:r>
        <w:rPr>
          <w:rFonts w:ascii="Arial" w:cs="Arial" w:eastAsia="Arial" w:hAnsi="Arial"/>
          <w:b/>
          <w:bCs/>
          <w:sz w:val="22"/>
          <w:szCs w:val="22"/>
        </w:rPr>
        <w:t xml:space="preserve">Molecular Mechanism</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Reduced p65 Nuclear Translocation</w:t>
      </w:r>
      <w:r>
        <w:rPr>
          <w:rFonts w:ascii="Arial" w:cs="Arial" w:eastAsia="Arial" w:hAnsi="Arial"/>
          <w:sz w:val="22"/>
          <w:szCs w:val="22"/>
        </w:rPr>
        <w:t xml:space="preserve">: 1,8-cineole decreases the nuclear accumulation of NF-κB p65 subunit</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IκBα Restoration</w:t>
      </w:r>
      <w:r>
        <w:rPr>
          <w:rFonts w:ascii="Arial" w:cs="Arial" w:eastAsia="Arial" w:hAnsi="Arial"/>
          <w:sz w:val="22"/>
          <w:szCs w:val="22"/>
        </w:rPr>
        <w:t xml:space="preserve">: The compound increases protein levels of inhibitory κB alpha (IκBα), restoring its complex with p65 in the cytoplasm</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Result</w:t>
      </w:r>
      <w:r>
        <w:rPr>
          <w:rFonts w:ascii="Arial" w:cs="Arial" w:eastAsia="Arial" w:hAnsi="Arial"/>
          <w:sz w:val="22"/>
          <w:szCs w:val="22"/>
        </w:rPr>
        <w:t xml:space="preserve">: NF-κB remains sequestered in cytoplasm and cannot access pro-inflammatory gene promoters</w:t>
      </w:r>
    </w:p>
    <w:p>
      <w:pPr>
        <w:spacing w:after="100" w:before="200"/>
      </w:pPr>
      <w:r>
        <w:rPr>
          <w:rFonts w:ascii="Arial" w:cs="Arial" w:eastAsia="Arial" w:hAnsi="Arial"/>
          <w:b/>
          <w:bCs/>
          <w:color w:val="444444"/>
          <w:sz w:val="24"/>
          <w:szCs w:val="24"/>
        </w:rPr>
        <w:t xml:space="preserve">Pro-Inflammatory Cytokine Suppression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Cytokine</w:t>
            </w:r>
          </w:p>
        </w:tc>
        <w:tc>
          <w:tcPr>
            <w:tcW w:type="dxa" w:w="312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312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Mechanism</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TNFα</w:t>
            </w:r>
            <w:r>
              <w:rPr>
                <w:rFonts w:ascii="Arial" w:cs="Arial" w:eastAsia="Arial" w:hAnsi="Arial"/>
                <w:b w:val="false"/>
                <w:bCs w:val="false"/>
                <w:color w:val="333333"/>
                <w:sz w:val="20"/>
                <w:szCs w:val="20"/>
              </w:rPr>
              <w:t xml:space="preserve"> (Tumor Necrosis Factor-α)</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Inhibited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NF-κB suppression → reduced TNF-α synthesis</w:t>
            </w:r>
          </w:p>
        </w:tc>
      </w:tr>
      <w:tr>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IL-1β</w:t>
            </w:r>
            <w:r>
              <w:rPr>
                <w:rFonts w:ascii="Arial" w:cs="Arial" w:eastAsia="Arial" w:hAnsi="Arial"/>
                <w:b w:val="false"/>
                <w:bCs w:val="false"/>
                <w:color w:val="333333"/>
                <w:sz w:val="20"/>
                <w:szCs w:val="20"/>
              </w:rPr>
              <w:t xml:space="preserve"> (Interleukin-1β)</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Inhibited</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Downstream of NF-κB; also ROS scavenging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IL-6</w:t>
            </w:r>
            <w:r>
              <w:rPr>
                <w:rFonts w:ascii="Arial" w:cs="Arial" w:eastAsia="Arial" w:hAnsi="Arial"/>
                <w:b w:val="false"/>
                <w:bCs w:val="false"/>
                <w:color w:val="333333"/>
                <w:sz w:val="20"/>
                <w:szCs w:val="20"/>
              </w:rPr>
              <w:t xml:space="preserve"> (Interleukin-6)</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Inhibited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NF-κB and STAT3-dependent expression blocked</w:t>
            </w:r>
          </w:p>
        </w:tc>
      </w:tr>
      <w:tr>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IL-8</w:t>
            </w:r>
            <w:r>
              <w:rPr>
                <w:rFonts w:ascii="Arial" w:cs="Arial" w:eastAsia="Arial" w:hAnsi="Arial"/>
                <w:b w:val="false"/>
                <w:bCs w:val="false"/>
                <w:color w:val="333333"/>
                <w:sz w:val="20"/>
                <w:szCs w:val="20"/>
              </w:rPr>
              <w:t xml:space="preserve"> (Interleukin-8)</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Reduced</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Chemokine production suppressed</w:t>
            </w:r>
          </w:p>
        </w:tc>
      </w:tr>
    </w:tbl>
    <w:p>
      <w:pPr>
        <w:spacing w:after="120"/>
      </w:pPr>
    </w:p>
    <w:p>
      <w:pPr>
        <w:spacing w:after="100" w:before="200"/>
      </w:pPr>
      <w:r>
        <w:rPr>
          <w:rFonts w:ascii="Arial" w:cs="Arial" w:eastAsia="Arial" w:hAnsi="Arial"/>
          <w:b/>
          <w:bCs/>
          <w:color w:val="444444"/>
          <w:sz w:val="24"/>
          <w:szCs w:val="24"/>
        </w:rPr>
        <w:t xml:space="preserve">ROS &amp; Oxidative Stress Modulation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w:t>
      </w:r>
      <w:r>
        <w:rPr>
          <w:rFonts w:ascii="Arial" w:cs="Arial" w:eastAsia="Arial" w:hAnsi="Arial"/>
          <w:b/>
          <w:bCs/>
          <w:sz w:val="22"/>
          <w:szCs w:val="22"/>
        </w:rPr>
        <w:t xml:space="preserve">directly inhibits ROS-mediated mucus hypersecretion</w:t>
      </w:r>
      <w:r>
        <w:rPr>
          <w:rFonts w:ascii="Arial" w:cs="Arial" w:eastAsia="Arial" w:hAnsi="Arial"/>
          <w:sz w:val="22"/>
          <w:szCs w:val="22"/>
        </w:rPr>
        <w:t xml:space="preserve"> in human monocytes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The compound </w:t>
      </w:r>
      <w:r>
        <w:rPr>
          <w:rFonts w:ascii="Arial" w:cs="Arial" w:eastAsia="Arial" w:hAnsi="Arial"/>
          <w:b/>
          <w:bCs/>
          <w:sz w:val="22"/>
          <w:szCs w:val="22"/>
        </w:rPr>
        <w:t xml:space="preserve">controls superoxide production</w:t>
      </w:r>
      <w:r>
        <w:rPr>
          <w:rFonts w:ascii="Arial" w:cs="Arial" w:eastAsia="Arial" w:hAnsi="Arial"/>
          <w:sz w:val="22"/>
          <w:szCs w:val="22"/>
        </w:rPr>
        <w:t xml:space="preserve"> and reduces pro-inflammatory hydrogen peroxide accumulation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Partial modulation of superoxide dismutase (SOD) activity observed</w:t>
      </w:r>
    </w:p>
    <w:p>
      <w:pPr>
        <w:spacing w:after="120" w:line="300"/>
      </w:pPr>
      <w:r>
        <w:rPr>
          <w:rFonts w:ascii="Arial" w:cs="Arial" w:eastAsia="Arial" w:hAnsi="Arial"/>
          <w:b/>
          <w:bCs/>
          <w:sz w:val="22"/>
          <w:szCs w:val="22"/>
        </w:rPr>
        <w:t xml:space="preserve">Source</w:t>
      </w:r>
      <w:r>
        <w:rPr>
          <w:rFonts w:ascii="Arial" w:cs="Arial" w:eastAsia="Arial" w:hAnsi="Arial"/>
          <w:sz w:val="22"/>
          <w:szCs w:val="22"/>
        </w:rPr>
        <w:t xml:space="preserve">: [New Perspectives for Mucolytic, Anti-inflammatory and Adjunctive Therapy with 1,8-Cineole in COPD and Asthma - PMC](https://pmc.ncbi.nlm.nih.gov/articles/PMC7467491/)</w:t>
      </w:r>
    </w:p>
    <w:p>
      <w:pPr>
        <w:pStyle w:val="Heading2"/>
        <w:spacing w:after="120" w:before="240"/>
      </w:pPr>
      <w:r>
        <w:rPr>
          <w:rFonts w:ascii="Arial" w:cs="Arial" w:eastAsia="Arial" w:hAnsi="Arial"/>
          <w:b/>
          <w:bCs/>
          <w:color w:val="333333"/>
          <w:sz w:val="26"/>
          <w:szCs w:val="26"/>
        </w:rPr>
        <w:t xml:space="preserve">4.3 Bronchodilation &amp; Respiratory Effects</w:t>
      </w:r>
    </w:p>
    <w:p>
      <w:pPr>
        <w:spacing w:after="100" w:before="200"/>
      </w:pPr>
      <w:r>
        <w:rPr>
          <w:rFonts w:ascii="Arial" w:cs="Arial" w:eastAsia="Arial" w:hAnsi="Arial"/>
          <w:b/>
          <w:bCs/>
          <w:color w:val="444444"/>
          <w:sz w:val="24"/>
          <w:szCs w:val="24"/>
        </w:rPr>
        <w:t xml:space="preserve">Direct Smooth Muscle Relaxation</w:t>
      </w:r>
    </w:p>
    <w:p>
      <w:pPr>
        <w:spacing w:after="120" w:line="300"/>
      </w:pPr>
      <w:r>
        <w:rPr>
          <w:rFonts w:ascii="Arial" w:cs="Arial" w:eastAsia="Arial" w:hAnsi="Arial"/>
          <w:sz w:val="22"/>
          <w:szCs w:val="22"/>
        </w:rPr>
        <w:t xml:space="preserve">1,8-cineole acts as a </w:t>
      </w:r>
      <w:r>
        <w:rPr>
          <w:rFonts w:ascii="Arial" w:cs="Arial" w:eastAsia="Arial" w:hAnsi="Arial"/>
          <w:b/>
          <w:bCs/>
          <w:sz w:val="22"/>
          <w:szCs w:val="22"/>
        </w:rPr>
        <w:t xml:space="preserve">direct bronchodilator</w:t>
      </w:r>
      <w:r>
        <w:rPr>
          <w:rFonts w:ascii="Arial" w:cs="Arial" w:eastAsia="Arial" w:hAnsi="Arial"/>
          <w:sz w:val="22"/>
          <w:szCs w:val="22"/>
        </w:rPr>
        <w:t xml:space="preserve"> through mechanisms independent of (though complementary to) its anti-inflammatory effects: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Airway Smooth Muscle Relaxation</w:t>
      </w:r>
      <w:r>
        <w:rPr>
          <w:rFonts w:ascii="Arial" w:cs="Arial" w:eastAsia="Arial" w:hAnsi="Arial"/>
          <w:sz w:val="22"/>
          <w:szCs w:val="22"/>
        </w:rPr>
        <w:t xml:space="preserve">: The compound directly relaxes bronchial smooth muscle, widening airways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Mechanism</w:t>
      </w:r>
      <w:r>
        <w:rPr>
          <w:rFonts w:ascii="Arial" w:cs="Arial" w:eastAsia="Arial" w:hAnsi="Arial"/>
          <w:sz w:val="22"/>
          <w:szCs w:val="22"/>
        </w:rPr>
        <w:t xml:space="preserve">: Likely involves modulation of intracellular calcium and second messengers (PKA, cAMP)</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Clinical Outcome</w:t>
      </w:r>
      <w:r>
        <w:rPr>
          <w:rFonts w:ascii="Arial" w:cs="Arial" w:eastAsia="Arial" w:hAnsi="Arial"/>
          <w:sz w:val="22"/>
          <w:szCs w:val="22"/>
        </w:rPr>
        <w:t xml:space="preserve">: Increased forced expiratory volume (FEV₁) and reduced airway resistance</w:t>
      </w:r>
    </w:p>
    <w:p>
      <w:pPr>
        <w:spacing w:after="100" w:before="200"/>
      </w:pPr>
      <w:r>
        <w:rPr>
          <w:rFonts w:ascii="Arial" w:cs="Arial" w:eastAsia="Arial" w:hAnsi="Arial"/>
          <w:b/>
          <w:bCs/>
          <w:color w:val="444444"/>
          <w:sz w:val="24"/>
          <w:szCs w:val="24"/>
        </w:rPr>
        <w:t xml:space="preserve">Ciliary Beat Frequency Enhancement</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w:t>
      </w:r>
      <w:r>
        <w:rPr>
          <w:rFonts w:ascii="Arial" w:cs="Arial" w:eastAsia="Arial" w:hAnsi="Arial"/>
          <w:b/>
          <w:bCs/>
          <w:sz w:val="22"/>
          <w:szCs w:val="22"/>
        </w:rPr>
        <w:t xml:space="preserve">increases ciliary beat frequency</w:t>
      </w:r>
      <w:r>
        <w:rPr>
          <w:rFonts w:ascii="Arial" w:cs="Arial" w:eastAsia="Arial" w:hAnsi="Arial"/>
          <w:sz w:val="22"/>
          <w:szCs w:val="22"/>
        </w:rPr>
        <w:t xml:space="preserve"> in respiratory epithelial cells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Enhanced mucociliary clearance facilitates mucus transport and pathogen removal</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This is a physical, not chemical, mucolytic effect</w:t>
      </w:r>
    </w:p>
    <w:p>
      <w:pPr>
        <w:pStyle w:val="Heading2"/>
        <w:spacing w:after="120" w:before="240"/>
      </w:pPr>
      <w:r>
        <w:rPr>
          <w:rFonts w:ascii="Arial" w:cs="Arial" w:eastAsia="Arial" w:hAnsi="Arial"/>
          <w:b/>
          <w:bCs/>
          <w:color w:val="333333"/>
          <w:sz w:val="26"/>
          <w:szCs w:val="26"/>
        </w:rPr>
        <w:t xml:space="preserve">4.4 Mucolytic Activity (Anti-Mucin Gene Expression)</w:t>
      </w:r>
    </w:p>
    <w:p>
      <w:pPr>
        <w:spacing w:after="100" w:before="200"/>
      </w:pPr>
      <w:r>
        <w:rPr>
          <w:rFonts w:ascii="Arial" w:cs="Arial" w:eastAsia="Arial" w:hAnsi="Arial"/>
          <w:b/>
          <w:bCs/>
          <w:color w:val="444444"/>
          <w:sz w:val="24"/>
          <w:szCs w:val="24"/>
        </w:rPr>
        <w:t xml:space="preserve">Mechanism: Anti-Secretory Rather Than Purely Mucolytic</w:t>
      </w:r>
    </w:p>
    <w:p>
      <w:pPr>
        <w:spacing w:after="120" w:line="300"/>
      </w:pPr>
      <w:r>
        <w:rPr>
          <w:rFonts w:ascii="Arial" w:cs="Arial" w:eastAsia="Arial" w:hAnsi="Arial"/>
          <w:sz w:val="22"/>
          <w:szCs w:val="22"/>
        </w:rPr>
        <w:t xml:space="preserve">Contrary to older models, 1,8-cineole is </w:t>
      </w:r>
      <w:r>
        <w:rPr>
          <w:rFonts w:ascii="Arial" w:cs="Arial" w:eastAsia="Arial" w:hAnsi="Arial"/>
          <w:b/>
          <w:bCs/>
          <w:sz w:val="22"/>
          <w:szCs w:val="22"/>
        </w:rPr>
        <w:t xml:space="preserve">not a simple passive mucus thinner</w:t>
      </w:r>
      <w:r>
        <w:rPr>
          <w:rFonts w:ascii="Arial" w:cs="Arial" w:eastAsia="Arial" w:hAnsi="Arial"/>
          <w:sz w:val="22"/>
          <w:szCs w:val="22"/>
        </w:rPr>
        <w:t xml:space="preserve">. Instead:</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Mucin Gene Suppression</w:t>
      </w:r>
      <w:r>
        <w:rPr>
          <w:rFonts w:ascii="Arial" w:cs="Arial" w:eastAsia="Arial" w:hAnsi="Arial"/>
          <w:sz w:val="22"/>
          <w:szCs w:val="22"/>
        </w:rPr>
        <w:t xml:space="preserve">: 1,8-cineole </w:t>
      </w:r>
      <w:r>
        <w:rPr>
          <w:rFonts w:ascii="Arial" w:cs="Arial" w:eastAsia="Arial" w:hAnsi="Arial"/>
          <w:b/>
          <w:bCs/>
          <w:sz w:val="22"/>
          <w:szCs w:val="22"/>
        </w:rPr>
        <w:t xml:space="preserve">reduces expression of MUC2 and MUC19</w:t>
      </w:r>
      <w:r>
        <w:rPr>
          <w:rFonts w:ascii="Arial" w:cs="Arial" w:eastAsia="Arial" w:hAnsi="Arial"/>
          <w:sz w:val="22"/>
          <w:szCs w:val="22"/>
        </w:rPr>
        <w:t xml:space="preserve"> genes (the main secreted mucins)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Goblet Cell Reduction</w:t>
      </w:r>
      <w:r>
        <w:rPr>
          <w:rFonts w:ascii="Arial" w:cs="Arial" w:eastAsia="Arial" w:hAnsi="Arial"/>
          <w:sz w:val="22"/>
          <w:szCs w:val="22"/>
        </w:rPr>
        <w:t xml:space="preserve">: The number of mucin-filled goblet cells is significantly decreased after co-treatment</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NF-κB Involvement</w:t>
      </w:r>
      <w:r>
        <w:rPr>
          <w:rFonts w:ascii="Arial" w:cs="Arial" w:eastAsia="Arial" w:hAnsi="Arial"/>
          <w:sz w:val="22"/>
          <w:szCs w:val="22"/>
        </w:rPr>
        <w:t xml:space="preserve">: This effect is mediated through suppression of NF-κB p65 activity</w:t>
      </w:r>
    </w:p>
    <w:p>
      <w:pPr>
        <w:spacing w:after="100" w:before="200"/>
      </w:pPr>
      <w:r>
        <w:rPr>
          <w:rFonts w:ascii="Arial" w:cs="Arial" w:eastAsia="Arial" w:hAnsi="Arial"/>
          <w:b/>
          <w:bCs/>
          <w:color w:val="444444"/>
          <w:sz w:val="24"/>
          <w:szCs w:val="24"/>
        </w:rPr>
        <w:t xml:space="preserve">Clinical Significance for Pre-Loading</w:t>
      </w:r>
    </w:p>
    <w:p>
      <w:pPr>
        <w:spacing w:after="120" w:line="300"/>
      </w:pPr>
      <w:r>
        <w:rPr>
          <w:rFonts w:ascii="Arial" w:cs="Arial" w:eastAsia="Arial" w:hAnsi="Arial"/>
          <w:sz w:val="22"/>
          <w:szCs w:val="22"/>
        </w:rPr>
        <w:t xml:space="preserve">This is crucial for cannabis pre-loading: </w:t>
      </w:r>
      <w:r>
        <w:rPr>
          <w:rFonts w:ascii="Arial" w:cs="Arial" w:eastAsia="Arial" w:hAnsi="Arial"/>
          <w:b/>
          <w:bCs/>
          <w:sz w:val="22"/>
          <w:szCs w:val="22"/>
        </w:rPr>
        <w:t xml:space="preserve">reduced baseline mucus production</w:t>
      </w:r>
      <w:r>
        <w:rPr>
          <w:rFonts w:ascii="Arial" w:cs="Arial" w:eastAsia="Arial" w:hAnsi="Arial"/>
          <w:sz w:val="22"/>
          <w:szCs w:val="22"/>
        </w:rPr>
        <w:t xml:space="preserve"> in the respiratory tract combined with </w:t>
      </w:r>
      <w:r>
        <w:rPr>
          <w:rFonts w:ascii="Arial" w:cs="Arial" w:eastAsia="Arial" w:hAnsi="Arial"/>
          <w:b/>
          <w:bCs/>
          <w:sz w:val="22"/>
          <w:szCs w:val="22"/>
        </w:rPr>
        <w:t xml:space="preserve">enhanced ciliary clearance</w:t>
      </w:r>
      <w:r>
        <w:rPr>
          <w:rFonts w:ascii="Arial" w:cs="Arial" w:eastAsia="Arial" w:hAnsi="Arial"/>
          <w:sz w:val="22"/>
          <w:szCs w:val="22"/>
        </w:rPr>
        <w:t xml:space="preserve"> may improve THC vapor inhalation and bioavailability. A less mucus-obstructed airway allows deeper penetration of cannabis smoke/vapor and more efficient absorption.</w:t>
      </w:r>
    </w:p>
    <w:p>
      <w:pPr>
        <w:spacing w:after="120" w:line="300"/>
      </w:pPr>
      <w:r>
        <w:rPr>
          <w:rFonts w:ascii="Arial" w:cs="Arial" w:eastAsia="Arial" w:hAnsi="Arial"/>
          <w:b/>
          <w:bCs/>
          <w:sz w:val="22"/>
          <w:szCs w:val="22"/>
        </w:rPr>
        <w:t xml:space="preserve">Source</w:t>
      </w:r>
      <w:r>
        <w:rPr>
          <w:rFonts w:ascii="Arial" w:cs="Arial" w:eastAsia="Arial" w:hAnsi="Arial"/>
          <w:sz w:val="22"/>
          <w:szCs w:val="22"/>
        </w:rPr>
        <w:t xml:space="preserve">: [1,8-Cineol Reduces Mucus-Production in a Novel Human Ex Vivo Model of Late Rhinosinusitis - PLOS One](https://journals.plos.org/plosone/article?id=10.1371/journal.pone.0133040)</w:t>
      </w:r>
    </w:p>
    <w:p>
      <w:pPr>
        <w:pStyle w:val="Heading2"/>
        <w:spacing w:after="120" w:before="240"/>
      </w:pPr>
      <w:r>
        <w:rPr>
          <w:rFonts w:ascii="Arial" w:cs="Arial" w:eastAsia="Arial" w:hAnsi="Arial"/>
          <w:b/>
          <w:bCs/>
          <w:color w:val="333333"/>
          <w:sz w:val="26"/>
          <w:szCs w:val="26"/>
        </w:rPr>
        <w:t xml:space="preserve">4.5 Antimicrobial Activity (Broad-Spectrum)</w:t>
      </w:r>
    </w:p>
    <w:p>
      <w:pPr>
        <w:spacing w:after="100" w:before="200"/>
      </w:pPr>
      <w:r>
        <w:rPr>
          <w:rFonts w:ascii="Arial" w:cs="Arial" w:eastAsia="Arial" w:hAnsi="Arial"/>
          <w:b/>
          <w:bCs/>
          <w:color w:val="444444"/>
          <w:sz w:val="24"/>
          <w:szCs w:val="24"/>
        </w:rPr>
        <w:t xml:space="preserve">Spectrum of Activity</w:t>
      </w:r>
    </w:p>
    <w:p>
      <w:pPr>
        <w:spacing w:after="120" w:line="300"/>
      </w:pPr>
      <w:r>
        <w:rPr>
          <w:rFonts w:ascii="Arial" w:cs="Arial" w:eastAsia="Arial" w:hAnsi="Arial"/>
          <w:sz w:val="22"/>
          <w:szCs w:val="22"/>
        </w:rPr>
        <w:t xml:space="preserve">1,8-cineole is effective against a broad array of pathogenic bacteria:</w:t>
      </w:r>
    </w:p>
    <w:p>
      <w:pPr>
        <w:spacing w:after="120" w:line="300"/>
      </w:pPr>
      <w:r>
        <w:rPr>
          <w:rFonts w:ascii="Arial" w:cs="Arial" w:eastAsia="Arial" w:hAnsi="Arial"/>
          <w:b/>
          <w:bCs/>
          <w:sz w:val="22"/>
          <w:szCs w:val="22"/>
        </w:rPr>
        <w:t xml:space="preserve">Gram-Positive</w:t>
      </w:r>
      <w:r>
        <w:rPr>
          <w:rFonts w:ascii="Arial" w:cs="Arial" w:eastAsia="Arial" w:hAnsi="Arial"/>
          <w:sz w:val="22"/>
          <w:szCs w:val="22"/>
        </w:rPr>
        <w:t xml:space="preserve">: *Staphylococcus aureus*, *S. epidermidis*, *Bacillus subtilis*, *Micrococcus flavus*</w:t>
      </w:r>
    </w:p>
    <w:p>
      <w:pPr>
        <w:spacing w:after="120" w:line="300"/>
      </w:pPr>
      <w:r>
        <w:rPr>
          <w:rFonts w:ascii="Arial" w:cs="Arial" w:eastAsia="Arial" w:hAnsi="Arial"/>
          <w:b/>
          <w:bCs/>
          <w:sz w:val="22"/>
          <w:szCs w:val="22"/>
        </w:rPr>
        <w:t xml:space="preserve">Gram-Negative</w:t>
      </w:r>
      <w:r>
        <w:rPr>
          <w:rFonts w:ascii="Arial" w:cs="Arial" w:eastAsia="Arial" w:hAnsi="Arial"/>
          <w:sz w:val="22"/>
          <w:szCs w:val="22"/>
        </w:rPr>
        <w:t xml:space="preserve">: *Escherichia coli* O157:H7, *Pseudomonas aeruginosa*, *Proteus mirabilis*, *Enterobacter cloacae*, *M. catarrhalis*</w:t>
      </w:r>
    </w:p>
    <w:p>
      <w:pPr>
        <w:spacing w:after="120" w:line="300"/>
      </w:pPr>
      <w:r>
        <w:rPr>
          <w:rFonts w:ascii="Arial" w:cs="Arial" w:eastAsia="Arial" w:hAnsi="Arial"/>
          <w:b/>
          <w:bCs/>
          <w:sz w:val="22"/>
          <w:szCs w:val="22"/>
        </w:rPr>
        <w:t xml:space="preserve">Fungi</w:t>
      </w:r>
      <w:r>
        <w:rPr>
          <w:rFonts w:ascii="Arial" w:cs="Arial" w:eastAsia="Arial" w:hAnsi="Arial"/>
          <w:sz w:val="22"/>
          <w:szCs w:val="22"/>
        </w:rPr>
        <w:t xml:space="preserve">: *Aspergillus flavus*, *A. parasiticus*, *Candida albicans*</w:t>
      </w:r>
    </w:p>
    <w:p>
      <w:pPr>
        <w:spacing w:after="100" w:before="200"/>
      </w:pPr>
      <w:r>
        <w:rPr>
          <w:rFonts w:ascii="Arial" w:cs="Arial" w:eastAsia="Arial" w:hAnsi="Arial"/>
          <w:b/>
          <w:bCs/>
          <w:color w:val="444444"/>
          <w:sz w:val="24"/>
          <w:szCs w:val="24"/>
        </w:rPr>
        <w:t xml:space="preserve">Minimum Inhibitory Concentration (MIC)</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Typical MIC Range</w:t>
      </w:r>
      <w:r>
        <w:rPr>
          <w:rFonts w:ascii="Arial" w:cs="Arial" w:eastAsia="Arial" w:hAnsi="Arial"/>
          <w:sz w:val="22"/>
          <w:szCs w:val="22"/>
        </w:rPr>
        <w:t xml:space="preserve">: 4.0–7.0 µg/mL against most susceptible organisms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**Carbapenem-Resistant *K. pneumoniae***: Effective even against resistant strains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Efficacy Against Gram-Negatives</w:t>
      </w:r>
      <w:r>
        <w:rPr>
          <w:rFonts w:ascii="Arial" w:cs="Arial" w:eastAsia="Arial" w:hAnsi="Arial"/>
          <w:sz w:val="22"/>
          <w:szCs w:val="22"/>
        </w:rPr>
        <w:t xml:space="preserve">: Remarkable, as most essential oil terpenes show poor activity against gram-negative bacteria</w:t>
      </w:r>
    </w:p>
    <w:p>
      <w:pPr>
        <w:spacing w:after="100" w:before="200"/>
      </w:pPr>
      <w:r>
        <w:rPr>
          <w:rFonts w:ascii="Arial" w:cs="Arial" w:eastAsia="Arial" w:hAnsi="Arial"/>
          <w:b/>
          <w:bCs/>
          <w:color w:val="444444"/>
          <w:sz w:val="24"/>
          <w:szCs w:val="24"/>
        </w:rPr>
        <w:t xml:space="preserve">Mechanisms of Antimicrobial Action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Mechanism</w:t>
            </w:r>
          </w:p>
        </w:tc>
        <w:tc>
          <w:tcPr>
            <w:tcW w:type="dxa" w:w="468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Membrane Disruption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Increases bacterial membrane surface charge and outer membrane permeability, causing protein/nucleic acid leakage</w:t>
            </w:r>
          </w:p>
        </w:tc>
      </w:tr>
      <w:tr>
        <w:tc>
          <w:tcPr>
            <w:tcW w:type="dxa" w:w="468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Membrane Fluidity Increase</w:t>
            </w:r>
          </w:p>
        </w:tc>
        <w:tc>
          <w:tcPr>
            <w:tcW w:type="dxa" w:w="468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Alters membrane lipid packing, disrupting membrane protein topology and respiratory chain function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Quorum Sensing Inhibition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Suppresses luxS gene expression (AI-2 quorum sensing) at non-inhibitory concentrations, reducing virulence</w:t>
            </w:r>
          </w:p>
        </w:tc>
      </w:tr>
      <w:tr>
        <w:tc>
          <w:tcPr>
            <w:tcW w:type="dxa" w:w="468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Porin Penetration</w:t>
            </w:r>
          </w:p>
        </w:tc>
        <w:tc>
          <w:tcPr>
            <w:tcW w:type="dxa" w:w="468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Small, non-polar 1,8-cineole crosses gram-negative outer membranes via porins</w:t>
            </w:r>
          </w:p>
        </w:tc>
      </w:tr>
    </w:tbl>
    <w:p>
      <w:pPr>
        <w:spacing w:after="120"/>
      </w:pPr>
    </w:p>
    <w:p>
      <w:pPr>
        <w:spacing w:after="120" w:line="300"/>
      </w:pPr>
      <w:r>
        <w:rPr>
          <w:rFonts w:ascii="Arial" w:cs="Arial" w:eastAsia="Arial" w:hAnsi="Arial"/>
          <w:b/>
          <w:bCs/>
          <w:sz w:val="22"/>
          <w:szCs w:val="22"/>
        </w:rPr>
        <w:t xml:space="preserve">Sources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inhibits biofilm formation and bacterial pathogenicity - Frontiers in Pharmacology](https://www.frontiersin.org/journals/pharmacology/articles/10.3389/fphar.2022.988245/full)</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[Antimicrobial activity and mode of action of 1,8-cineol against carbapenemase-producing Klebsiella pneumoniae - Scientific Reports](https://www.nature.com/articles/s41598-021-00249-y)</w:t>
      </w:r>
    </w:p>
    <w:p>
      <w:pPr>
        <w:pStyle w:val="Heading2"/>
        <w:spacing w:after="120" w:before="240"/>
      </w:pPr>
      <w:r>
        <w:rPr>
          <w:rFonts w:ascii="Arial" w:cs="Arial" w:eastAsia="Arial" w:hAnsi="Arial"/>
          <w:b/>
          <w:bCs/>
          <w:color w:val="333333"/>
          <w:sz w:val="26"/>
          <w:szCs w:val="26"/>
        </w:rPr>
        <w:t xml:space="preserve">4.6 Acetylcholinesterase (AChE) Inhibition &amp; Memory</w:t>
      </w:r>
    </w:p>
    <w:p>
      <w:pPr>
        <w:spacing w:after="120" w:line="300"/>
      </w:pPr>
      <w:r>
        <w:rPr>
          <w:rFonts w:ascii="Arial" w:cs="Arial" w:eastAsia="Arial" w:hAnsi="Arial"/>
          <w:sz w:val="22"/>
          <w:szCs w:val="22"/>
        </w:rPr>
        <w:t xml:space="preserve">While the Moss &amp; Oliver study did not measure AChE directly, the cognitive enhancement observed can be attributed in part to increased synaptic acetylcholine availability.</w:t>
      </w:r>
    </w:p>
    <w:p>
      <w:pPr>
        <w:spacing w:after="120" w:line="300"/>
      </w:pPr>
      <w:r>
        <w:rPr>
          <w:rFonts w:ascii="Arial" w:cs="Arial" w:eastAsia="Arial" w:hAnsi="Arial"/>
          <w:b/>
          <w:bCs/>
          <w:sz w:val="22"/>
          <w:szCs w:val="22"/>
        </w:rPr>
        <w:t xml:space="preserve">The Rosemary-Memory Connection</w:t>
      </w:r>
      <w:r>
        <w:rPr>
          <w:rFonts w:ascii="Arial" w:cs="Arial" w:eastAsia="Arial" w:hAnsi="Arial"/>
          <w:sz w:val="22"/>
          <w:szCs w:val="22"/>
        </w:rPr>
        <w:t xml:space="preserve">: Rosemary is long-reputed as a memory herb, and its 1,8-cineole content (40–55%) is likely a primary active constituent. AChE inhibition would increase acetylcholine concentration in the hippocampus and cortical regions critical for learning and memory consolidation.</w:t>
      </w:r>
    </w:p>
    <w:p>
      <w:pPr>
        <w:spacing w:after="120" w:line="300"/>
      </w:pPr>
      <w:r>
        <w:rPr>
          <w:rFonts w:ascii="Arial" w:cs="Arial" w:eastAsia="Arial" w:hAnsi="Arial"/>
          <w:b/>
          <w:bCs/>
          <w:sz w:val="22"/>
          <w:szCs w:val="22"/>
        </w:rPr>
        <w:t xml:space="preserve">Synergy with α-Pinene</w:t>
      </w:r>
      <w:r>
        <w:rPr>
          <w:rFonts w:ascii="Arial" w:cs="Arial" w:eastAsia="Arial" w:hAnsi="Arial"/>
          <w:sz w:val="22"/>
          <w:szCs w:val="22"/>
        </w:rPr>
        <w:t xml:space="preserve">: The memory-enhancing effects of 1,8-cineole may synergize with α-pinene (another rosemary constituent), which independently: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Induces Nrf2 in the hippocampus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Improves long-term and spatial memory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May mitigate THC-induced short-term memory impairment</w:t>
      </w:r>
    </w:p>
    <w:p>
      <w:pPr>
        <w:spacing w:after="120" w:line="300"/>
      </w:pPr>
      <w:r>
        <w:rPr>
          <w:rFonts w:ascii="Arial" w:cs="Arial" w:eastAsia="Arial" w:hAnsi="Arial"/>
          <w:b/>
          <w:bCs/>
          <w:sz w:val="22"/>
          <w:szCs w:val="22"/>
        </w:rPr>
        <w:t xml:space="preserve">Note</w:t>
      </w:r>
      <w:r>
        <w:rPr>
          <w:rFonts w:ascii="Arial" w:cs="Arial" w:eastAsia="Arial" w:hAnsi="Arial"/>
          <w:sz w:val="22"/>
          <w:szCs w:val="22"/>
        </w:rPr>
        <w:t xml:space="preserve">: Direct enzyme kinetic studies of 1,8-cineole as an AChE inhibitor are limited; the evidence is correlative and mechanistic (via rosemary ethnobotany and active compound profiling).</w:t>
      </w:r>
    </w:p>
    <w:p>
      <w:pPr>
        <w:pStyle w:val="Heading2"/>
        <w:spacing w:after="120" w:before="240"/>
      </w:pPr>
      <w:r>
        <w:rPr>
          <w:rFonts w:ascii="Arial" w:cs="Arial" w:eastAsia="Arial" w:hAnsi="Arial"/>
          <w:b/>
          <w:bCs/>
          <w:color w:val="333333"/>
          <w:sz w:val="26"/>
          <w:szCs w:val="26"/>
        </w:rPr>
        <w:t xml:space="preserve">4.7 Analgesic Effects</w:t>
      </w:r>
    </w:p>
    <w:p>
      <w:pPr>
        <w:spacing w:after="120" w:line="300"/>
      </w:pPr>
      <w:r>
        <w:rPr>
          <w:rFonts w:ascii="Arial" w:cs="Arial" w:eastAsia="Arial" w:hAnsi="Arial"/>
          <w:sz w:val="22"/>
          <w:szCs w:val="22"/>
        </w:rPr>
        <w:t xml:space="preserve">1,8-cineole exhibits </w:t>
      </w:r>
      <w:r>
        <w:rPr>
          <w:rFonts w:ascii="Arial" w:cs="Arial" w:eastAsia="Arial" w:hAnsi="Arial"/>
          <w:b/>
          <w:bCs/>
          <w:sz w:val="22"/>
          <w:szCs w:val="22"/>
        </w:rPr>
        <w:t xml:space="preserve">analgesic (pain-relieving) properties</w:t>
      </w:r>
      <w:r>
        <w:rPr>
          <w:rFonts w:ascii="Arial" w:cs="Arial" w:eastAsia="Arial" w:hAnsi="Arial"/>
          <w:sz w:val="22"/>
          <w:szCs w:val="22"/>
        </w:rPr>
        <w:t xml:space="preserve">, though mechanisms remain incompletely elucidated. Proposed pathways include: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Peripheral sensitization suppression</w:t>
      </w:r>
      <w:r>
        <w:rPr>
          <w:rFonts w:ascii="Arial" w:cs="Arial" w:eastAsia="Arial" w:hAnsi="Arial"/>
          <w:sz w:val="22"/>
          <w:szCs w:val="22"/>
        </w:rPr>
        <w:t xml:space="preserve">: Reduced TRPV1 and other nociceptor activation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Central nociception modulation</w:t>
      </w:r>
      <w:r>
        <w:rPr>
          <w:rFonts w:ascii="Arial" w:cs="Arial" w:eastAsia="Arial" w:hAnsi="Arial"/>
          <w:sz w:val="22"/>
          <w:szCs w:val="22"/>
        </w:rPr>
        <w:t xml:space="preserve">: Effects on spinal cord pain processing</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Anti-inflammatory analgesia</w:t>
      </w:r>
      <w:r>
        <w:rPr>
          <w:rFonts w:ascii="Arial" w:cs="Arial" w:eastAsia="Arial" w:hAnsi="Arial"/>
          <w:sz w:val="22"/>
          <w:szCs w:val="22"/>
        </w:rPr>
        <w:t xml:space="preserve">: Via NF-κB suppression and cytokine reduction</w:t>
      </w:r>
    </w:p>
    <w:p>
      <w:pPr>
        <w:spacing w:after="120" w:line="300"/>
      </w:pPr>
      <w:r>
        <w:rPr>
          <w:rFonts w:ascii="Arial" w:cs="Arial" w:eastAsia="Arial" w:hAnsi="Arial"/>
          <w:sz w:val="22"/>
          <w:szCs w:val="22"/>
        </w:rPr>
        <w:t xml:space="preserve">Clinical applications include dental pain relief (though specific studies on 1,8-cineole in dentistry are sparse; eugenol and other compounds are better studied).</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838F"/>
          <w:sz w:val="30"/>
          <w:szCs w:val="30"/>
        </w:rPr>
        <w:t xml:space="preserve">5. Clinical Evidence</w:t>
      </w:r>
    </w:p>
    <w:p>
      <w:pPr>
        <w:pStyle w:val="Heading2"/>
        <w:spacing w:after="120" w:before="240"/>
      </w:pPr>
      <w:r>
        <w:rPr>
          <w:rFonts w:ascii="Arial" w:cs="Arial" w:eastAsia="Arial" w:hAnsi="Arial"/>
          <w:b/>
          <w:bCs/>
          <w:color w:val="333333"/>
          <w:sz w:val="26"/>
          <w:szCs w:val="26"/>
        </w:rPr>
        <w:t xml:space="preserve">5.1 Cognitive Performance (Human Level Evidence)</w:t>
      </w:r>
    </w:p>
    <w:p>
      <w:pPr>
        <w:spacing w:after="120" w:line="300"/>
      </w:pPr>
      <w:r>
        <w:rPr>
          <w:rFonts w:ascii="Arial" w:cs="Arial" w:eastAsia="Arial" w:hAnsi="Arial"/>
          <w:b/>
          <w:bCs/>
          <w:sz w:val="22"/>
          <w:szCs w:val="22"/>
        </w:rPr>
        <w:t xml:space="preserve">Study</w:t>
      </w:r>
      <w:r>
        <w:rPr>
          <w:rFonts w:ascii="Arial" w:cs="Arial" w:eastAsia="Arial" w:hAnsi="Arial"/>
          <w:sz w:val="22"/>
          <w:szCs w:val="22"/>
        </w:rPr>
        <w:t xml:space="preserve">: Moss &amp; Oliver 2012 (see §4.1)</w:t>
      </w:r>
    </w:p>
    <w:p>
      <w:pPr>
        <w:spacing w:after="120" w:line="300"/>
      </w:pPr>
      <w:r>
        <w:rPr>
          <w:rFonts w:ascii="Arial" w:cs="Arial" w:eastAsia="Arial" w:hAnsi="Arial"/>
          <w:b/>
          <w:bCs/>
          <w:sz w:val="22"/>
          <w:szCs w:val="22"/>
        </w:rPr>
        <w:t xml:space="preserve">Level</w:t>
      </w:r>
      <w:r>
        <w:rPr>
          <w:rFonts w:ascii="Arial" w:cs="Arial" w:eastAsia="Arial" w:hAnsi="Arial"/>
          <w:sz w:val="22"/>
          <w:szCs w:val="22"/>
        </w:rPr>
        <w:t xml:space="preserve">: Randomized, controlled design with objective cognitive measures and plasma biomarker correlation</w:t>
      </w:r>
    </w:p>
    <w:p>
      <w:pPr>
        <w:spacing w:after="120" w:line="300"/>
      </w:pPr>
      <w:r>
        <w:rPr>
          <w:rFonts w:ascii="Arial" w:cs="Arial" w:eastAsia="Arial" w:hAnsi="Arial"/>
          <w:b/>
          <w:bCs/>
          <w:sz w:val="22"/>
          <w:szCs w:val="22"/>
        </w:rPr>
        <w:t xml:space="preserve">Finding</w:t>
      </w:r>
      <w:r>
        <w:rPr>
          <w:rFonts w:ascii="Arial" w:cs="Arial" w:eastAsia="Arial" w:hAnsi="Arial"/>
          <w:sz w:val="22"/>
          <w:szCs w:val="22"/>
        </w:rPr>
        <w:t xml:space="preserve">: Direct correlation between inhaled 1,8-cineole plasma levels and improved memory-dependent task performance</w:t>
      </w:r>
    </w:p>
    <w:p>
      <w:pPr>
        <w:spacing w:after="120" w:line="300"/>
      </w:pPr>
      <w:r>
        <w:rPr>
          <w:rFonts w:ascii="Arial" w:cs="Arial" w:eastAsia="Arial" w:hAnsi="Arial"/>
          <w:b/>
          <w:bCs/>
          <w:sz w:val="22"/>
          <w:szCs w:val="22"/>
        </w:rPr>
        <w:t xml:space="preserve">Pre-Loading Relevance</w:t>
      </w:r>
      <w:r>
        <w:rPr>
          <w:rFonts w:ascii="Arial" w:cs="Arial" w:eastAsia="Arial" w:hAnsi="Arial"/>
          <w:sz w:val="22"/>
          <w:szCs w:val="22"/>
        </w:rPr>
        <w:t xml:space="preserve">: </w:t>
      </w:r>
      <w:r>
        <w:rPr>
          <w:rFonts w:ascii="Arial" w:cs="Arial" w:eastAsia="Arial" w:hAnsi="Arial"/>
          <w:b/>
          <w:bCs/>
          <w:sz w:val="22"/>
          <w:szCs w:val="22"/>
        </w:rPr>
        <w:t xml:space="preserve">STRONGEST evidence</w:t>
      </w:r>
      <w:r>
        <w:rPr>
          <w:rFonts w:ascii="Arial" w:cs="Arial" w:eastAsia="Arial" w:hAnsi="Arial"/>
          <w:sz w:val="22"/>
          <w:szCs w:val="22"/>
        </w:rPr>
        <w:t xml:space="preserve"> that 1,8-cineole inhalation delivers cognitive effects via CNS action</w:t>
      </w:r>
    </w:p>
    <w:p>
      <w:pPr>
        <w:pStyle w:val="Heading2"/>
        <w:spacing w:after="120" w:before="240"/>
      </w:pPr>
      <w:r>
        <w:rPr>
          <w:rFonts w:ascii="Arial" w:cs="Arial" w:eastAsia="Arial" w:hAnsi="Arial"/>
          <w:b/>
          <w:bCs/>
          <w:color w:val="333333"/>
          <w:sz w:val="26"/>
          <w:szCs w:val="26"/>
        </w:rPr>
        <w:t xml:space="preserve">5.2 COPD (Chronic Obstructive Pulmonary Disease)</w:t>
      </w:r>
    </w:p>
    <w:p>
      <w:pPr>
        <w:spacing w:after="100" w:before="200"/>
      </w:pPr>
      <w:r>
        <w:rPr>
          <w:rFonts w:ascii="Arial" w:cs="Arial" w:eastAsia="Arial" w:hAnsi="Arial"/>
          <w:b/>
          <w:bCs/>
          <w:color w:val="444444"/>
          <w:sz w:val="24"/>
          <w:szCs w:val="24"/>
        </w:rPr>
        <w:t xml:space="preserve">Landmark Trial: Worth et al. (Placebo-Controlled, Double-Blind)</w:t>
      </w:r>
    </w:p>
    <w:p>
      <w:pPr>
        <w:spacing w:after="120" w:line="300"/>
      </w:pPr>
      <w:r>
        <w:rPr>
          <w:rFonts w:ascii="Arial" w:cs="Arial" w:eastAsia="Arial" w:hAnsi="Arial"/>
          <w:b/>
          <w:bCs/>
          <w:sz w:val="22"/>
          <w:szCs w:val="22"/>
        </w:rPr>
        <w:t xml:space="preserve">Population</w:t>
      </w:r>
      <w:r>
        <w:rPr>
          <w:rFonts w:ascii="Arial" w:cs="Arial" w:eastAsia="Arial" w:hAnsi="Arial"/>
          <w:sz w:val="22"/>
          <w:szCs w:val="22"/>
        </w:rPr>
        <w:t xml:space="preserve">: 242 moderate/severe COPD patients (smokers/former smokers) receiving standard therapy</w:t>
      </w:r>
    </w:p>
    <w:p>
      <w:pPr>
        <w:spacing w:after="120" w:line="300"/>
      </w:pPr>
      <w:r>
        <w:rPr>
          <w:rFonts w:ascii="Arial" w:cs="Arial" w:eastAsia="Arial" w:hAnsi="Arial"/>
          <w:b/>
          <w:bCs/>
          <w:sz w:val="22"/>
          <w:szCs w:val="22"/>
        </w:rPr>
        <w:t xml:space="preserve">Intervention</w:t>
      </w:r>
      <w:r>
        <w:rPr>
          <w:rFonts w:ascii="Arial" w:cs="Arial" w:eastAsia="Arial" w:hAnsi="Arial"/>
          <w:sz w:val="22"/>
          <w:szCs w:val="22"/>
        </w:rPr>
        <w:t xml:space="preserve">: 1,8-cineole 3 × 200 mg/day (Soledum™) for 6 months vs. placebo</w:t>
      </w:r>
    </w:p>
    <w:p>
      <w:pPr>
        <w:spacing w:after="120" w:line="300"/>
      </w:pPr>
      <w:r>
        <w:rPr>
          <w:rFonts w:ascii="Arial" w:cs="Arial" w:eastAsia="Arial" w:hAnsi="Arial"/>
          <w:b/>
          <w:bCs/>
          <w:sz w:val="22"/>
          <w:szCs w:val="22"/>
        </w:rPr>
        <w:t xml:space="preserve">Primary Outcome</w:t>
      </w:r>
      <w:r>
        <w:rPr>
          <w:rFonts w:ascii="Arial" w:cs="Arial" w:eastAsia="Arial" w:hAnsi="Arial"/>
          <w:sz w:val="22"/>
          <w:szCs w:val="22"/>
        </w:rPr>
        <w:t xml:space="preserve">: Frequency, duration, and severity of COPD exacerbations</w:t>
      </w:r>
    </w:p>
    <w:p>
      <w:pPr>
        <w:spacing w:after="120" w:line="300"/>
      </w:pPr>
      <w:r>
        <w:rPr>
          <w:rFonts w:ascii="Arial" w:cs="Arial" w:eastAsia="Arial" w:hAnsi="Arial"/>
          <w:b/>
          <w:bCs/>
          <w:sz w:val="22"/>
          <w:szCs w:val="22"/>
        </w:rPr>
        <w:t xml:space="preserve">Results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Significant reduction</w:t>
      </w:r>
      <w:r>
        <w:rPr>
          <w:rFonts w:ascii="Arial" w:cs="Arial" w:eastAsia="Arial" w:hAnsi="Arial"/>
          <w:sz w:val="22"/>
          <w:szCs w:val="22"/>
        </w:rPr>
        <w:t xml:space="preserve"> in exacerbation frequency, duration, and severity in the cineole group</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Improved quality of life metrics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Well-tolerated; no serious adverse events related to cineole</w:t>
      </w:r>
    </w:p>
    <w:p>
      <w:pPr>
        <w:spacing w:after="120" w:line="300"/>
      </w:pPr>
      <w:r>
        <w:rPr>
          <w:rFonts w:ascii="Arial" w:cs="Arial" w:eastAsia="Arial" w:hAnsi="Arial"/>
          <w:b/>
          <w:bCs/>
          <w:sz w:val="22"/>
          <w:szCs w:val="22"/>
        </w:rPr>
        <w:t xml:space="preserve">Mechanism</w:t>
      </w:r>
      <w:r>
        <w:rPr>
          <w:rFonts w:ascii="Arial" w:cs="Arial" w:eastAsia="Arial" w:hAnsi="Arial"/>
          <w:sz w:val="22"/>
          <w:szCs w:val="22"/>
        </w:rPr>
        <w:t xml:space="preserve">: Combined bronchodilation, anti-inflammatory NF-κB suppression, and mucin gene reduction</w:t>
      </w:r>
    </w:p>
    <w:p>
      <w:pPr>
        <w:spacing w:after="120" w:line="300"/>
      </w:pPr>
      <w:r>
        <w:rPr>
          <w:rFonts w:ascii="Arial" w:cs="Arial" w:eastAsia="Arial" w:hAnsi="Arial"/>
          <w:b/>
          <w:bCs/>
          <w:sz w:val="22"/>
          <w:szCs w:val="22"/>
        </w:rPr>
        <w:t xml:space="preserve">Source</w:t>
      </w:r>
      <w:r>
        <w:rPr>
          <w:rFonts w:ascii="Arial" w:cs="Arial" w:eastAsia="Arial" w:hAnsi="Arial"/>
          <w:sz w:val="22"/>
          <w:szCs w:val="22"/>
        </w:rPr>
        <w:t xml:space="preserve">: [New Perspectives for Mucolytic, Anti-inflammatory and Adjunctive Therapy with 1,8-Cineole in COPD and Asthma - PMC](https://pmc.ncbi.nlm.nih.gov/articles/PMC7467491/)</w:t>
      </w:r>
    </w:p>
    <w:p>
      <w:pPr>
        <w:pStyle w:val="Heading2"/>
        <w:spacing w:after="120" w:before="240"/>
      </w:pPr>
      <w:r>
        <w:rPr>
          <w:rFonts w:ascii="Arial" w:cs="Arial" w:eastAsia="Arial" w:hAnsi="Arial"/>
          <w:b/>
          <w:bCs/>
          <w:color w:val="333333"/>
          <w:sz w:val="26"/>
          <w:szCs w:val="26"/>
        </w:rPr>
        <w:t xml:space="preserve">5.3 Asthma</w:t>
      </w:r>
    </w:p>
    <w:p>
      <w:pPr>
        <w:spacing w:after="100" w:before="200"/>
      </w:pPr>
      <w:r>
        <w:rPr>
          <w:rFonts w:ascii="Arial" w:cs="Arial" w:eastAsia="Arial" w:hAnsi="Arial"/>
          <w:b/>
          <w:bCs/>
          <w:color w:val="444444"/>
          <w:sz w:val="24"/>
          <w:szCs w:val="24"/>
        </w:rPr>
        <w:t xml:space="preserve">Double-Blind, Placebo-Controlled Trial</w:t>
      </w:r>
    </w:p>
    <w:p>
      <w:pPr>
        <w:spacing w:after="120" w:line="300"/>
      </w:pPr>
      <w:r>
        <w:rPr>
          <w:rFonts w:ascii="Arial" w:cs="Arial" w:eastAsia="Arial" w:hAnsi="Arial"/>
          <w:b/>
          <w:bCs/>
          <w:sz w:val="22"/>
          <w:szCs w:val="22"/>
        </w:rPr>
        <w:t xml:space="preserve">Intervention</w:t>
      </w:r>
      <w:r>
        <w:rPr>
          <w:rFonts w:ascii="Arial" w:cs="Arial" w:eastAsia="Arial" w:hAnsi="Arial"/>
          <w:sz w:val="22"/>
          <w:szCs w:val="22"/>
        </w:rPr>
        <w:t xml:space="preserve">: 1,8-cineole as add-on therapy to standard asthma medications</w:t>
      </w:r>
    </w:p>
    <w:p>
      <w:pPr>
        <w:spacing w:after="120" w:line="300"/>
      </w:pPr>
      <w:r>
        <w:rPr>
          <w:rFonts w:ascii="Arial" w:cs="Arial" w:eastAsia="Arial" w:hAnsi="Arial"/>
          <w:b/>
          <w:bCs/>
          <w:sz w:val="22"/>
          <w:szCs w:val="22"/>
        </w:rPr>
        <w:t xml:space="preserve">Outcomes Measured</w:t>
      </w:r>
      <w:r>
        <w:rPr>
          <w:rFonts w:ascii="Arial" w:cs="Arial" w:eastAsia="Arial" w:hAnsi="Arial"/>
          <w:sz w:val="22"/>
          <w:szCs w:val="22"/>
        </w:rPr>
        <w:t xml:space="preserve">: Lung function (FEV₁), asthma symptom scores, dyspnea, quality of life, daily corticosteroid requirement</w:t>
      </w:r>
    </w:p>
    <w:p>
      <w:pPr>
        <w:spacing w:after="120" w:line="300"/>
      </w:pPr>
      <w:r>
        <w:rPr>
          <w:rFonts w:ascii="Arial" w:cs="Arial" w:eastAsia="Arial" w:hAnsi="Arial"/>
          <w:b/>
          <w:bCs/>
          <w:sz w:val="22"/>
          <w:szCs w:val="22"/>
        </w:rPr>
        <w:t xml:space="preserve">Key Results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Improved lung function</w:t>
      </w:r>
      <w:r>
        <w:rPr>
          <w:rFonts w:ascii="Arial" w:cs="Arial" w:eastAsia="Arial" w:hAnsi="Arial"/>
          <w:sz w:val="22"/>
          <w:szCs w:val="22"/>
        </w:rPr>
        <w:t xml:space="preserve"> (FEV₁ increase)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Reduced daily prednisolone (corticosteroid) requirement</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Cineole group: 36% reduction (mean 3.75 mg/day)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Placebo group: 7% reduction (mean 0.91 mg/day)</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p = 0.006</w:t>
      </w:r>
      <w:r>
        <w:rPr>
          <w:rFonts w:ascii="Arial" w:cs="Arial" w:eastAsia="Arial" w:hAnsi="Arial"/>
          <w:sz w:val="22"/>
          <w:szCs w:val="22"/>
        </w:rPr>
        <w:t xml:space="preserve"> (highly significant)</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Symptom improvement</w:t>
      </w:r>
      <w:r>
        <w:rPr>
          <w:rFonts w:ascii="Arial" w:cs="Arial" w:eastAsia="Arial" w:hAnsi="Arial"/>
          <w:sz w:val="22"/>
          <w:szCs w:val="22"/>
        </w:rPr>
        <w:t xml:space="preserve">: Dyspnea reduced, overall respiratory comfort enhanced</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Steroid-sparing potential</w:t>
      </w:r>
      <w:r>
        <w:rPr>
          <w:rFonts w:ascii="Arial" w:cs="Arial" w:eastAsia="Arial" w:hAnsi="Arial"/>
          <w:sz w:val="22"/>
          <w:szCs w:val="22"/>
        </w:rPr>
        <w:t xml:space="preserve">: 1,8-cineole enables lower corticosteroid doses, reducing systemic side effects</w:t>
      </w:r>
    </w:p>
    <w:p>
      <w:pPr>
        <w:spacing w:after="120" w:line="300"/>
      </w:pPr>
      <w:r>
        <w:rPr>
          <w:rFonts w:ascii="Arial" w:cs="Arial" w:eastAsia="Arial" w:hAnsi="Arial"/>
          <w:b/>
          <w:bCs/>
          <w:sz w:val="22"/>
          <w:szCs w:val="22"/>
        </w:rPr>
        <w:t xml:space="preserve">Mechanism</w:t>
      </w:r>
      <w:r>
        <w:rPr>
          <w:rFonts w:ascii="Arial" w:cs="Arial" w:eastAsia="Arial" w:hAnsi="Arial"/>
          <w:sz w:val="22"/>
          <w:szCs w:val="22"/>
        </w:rPr>
        <w:t xml:space="preserve">: Synergistic anti-inflammatory (NF-κB) and smooth muscle relaxation; enhances glucocorticoid efficacy via unknown mechanisms</w:t>
      </w:r>
    </w:p>
    <w:p>
      <w:pPr>
        <w:spacing w:after="120" w:line="300"/>
      </w:pPr>
      <w:r>
        <w:rPr>
          <w:rFonts w:ascii="Arial" w:cs="Arial" w:eastAsia="Arial" w:hAnsi="Arial"/>
          <w:b/>
          <w:bCs/>
          <w:sz w:val="22"/>
          <w:szCs w:val="22"/>
        </w:rPr>
        <w:t xml:space="preserve">Source</w:t>
      </w:r>
      <w:r>
        <w:rPr>
          <w:rFonts w:ascii="Arial" w:cs="Arial" w:eastAsia="Arial" w:hAnsi="Arial"/>
          <w:sz w:val="22"/>
          <w:szCs w:val="22"/>
        </w:rPr>
        <w:t xml:space="preserve">: [Anti-inflammatory effects of 1,8-cineole (eucalyptol) improve glucocorticoid effects in vitro - ScienceDirect](https://www.sciencedirect.com/science/article/abs/pii/S2213713017300081)</w:t>
      </w:r>
    </w:p>
    <w:p>
      <w:pPr>
        <w:pStyle w:val="Heading2"/>
        <w:spacing w:after="120" w:before="240"/>
      </w:pPr>
      <w:r>
        <w:rPr>
          <w:rFonts w:ascii="Arial" w:cs="Arial" w:eastAsia="Arial" w:hAnsi="Arial"/>
          <w:b/>
          <w:bCs/>
          <w:color w:val="333333"/>
          <w:sz w:val="26"/>
          <w:szCs w:val="26"/>
        </w:rPr>
        <w:t xml:space="preserve">5.4 Acute Bronchitis</w:t>
      </w:r>
    </w:p>
    <w:p>
      <w:pPr>
        <w:spacing w:after="100" w:before="200"/>
      </w:pPr>
      <w:r>
        <w:rPr>
          <w:rFonts w:ascii="Arial" w:cs="Arial" w:eastAsia="Arial" w:hAnsi="Arial"/>
          <w:b/>
          <w:bCs/>
          <w:color w:val="444444"/>
          <w:sz w:val="24"/>
          <w:szCs w:val="24"/>
        </w:rPr>
        <w:t xml:space="preserve">Phase III, Open-Label, Randomized Trial</w:t>
      </w:r>
    </w:p>
    <w:p>
      <w:pPr>
        <w:spacing w:after="120" w:line="300"/>
      </w:pPr>
      <w:r>
        <w:rPr>
          <w:rFonts w:ascii="Arial" w:cs="Arial" w:eastAsia="Arial" w:hAnsi="Arial"/>
          <w:b/>
          <w:bCs/>
          <w:sz w:val="22"/>
          <w:szCs w:val="22"/>
        </w:rPr>
        <w:t xml:space="preserve">Medication</w:t>
      </w:r>
      <w:r>
        <w:rPr>
          <w:rFonts w:ascii="Arial" w:cs="Arial" w:eastAsia="Arial" w:hAnsi="Arial"/>
          <w:sz w:val="22"/>
          <w:szCs w:val="22"/>
        </w:rPr>
        <w:t xml:space="preserve">: Soledum™ (1,8-cineole) capsules</w:t>
      </w:r>
    </w:p>
    <w:p>
      <w:pPr>
        <w:spacing w:after="120" w:line="300"/>
      </w:pPr>
      <w:r>
        <w:rPr>
          <w:rFonts w:ascii="Arial" w:cs="Arial" w:eastAsia="Arial" w:hAnsi="Arial"/>
          <w:b/>
          <w:bCs/>
          <w:sz w:val="22"/>
          <w:szCs w:val="22"/>
        </w:rPr>
        <w:t xml:space="preserve">Population</w:t>
      </w:r>
      <w:r>
        <w:rPr>
          <w:rFonts w:ascii="Arial" w:cs="Arial" w:eastAsia="Arial" w:hAnsi="Arial"/>
          <w:sz w:val="22"/>
          <w:szCs w:val="22"/>
        </w:rPr>
        <w:t xml:space="preserve">: Patients with acute bronchitis</w:t>
      </w:r>
    </w:p>
    <w:p>
      <w:pPr>
        <w:spacing w:after="120" w:line="300"/>
      </w:pPr>
      <w:r>
        <w:rPr>
          <w:rFonts w:ascii="Arial" w:cs="Arial" w:eastAsia="Arial" w:hAnsi="Arial"/>
          <w:b/>
          <w:bCs/>
          <w:sz w:val="22"/>
          <w:szCs w:val="22"/>
        </w:rPr>
        <w:t xml:space="preserve">Outcomes</w:t>
      </w:r>
      <w:r>
        <w:rPr>
          <w:rFonts w:ascii="Arial" w:cs="Arial" w:eastAsia="Arial" w:hAnsi="Arial"/>
          <w:sz w:val="22"/>
          <w:szCs w:val="22"/>
        </w:rPr>
        <w:t xml:space="preserve">: Symptom resolution, time to recovery, efficacy and safety</w:t>
      </w:r>
    </w:p>
    <w:p>
      <w:pPr>
        <w:spacing w:after="120" w:line="300"/>
      </w:pPr>
      <w:r>
        <w:rPr>
          <w:rFonts w:ascii="Arial" w:cs="Arial" w:eastAsia="Arial" w:hAnsi="Arial"/>
          <w:b/>
          <w:bCs/>
          <w:sz w:val="22"/>
          <w:szCs w:val="22"/>
        </w:rPr>
        <w:t xml:space="preserve">Results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Statistically significant improvement in bronchitis symptom burden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Reduced cough duration and intensity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Enhanced mucociliary clearance observed</w:t>
      </w:r>
    </w:p>
    <w:p>
      <w:pPr>
        <w:spacing w:after="120" w:line="300"/>
      </w:pPr>
      <w:r>
        <w:rPr>
          <w:rFonts w:ascii="Arial" w:cs="Arial" w:eastAsia="Arial" w:hAnsi="Arial"/>
          <w:b/>
          <w:bCs/>
          <w:sz w:val="22"/>
          <w:szCs w:val="22"/>
        </w:rPr>
        <w:t xml:space="preserve">Source</w:t>
      </w:r>
      <w:r>
        <w:rPr>
          <w:rFonts w:ascii="Arial" w:cs="Arial" w:eastAsia="Arial" w:hAnsi="Arial"/>
          <w:sz w:val="22"/>
          <w:szCs w:val="22"/>
        </w:rPr>
        <w:t xml:space="preserve">: [Efficacy and safety of Cineole (Soledum®) in the treatment of patients with acute bronchitis - Clinical Phytoscience](https://link.springer.com/article/10.1186/s40816-021-00319-8)</w:t>
      </w:r>
    </w:p>
    <w:p>
      <w:pPr>
        <w:pStyle w:val="Heading2"/>
        <w:spacing w:after="120" w:before="240"/>
      </w:pPr>
      <w:r>
        <w:rPr>
          <w:rFonts w:ascii="Arial" w:cs="Arial" w:eastAsia="Arial" w:hAnsi="Arial"/>
          <w:b/>
          <w:bCs/>
          <w:color w:val="333333"/>
          <w:sz w:val="26"/>
          <w:szCs w:val="26"/>
        </w:rPr>
        <w:t xml:space="preserve">5.5 Sinusitis &amp; Chronic Rhinosinusitis</w:t>
      </w:r>
    </w:p>
    <w:p>
      <w:pPr>
        <w:spacing w:after="100" w:before="200"/>
      </w:pPr>
      <w:r>
        <w:rPr>
          <w:rFonts w:ascii="Arial" w:cs="Arial" w:eastAsia="Arial" w:hAnsi="Arial"/>
          <w:b/>
          <w:bCs/>
          <w:color w:val="444444"/>
          <w:sz w:val="24"/>
          <w:szCs w:val="24"/>
        </w:rPr>
        <w:t xml:space="preserve">Ex Vivo Human Tissue Study</w:t>
      </w:r>
    </w:p>
    <w:p>
      <w:pPr>
        <w:spacing w:after="120" w:line="300"/>
      </w:pPr>
      <w:r>
        <w:rPr>
          <w:rFonts w:ascii="Arial" w:cs="Arial" w:eastAsia="Arial" w:hAnsi="Arial"/>
          <w:b/>
          <w:bCs/>
          <w:sz w:val="22"/>
          <w:szCs w:val="22"/>
        </w:rPr>
        <w:t xml:space="preserve">Model</w:t>
      </w:r>
      <w:r>
        <w:rPr>
          <w:rFonts w:ascii="Arial" w:cs="Arial" w:eastAsia="Arial" w:hAnsi="Arial"/>
          <w:sz w:val="22"/>
          <w:szCs w:val="22"/>
        </w:rPr>
        <w:t xml:space="preserve">: Nasal polyps and sinus mucosa from chronic rhinosinusitis patients</w:t>
      </w:r>
    </w:p>
    <w:p>
      <w:pPr>
        <w:spacing w:after="120" w:line="300"/>
      </w:pPr>
      <w:r>
        <w:rPr>
          <w:rFonts w:ascii="Arial" w:cs="Arial" w:eastAsia="Arial" w:hAnsi="Arial"/>
          <w:b/>
          <w:bCs/>
          <w:sz w:val="22"/>
          <w:szCs w:val="22"/>
        </w:rPr>
        <w:t xml:space="preserve">Intervention</w:t>
      </w:r>
      <w:r>
        <w:rPr>
          <w:rFonts w:ascii="Arial" w:cs="Arial" w:eastAsia="Arial" w:hAnsi="Arial"/>
          <w:sz w:val="22"/>
          <w:szCs w:val="22"/>
        </w:rPr>
        <w:t xml:space="preserve">: 1,8-cineole co-treatment with inflammatory stimulus</w:t>
      </w:r>
    </w:p>
    <w:p>
      <w:pPr>
        <w:spacing w:after="120" w:line="300"/>
      </w:pPr>
      <w:r>
        <w:rPr>
          <w:rFonts w:ascii="Arial" w:cs="Arial" w:eastAsia="Arial" w:hAnsi="Arial"/>
          <w:b/>
          <w:bCs/>
          <w:sz w:val="22"/>
          <w:szCs w:val="22"/>
        </w:rPr>
        <w:t xml:space="preserve">Outcome</w:t>
      </w:r>
      <w:r>
        <w:rPr>
          <w:rFonts w:ascii="Arial" w:cs="Arial" w:eastAsia="Arial" w:hAnsi="Arial"/>
          <w:sz w:val="22"/>
          <w:szCs w:val="22"/>
        </w:rPr>
        <w:t xml:space="preserve">: Mucin-filled goblet cell count and mucin gene expression (MUC2, MUC19)</w:t>
      </w:r>
    </w:p>
    <w:p>
      <w:pPr>
        <w:spacing w:after="120" w:line="300"/>
      </w:pPr>
      <w:r>
        <w:rPr>
          <w:rFonts w:ascii="Arial" w:cs="Arial" w:eastAsia="Arial" w:hAnsi="Arial"/>
          <w:b/>
          <w:bCs/>
          <w:sz w:val="22"/>
          <w:szCs w:val="22"/>
        </w:rPr>
        <w:t xml:space="preserve">Key Findings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Significant reduction in goblet cell mucin production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MUC2 and MUC19 expression reduced</w:t>
      </w:r>
      <w:r>
        <w:rPr>
          <w:rFonts w:ascii="Arial" w:cs="Arial" w:eastAsia="Arial" w:hAnsi="Arial"/>
          <w:sz w:val="22"/>
          <w:szCs w:val="22"/>
        </w:rPr>
        <w:t xml:space="preserve"> in dose-dependent manner</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NF-κB p65 activity suppressed</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Additionally, 1,8-cineol inhibits Wnt/β-catenin signaling via GSK-3 dephosphorylation</w:t>
      </w:r>
    </w:p>
    <w:p>
      <w:pPr>
        <w:spacing w:after="120" w:line="300"/>
      </w:pPr>
      <w:r>
        <w:rPr>
          <w:rFonts w:ascii="Arial" w:cs="Arial" w:eastAsia="Arial" w:hAnsi="Arial"/>
          <w:b/>
          <w:bCs/>
          <w:sz w:val="22"/>
          <w:szCs w:val="22"/>
        </w:rPr>
        <w:t xml:space="preserve">Clinical Implication</w:t>
      </w:r>
      <w:r>
        <w:rPr>
          <w:rFonts w:ascii="Arial" w:cs="Arial" w:eastAsia="Arial" w:hAnsi="Arial"/>
          <w:sz w:val="22"/>
          <w:szCs w:val="22"/>
        </w:rPr>
        <w:t xml:space="preserve">: These mechanisms explain clinical efficacy of 1,8-cineole in acute and chronic rhinosinusitis</w:t>
      </w:r>
    </w:p>
    <w:p>
      <w:pPr>
        <w:spacing w:after="120" w:line="300"/>
      </w:pPr>
      <w:r>
        <w:rPr>
          <w:rFonts w:ascii="Arial" w:cs="Arial" w:eastAsia="Arial" w:hAnsi="Arial"/>
          <w:b/>
          <w:bCs/>
          <w:sz w:val="22"/>
          <w:szCs w:val="22"/>
        </w:rPr>
        <w:t xml:space="preserve">Source</w:t>
      </w:r>
      <w:r>
        <w:rPr>
          <w:rFonts w:ascii="Arial" w:cs="Arial" w:eastAsia="Arial" w:hAnsi="Arial"/>
          <w:sz w:val="22"/>
          <w:szCs w:val="22"/>
        </w:rPr>
        <w:t xml:space="preserve">: [1,8-Cineol Reduces Mucus-Production in a Novel Human Ex Vivo Model of Late Rhinosinusitis - PLOS One](https://journals.plos.org/plosone/article?id=10.1371/journal.pone.0133040)</w:t>
      </w:r>
    </w:p>
    <w:p>
      <w:pPr>
        <w:pStyle w:val="Heading2"/>
        <w:spacing w:after="120" w:before="240"/>
      </w:pPr>
      <w:r>
        <w:rPr>
          <w:rFonts w:ascii="Arial" w:cs="Arial" w:eastAsia="Arial" w:hAnsi="Arial"/>
          <w:b/>
          <w:bCs/>
          <w:color w:val="333333"/>
          <w:sz w:val="26"/>
          <w:szCs w:val="26"/>
        </w:rPr>
        <w:t xml:space="preserve">5.6 Common Cold (Acute Upper Respiratory Infection)</w:t>
      </w:r>
    </w:p>
    <w:p>
      <w:pPr>
        <w:spacing w:after="100" w:before="200"/>
      </w:pPr>
      <w:r>
        <w:rPr>
          <w:rFonts w:ascii="Arial" w:cs="Arial" w:eastAsia="Arial" w:hAnsi="Arial"/>
          <w:b/>
          <w:bCs/>
          <w:color w:val="444444"/>
          <w:sz w:val="24"/>
          <w:szCs w:val="24"/>
        </w:rPr>
        <w:t xml:space="preserve">Non-Randomized Exploratory Clinical Trial (2024)</w:t>
      </w:r>
    </w:p>
    <w:p>
      <w:pPr>
        <w:spacing w:after="120" w:line="300"/>
      </w:pPr>
      <w:r>
        <w:rPr>
          <w:rFonts w:ascii="Arial" w:cs="Arial" w:eastAsia="Arial" w:hAnsi="Arial"/>
          <w:b/>
          <w:bCs/>
          <w:sz w:val="22"/>
          <w:szCs w:val="22"/>
        </w:rPr>
        <w:t xml:space="preserve">Study Design</w:t>
      </w:r>
      <w:r>
        <w:rPr>
          <w:rFonts w:ascii="Arial" w:cs="Arial" w:eastAsia="Arial" w:hAnsi="Arial"/>
          <w:sz w:val="22"/>
          <w:szCs w:val="22"/>
        </w:rPr>
        <w:t xml:space="preserve">: Comparison of treatment initiation timing on disease course</w:t>
      </w:r>
    </w:p>
    <w:p>
      <w:pPr>
        <w:spacing w:after="120" w:line="300"/>
      </w:pPr>
      <w:r>
        <w:rPr>
          <w:rFonts w:ascii="Arial" w:cs="Arial" w:eastAsia="Arial" w:hAnsi="Arial"/>
          <w:b/>
          <w:bCs/>
          <w:sz w:val="22"/>
          <w:szCs w:val="22"/>
        </w:rPr>
        <w:t xml:space="preserve">Intervention</w:t>
      </w:r>
      <w:r>
        <w:rPr>
          <w:rFonts w:ascii="Arial" w:cs="Arial" w:eastAsia="Arial" w:hAnsi="Arial"/>
          <w:sz w:val="22"/>
          <w:szCs w:val="22"/>
        </w:rPr>
        <w:t xml:space="preserve">: Cineole capsules initiated at different times during cold illness</w:t>
      </w:r>
    </w:p>
    <w:p>
      <w:pPr>
        <w:spacing w:after="120" w:line="300"/>
      </w:pPr>
      <w:r>
        <w:rPr>
          <w:rFonts w:ascii="Arial" w:cs="Arial" w:eastAsia="Arial" w:hAnsi="Arial"/>
          <w:b/>
          <w:bCs/>
          <w:sz w:val="22"/>
          <w:szCs w:val="22"/>
        </w:rPr>
        <w:t xml:space="preserve">Key Finding - The Timing Effect</w:t>
      </w:r>
      <w:r>
        <w:rPr>
          <w:rFonts w:ascii="Arial" w:cs="Arial" w:eastAsia="Arial" w:hAnsi="Arial"/>
          <w:sz w:val="22"/>
          <w:szCs w:val="22"/>
        </w:rPr>
        <w:t xml:space="preserv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Treatment Initiation</w:t>
            </w:r>
          </w:p>
        </w:tc>
        <w:tc>
          <w:tcPr>
            <w:tcW w:type="dxa" w:w="234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Overall Burden of Disease</w:t>
            </w:r>
          </w:p>
        </w:tc>
        <w:tc>
          <w:tcPr>
            <w:tcW w:type="dxa" w:w="234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Time to Remission</w:t>
            </w:r>
          </w:p>
        </w:tc>
        <w:tc>
          <w:tcPr>
            <w:tcW w:type="dxa" w:w="234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≤12 hours (earliest)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38% burden reduction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8.9 days (shortest)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Most effective</w:t>
            </w:r>
          </w:p>
        </w:tc>
      </w:tr>
      <w:tr>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24–48 hours</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 reduction</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~9.5 days</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&gt;48 hours (latest)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Least reduction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10.7 days (longest)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Reduced efficacy</w:t>
            </w:r>
          </w:p>
        </w:tc>
      </w:tr>
    </w:tbl>
    <w:p>
      <w:pPr>
        <w:spacing w:after="120"/>
      </w:pPr>
    </w:p>
    <w:p>
      <w:pPr>
        <w:spacing w:after="120" w:line="300"/>
      </w:pPr>
      <w:r>
        <w:rPr>
          <w:rFonts w:ascii="Arial" w:cs="Arial" w:eastAsia="Arial" w:hAnsi="Arial"/>
          <w:b/>
          <w:bCs/>
          <w:sz w:val="22"/>
          <w:szCs w:val="22"/>
        </w:rPr>
        <w:t xml:space="preserve">Interpretation</w:t>
      </w:r>
      <w:r>
        <w:rPr>
          <w:rFonts w:ascii="Arial" w:cs="Arial" w:eastAsia="Arial" w:hAnsi="Arial"/>
          <w:sz w:val="22"/>
          <w:szCs w:val="22"/>
        </w:rPr>
        <w:t xml:space="preserve">: Early intervention (within 12 hours of symptom onset) provides substantially greater symptom reduction and faster recovery.</w:t>
      </w:r>
    </w:p>
    <w:p>
      <w:pPr>
        <w:spacing w:after="120" w:line="300"/>
      </w:pPr>
      <w:r>
        <w:rPr>
          <w:rFonts w:ascii="Arial" w:cs="Arial" w:eastAsia="Arial" w:hAnsi="Arial"/>
          <w:b/>
          <w:bCs/>
          <w:sz w:val="22"/>
          <w:szCs w:val="22"/>
        </w:rPr>
        <w:t xml:space="preserve">Pre-Loading Implication</w:t>
      </w:r>
      <w:r>
        <w:rPr>
          <w:rFonts w:ascii="Arial" w:cs="Arial" w:eastAsia="Arial" w:hAnsi="Arial"/>
          <w:sz w:val="22"/>
          <w:szCs w:val="22"/>
        </w:rPr>
        <w:t xml:space="preserve">: The 15–30 minute window for cannabis pre-loading aligns well with the rapid onset of 1,8-cineole's bioavailability (peak plasma at ~18 min), suggesting optimal timing for receptor priming.</w:t>
      </w:r>
    </w:p>
    <w:p>
      <w:pPr>
        <w:spacing w:after="120" w:line="300"/>
      </w:pPr>
      <w:r>
        <w:rPr>
          <w:rFonts w:ascii="Arial" w:cs="Arial" w:eastAsia="Arial" w:hAnsi="Arial"/>
          <w:b/>
          <w:bCs/>
          <w:sz w:val="22"/>
          <w:szCs w:val="22"/>
        </w:rPr>
        <w:t xml:space="preserve">Source</w:t>
      </w:r>
      <w:r>
        <w:rPr>
          <w:rFonts w:ascii="Arial" w:cs="Arial" w:eastAsia="Arial" w:hAnsi="Arial"/>
          <w:sz w:val="22"/>
          <w:szCs w:val="22"/>
        </w:rPr>
        <w:t xml:space="preserve">: [The impact of cineole treatment timing on common cold duration and symptoms - PMC](https://pmc.ncbi.nlm.nih.gov/articles/PMC10795983/)</w:t>
      </w:r>
    </w:p>
    <w:p>
      <w:pPr>
        <w:pStyle w:val="Heading2"/>
        <w:spacing w:after="120" w:before="240"/>
      </w:pPr>
      <w:r>
        <w:rPr>
          <w:rFonts w:ascii="Arial" w:cs="Arial" w:eastAsia="Arial" w:hAnsi="Arial"/>
          <w:b/>
          <w:bCs/>
          <w:color w:val="333333"/>
          <w:sz w:val="26"/>
          <w:szCs w:val="26"/>
        </w:rPr>
        <w:t xml:space="preserve">5.7 Summary of Clinical Efficacy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234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Evidence Level</w:t>
            </w:r>
          </w:p>
        </w:tc>
        <w:tc>
          <w:tcPr>
            <w:tcW w:type="dxa" w:w="234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Effect Size</w:t>
            </w:r>
          </w:p>
        </w:tc>
        <w:tc>
          <w:tcPr>
            <w:tcW w:type="dxa" w:w="234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Regulatory Status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Cognitive Enhancement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Human RCT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Moderate–Strong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approved as drug</w:t>
            </w:r>
          </w:p>
        </w:tc>
      </w:tr>
      <w:tr>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COPD Exacerbation Prevention</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Double-blind RCT</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Strong</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Soledum™ approved in Germany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Asthma Symptom/Steroid Reduction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Double-blind RCT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Strong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Authorized in Germany</w:t>
            </w:r>
          </w:p>
        </w:tc>
      </w:tr>
      <w:tr>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Acute Bronchitis</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III RCT</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Moderate–Strong</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Authorized in Germany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Sinusitis Mucus Control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Ex vivo human tissue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Investigational</w:t>
            </w:r>
          </w:p>
        </w:tc>
      </w:tr>
      <w:tr>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Common Cold Duration</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Exploratory trial</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Investigational</w:t>
            </w:r>
          </w:p>
        </w:tc>
      </w:tr>
    </w:tbl>
    <w:p>
      <w:pPr>
        <w:spacing w:after="120"/>
      </w:pP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838F"/>
          <w:sz w:val="30"/>
          <w:szCs w:val="30"/>
        </w:rPr>
        <w:t xml:space="preserve">6. Cross-Botanical Sources</w:t>
      </w:r>
    </w:p>
    <w:p>
      <w:pPr>
        <w:spacing w:after="120" w:line="300"/>
      </w:pPr>
      <w:r>
        <w:rPr>
          <w:rFonts w:ascii="Arial" w:cs="Arial" w:eastAsia="Arial" w:hAnsi="Arial"/>
          <w:sz w:val="22"/>
          <w:szCs w:val="22"/>
        </w:rPr>
        <w:t xml:space="preserve">1,8-cineole is a widespread monoterpene across diverse plant families. Pre-loading strategy relies on identifying botanical oils with high 1,8-cineole content matched to the cannabis strain's terpene profile.</w:t>
      </w:r>
    </w:p>
    <w:p>
      <w:pPr>
        <w:pStyle w:val="Heading2"/>
        <w:spacing w:after="120" w:before="240"/>
      </w:pPr>
      <w:r>
        <w:rPr>
          <w:rFonts w:ascii="Arial" w:cs="Arial" w:eastAsia="Arial" w:hAnsi="Arial"/>
          <w:b/>
          <w:bCs/>
          <w:color w:val="333333"/>
          <w:sz w:val="26"/>
          <w:szCs w:val="26"/>
        </w:rPr>
        <w:t xml:space="preserve">6.1 Eucalyptus (Myrtaceae)</w:t>
      </w:r>
    </w:p>
    <w:p>
      <w:pPr>
        <w:spacing w:after="120" w:line="300"/>
      </w:pPr>
      <w:r>
        <w:rPr>
          <w:rFonts w:ascii="Arial" w:cs="Arial" w:eastAsia="Arial" w:hAnsi="Arial"/>
          <w:b/>
          <w:bCs/>
          <w:sz w:val="22"/>
          <w:szCs w:val="22"/>
        </w:rPr>
        <w:t xml:space="preserve">Species</w:t>
      </w:r>
      <w:r>
        <w:rPr>
          <w:rFonts w:ascii="Arial" w:cs="Arial" w:eastAsia="Arial" w:hAnsi="Arial"/>
          <w:sz w:val="22"/>
          <w:szCs w:val="22"/>
        </w:rPr>
        <w:t xml:space="preserve">: *Eucalyptus globulus* (blue gum), *E. smithii*, *E. polybractea*, others</w:t>
      </w:r>
    </w:p>
    <w:p>
      <w:pPr>
        <w:spacing w:after="120" w:line="300"/>
      </w:pPr>
      <w:r>
        <w:rPr>
          <w:rFonts w:ascii="Arial" w:cs="Arial" w:eastAsia="Arial" w:hAnsi="Arial"/>
          <w:b/>
          <w:bCs/>
          <w:sz w:val="22"/>
          <w:szCs w:val="22"/>
        </w:rPr>
        <w:t xml:space="preserve">1,8-Cineole Content</w:t>
      </w:r>
      <w:r>
        <w:rPr>
          <w:rFonts w:ascii="Arial" w:cs="Arial" w:eastAsia="Arial" w:hAnsi="Arial"/>
          <w:sz w:val="22"/>
          <w:szCs w:val="22"/>
        </w:rPr>
        <w:t xml:space="preserve">: </w:t>
      </w:r>
      <w:r>
        <w:rPr>
          <w:rFonts w:ascii="Arial" w:cs="Arial" w:eastAsia="Arial" w:hAnsi="Arial"/>
          <w:b/>
          <w:bCs/>
          <w:sz w:val="22"/>
          <w:szCs w:val="22"/>
        </w:rPr>
        <w:t xml:space="preserve">70–90%</w:t>
      </w:r>
      <w:r>
        <w:rPr>
          <w:rFonts w:ascii="Arial" w:cs="Arial" w:eastAsia="Arial" w:hAnsi="Arial"/>
          <w:sz w:val="22"/>
          <w:szCs w:val="22"/>
        </w:rPr>
        <w:t xml:space="preserve"> (range: 54–95% depending on harvest time, location, plant part)</w:t>
      </w:r>
    </w:p>
    <w:p>
      <w:pPr>
        <w:spacing w:after="120" w:line="300"/>
      </w:pPr>
      <w:r>
        <w:rPr>
          <w:rFonts w:ascii="Arial" w:cs="Arial" w:eastAsia="Arial" w:hAnsi="Arial"/>
          <w:b/>
          <w:bCs/>
          <w:sz w:val="22"/>
          <w:szCs w:val="22"/>
        </w:rPr>
        <w:t xml:space="preserve">Essential Oil Yield</w:t>
      </w:r>
      <w:r>
        <w:rPr>
          <w:rFonts w:ascii="Arial" w:cs="Arial" w:eastAsia="Arial" w:hAnsi="Arial"/>
          <w:sz w:val="22"/>
          <w:szCs w:val="22"/>
        </w:rPr>
        <w:t xml:space="preserve">: 2–3% of fresh leaf weight</w:t>
      </w:r>
    </w:p>
    <w:p>
      <w:pPr>
        <w:spacing w:after="120" w:line="300"/>
      </w:pPr>
      <w:r>
        <w:rPr>
          <w:rFonts w:ascii="Arial" w:cs="Arial" w:eastAsia="Arial" w:hAnsi="Arial"/>
          <w:b/>
          <w:bCs/>
          <w:sz w:val="22"/>
          <w:szCs w:val="22"/>
        </w:rPr>
        <w:t xml:space="preserve">Standardization</w:t>
      </w:r>
      <w:r>
        <w:rPr>
          <w:rFonts w:ascii="Arial" w:cs="Arial" w:eastAsia="Arial" w:hAnsi="Arial"/>
          <w:sz w:val="22"/>
          <w:szCs w:val="22"/>
        </w:rPr>
        <w:t xml:space="preserve">: Pharmaceutical use requires ≥70% 1,8-cineole</w:t>
      </w:r>
    </w:p>
    <w:p>
      <w:pPr>
        <w:spacing w:after="120" w:line="300"/>
      </w:pPr>
      <w:r>
        <w:rPr>
          <w:rFonts w:ascii="Arial" w:cs="Arial" w:eastAsia="Arial" w:hAnsi="Arial"/>
          <w:b/>
          <w:bCs/>
          <w:sz w:val="22"/>
          <w:szCs w:val="22"/>
        </w:rPr>
        <w:t xml:space="preserve">Significance</w:t>
      </w:r>
      <w:r>
        <w:rPr>
          <w:rFonts w:ascii="Arial" w:cs="Arial" w:eastAsia="Arial" w:hAnsi="Arial"/>
          <w:sz w:val="22"/>
          <w:szCs w:val="22"/>
        </w:rPr>
        <w:t xml:space="preserve">: The archetypal source; defines the "eucalyptus" aroma in pre-loading blends</w:t>
      </w:r>
    </w:p>
    <w:p>
      <w:pPr>
        <w:spacing w:after="120" w:line="300"/>
      </w:pPr>
      <w:r>
        <w:rPr>
          <w:rFonts w:ascii="Arial" w:cs="Arial" w:eastAsia="Arial" w:hAnsi="Arial"/>
          <w:b/>
          <w:bCs/>
          <w:sz w:val="22"/>
          <w:szCs w:val="22"/>
        </w:rPr>
        <w:t xml:space="preserve">Pre-Loading Use</w:t>
      </w:r>
      <w:r>
        <w:rPr>
          <w:rFonts w:ascii="Arial" w:cs="Arial" w:eastAsia="Arial" w:hAnsi="Arial"/>
          <w:sz w:val="22"/>
          <w:szCs w:val="22"/>
        </w:rPr>
        <w:t xml:space="preserve">: Pure eucalyptus oil (globulus ct. cineole) is the gold standard for cineole pre-loading</w:t>
      </w:r>
    </w:p>
    <w:p>
      <w:pPr>
        <w:spacing w:after="120" w:line="300"/>
      </w:pPr>
      <w:r>
        <w:rPr>
          <w:rFonts w:ascii="Arial" w:cs="Arial" w:eastAsia="Arial" w:hAnsi="Arial"/>
          <w:b/>
          <w:bCs/>
          <w:sz w:val="22"/>
          <w:szCs w:val="22"/>
        </w:rPr>
        <w:t xml:space="preserve">Sources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[Chemical Composition and Biological Activities of Eucalyptus globulus Essential Oil - PMC](https://pmc.ncbi.nlm.nih.gov/articles/PMC10004840/)</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[Safety Assessment of Eucalyptus globulus - CIR](https://www.cir-safety.org/sites/default/files/eucalyptus.pdf)</w:t>
      </w:r>
    </w:p>
    <w:p>
      <w:pPr>
        <w:pStyle w:val="Heading2"/>
        <w:spacing w:after="120" w:before="240"/>
      </w:pPr>
      <w:r>
        <w:rPr>
          <w:rFonts w:ascii="Arial" w:cs="Arial" w:eastAsia="Arial" w:hAnsi="Arial"/>
          <w:b/>
          <w:bCs/>
          <w:color w:val="333333"/>
          <w:sz w:val="26"/>
          <w:szCs w:val="26"/>
        </w:rPr>
        <w:t xml:space="preserve">6.2 Rosemary (Lamiaceae)</w:t>
      </w:r>
    </w:p>
    <w:p>
      <w:pPr>
        <w:spacing w:after="120" w:line="300"/>
      </w:pPr>
      <w:r>
        <w:rPr>
          <w:rFonts w:ascii="Arial" w:cs="Arial" w:eastAsia="Arial" w:hAnsi="Arial"/>
          <w:b/>
          <w:bCs/>
          <w:sz w:val="22"/>
          <w:szCs w:val="22"/>
        </w:rPr>
        <w:t xml:space="preserve">Botanical Name</w:t>
      </w:r>
      <w:r>
        <w:rPr>
          <w:rFonts w:ascii="Arial" w:cs="Arial" w:eastAsia="Arial" w:hAnsi="Arial"/>
          <w:sz w:val="22"/>
          <w:szCs w:val="22"/>
        </w:rPr>
        <w:t xml:space="preserve">: *Rosmarinus officinalis* (various chemotypes)</w:t>
      </w:r>
    </w:p>
    <w:p>
      <w:pPr>
        <w:spacing w:after="120" w:line="300"/>
      </w:pPr>
      <w:r>
        <w:rPr>
          <w:rFonts w:ascii="Arial" w:cs="Arial" w:eastAsia="Arial" w:hAnsi="Arial"/>
          <w:b/>
          <w:bCs/>
          <w:sz w:val="22"/>
          <w:szCs w:val="22"/>
        </w:rPr>
        <w:t xml:space="preserve">1,8-Cineole Content</w:t>
      </w:r>
      <w:r>
        <w:rPr>
          <w:rFonts w:ascii="Arial" w:cs="Arial" w:eastAsia="Arial" w:hAnsi="Arial"/>
          <w:sz w:val="22"/>
          <w:szCs w:val="22"/>
        </w:rPr>
        <w:t xml:space="preserve">: </w:t>
      </w:r>
      <w:r>
        <w:rPr>
          <w:rFonts w:ascii="Arial" w:cs="Arial" w:eastAsia="Arial" w:hAnsi="Arial"/>
          <w:b/>
          <w:bCs/>
          <w:sz w:val="22"/>
          <w:szCs w:val="22"/>
        </w:rPr>
        <w:t xml:space="preserve">15–55%</w:t>
      </w:r>
      <w:r>
        <w:rPr>
          <w:rFonts w:ascii="Arial" w:cs="Arial" w:eastAsia="Arial" w:hAnsi="Arial"/>
          <w:sz w:val="22"/>
          <w:szCs w:val="22"/>
        </w:rPr>
        <w:t xml:space="preserve"> (typically 35–45% in cineole chemotype)</w:t>
      </w:r>
    </w:p>
    <w:p>
      <w:pPr>
        <w:spacing w:after="120" w:line="300"/>
      </w:pPr>
      <w:r>
        <w:rPr>
          <w:rFonts w:ascii="Arial" w:cs="Arial" w:eastAsia="Arial" w:hAnsi="Arial"/>
          <w:b/>
          <w:bCs/>
          <w:sz w:val="22"/>
          <w:szCs w:val="22"/>
        </w:rPr>
        <w:t xml:space="preserve">Chemotype Variation</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ct. cineole</w:t>
      </w:r>
      <w:r>
        <w:rPr>
          <w:rFonts w:ascii="Arial" w:cs="Arial" w:eastAsia="Arial" w:hAnsi="Arial"/>
          <w:sz w:val="22"/>
          <w:szCs w:val="22"/>
        </w:rPr>
        <w:t xml:space="preserve">: 40–55% 1,8-cineole, lower camphor</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ct. camphor</w:t>
      </w:r>
      <w:r>
        <w:rPr>
          <w:rFonts w:ascii="Arial" w:cs="Arial" w:eastAsia="Arial" w:hAnsi="Arial"/>
          <w:sz w:val="22"/>
          <w:szCs w:val="22"/>
        </w:rPr>
        <w:t xml:space="preserve">: Higher camphor (8–14%), lower cineole (16–29%)</w:t>
      </w:r>
    </w:p>
    <w:p>
      <w:pPr>
        <w:spacing w:after="120" w:line="300"/>
      </w:pPr>
      <w:r>
        <w:rPr>
          <w:rFonts w:ascii="Arial" w:cs="Arial" w:eastAsia="Arial" w:hAnsi="Arial"/>
          <w:b/>
          <w:bCs/>
          <w:sz w:val="22"/>
          <w:szCs w:val="22"/>
        </w:rPr>
        <w:t xml:space="preserve">Secondary Constituents</w:t>
      </w:r>
      <w:r>
        <w:rPr>
          <w:rFonts w:ascii="Arial" w:cs="Arial" w:eastAsia="Arial" w:hAnsi="Arial"/>
          <w:sz w:val="22"/>
          <w:szCs w:val="22"/>
        </w:rPr>
        <w:t xml:space="preserve">: α-pinene (15–25%), camphor, borneol, limonene</w:t>
      </w:r>
    </w:p>
    <w:p>
      <w:pPr>
        <w:spacing w:after="120" w:line="300"/>
      </w:pPr>
      <w:r>
        <w:rPr>
          <w:rFonts w:ascii="Arial" w:cs="Arial" w:eastAsia="Arial" w:hAnsi="Arial"/>
          <w:b/>
          <w:bCs/>
          <w:sz w:val="22"/>
          <w:szCs w:val="22"/>
        </w:rPr>
        <w:t xml:space="preserve">Essential Oil Yield</w:t>
      </w:r>
      <w:r>
        <w:rPr>
          <w:rFonts w:ascii="Arial" w:cs="Arial" w:eastAsia="Arial" w:hAnsi="Arial"/>
          <w:sz w:val="22"/>
          <w:szCs w:val="22"/>
        </w:rPr>
        <w:t xml:space="preserve">: 1–2.5% from fresh leaves</w:t>
      </w:r>
    </w:p>
    <w:p>
      <w:pPr>
        <w:spacing w:after="120" w:line="300"/>
      </w:pPr>
      <w:r>
        <w:rPr>
          <w:rFonts w:ascii="Arial" w:cs="Arial" w:eastAsia="Arial" w:hAnsi="Arial"/>
          <w:b/>
          <w:bCs/>
          <w:sz w:val="22"/>
          <w:szCs w:val="22"/>
        </w:rPr>
        <w:t xml:space="preserve">Significance for Pre-Loading</w:t>
      </w:r>
      <w:r>
        <w:rPr>
          <w:rFonts w:ascii="Arial" w:cs="Arial" w:eastAsia="Arial" w:hAnsi="Arial"/>
          <w:sz w:val="22"/>
          <w:szCs w:val="22"/>
        </w:rPr>
        <w:t xml:space="preserve">: Rosemary offers </w:t>
      </w:r>
      <w:r>
        <w:rPr>
          <w:rFonts w:ascii="Arial" w:cs="Arial" w:eastAsia="Arial" w:hAnsi="Arial"/>
          <w:b/>
          <w:bCs/>
          <w:sz w:val="22"/>
          <w:szCs w:val="22"/>
        </w:rPr>
        <w:t xml:space="preserve">dual cognitive benefit</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1,8-cineole</w:t>
      </w:r>
      <w:r>
        <w:rPr>
          <w:rFonts w:ascii="Arial" w:cs="Arial" w:eastAsia="Arial" w:hAnsi="Arial"/>
          <w:sz w:val="22"/>
          <w:szCs w:val="22"/>
        </w:rPr>
        <w:t xml:space="preserve"> (40–55%) — direct CNS/memory enhancement (Moss &amp; Oliver proven)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α-pinene</w:t>
      </w:r>
      <w:r>
        <w:rPr>
          <w:rFonts w:ascii="Arial" w:cs="Arial" w:eastAsia="Arial" w:hAnsi="Arial"/>
          <w:sz w:val="22"/>
          <w:szCs w:val="22"/>
        </w:rPr>
        <w:t xml:space="preserve"> (15–25%) — independent memory support, THC-impairment mitigation</w:t>
      </w:r>
    </w:p>
    <w:p>
      <w:pPr>
        <w:spacing w:after="120" w:line="300"/>
      </w:pPr>
      <w:r>
        <w:rPr>
          <w:rFonts w:ascii="Arial" w:cs="Arial" w:eastAsia="Arial" w:hAnsi="Arial"/>
          <w:b/>
          <w:bCs/>
          <w:sz w:val="22"/>
          <w:szCs w:val="22"/>
        </w:rPr>
        <w:t xml:space="preserve">Recommendation</w:t>
      </w:r>
      <w:r>
        <w:rPr>
          <w:rFonts w:ascii="Arial" w:cs="Arial" w:eastAsia="Arial" w:hAnsi="Arial"/>
          <w:sz w:val="22"/>
          <w:szCs w:val="22"/>
        </w:rPr>
        <w:t xml:space="preserve">: Rosemary ct. cineole is </w:t>
      </w:r>
      <w:r>
        <w:rPr>
          <w:rFonts w:ascii="Arial" w:cs="Arial" w:eastAsia="Arial" w:hAnsi="Arial"/>
          <w:b/>
          <w:bCs/>
          <w:sz w:val="22"/>
          <w:szCs w:val="22"/>
        </w:rPr>
        <w:t xml:space="preserve">optimal for cognitive-focused pre-loading</w:t>
      </w:r>
      <w:r>
        <w:rPr>
          <w:rFonts w:ascii="Arial" w:cs="Arial" w:eastAsia="Arial" w:hAnsi="Arial"/>
          <w:sz w:val="22"/>
          <w:szCs w:val="22"/>
        </w:rPr>
        <w:t xml:space="preserve">, especially for strains with pinene/cineole profiles</w:t>
      </w:r>
    </w:p>
    <w:p>
      <w:pPr>
        <w:spacing w:after="120" w:line="300"/>
      </w:pPr>
      <w:r>
        <w:rPr>
          <w:rFonts w:ascii="Arial" w:cs="Arial" w:eastAsia="Arial" w:hAnsi="Arial"/>
          <w:b/>
          <w:bCs/>
          <w:sz w:val="22"/>
          <w:szCs w:val="22"/>
        </w:rPr>
        <w:t xml:space="preserve">Sources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[Plasma 1,8-cineole correlates with cognitive performance - PMC](https://pmc.ncbi.nlm.nih.gov/articles/PMC3736918/)</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[Rosemary essential oil and its components 1,8-cineole and α-pinene - PMC](https://pmc.ncbi.nlm.nih.gov/articles/PMC9668159/)</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[Chemotypic Characterization and Biological Activity of Rosmarinus officinalis - PMC](https://pmc.ncbi.nlm.nih.gov/articles/PMC5368539/)</w:t>
      </w:r>
    </w:p>
    <w:p>
      <w:pPr>
        <w:pStyle w:val="Heading2"/>
        <w:spacing w:after="120" w:before="240"/>
      </w:pPr>
      <w:r>
        <w:rPr>
          <w:rFonts w:ascii="Arial" w:cs="Arial" w:eastAsia="Arial" w:hAnsi="Arial"/>
          <w:b/>
          <w:bCs/>
          <w:color w:val="333333"/>
          <w:sz w:val="26"/>
          <w:szCs w:val="26"/>
        </w:rPr>
        <w:t xml:space="preserve">6.3 Bay Laurel (Lauraceae)</w:t>
      </w:r>
    </w:p>
    <w:p>
      <w:pPr>
        <w:spacing w:after="120" w:line="300"/>
      </w:pPr>
      <w:r>
        <w:rPr>
          <w:rFonts w:ascii="Arial" w:cs="Arial" w:eastAsia="Arial" w:hAnsi="Arial"/>
          <w:b/>
          <w:bCs/>
          <w:sz w:val="22"/>
          <w:szCs w:val="22"/>
        </w:rPr>
        <w:t xml:space="preserve">Botanical Name</w:t>
      </w:r>
      <w:r>
        <w:rPr>
          <w:rFonts w:ascii="Arial" w:cs="Arial" w:eastAsia="Arial" w:hAnsi="Arial"/>
          <w:sz w:val="22"/>
          <w:szCs w:val="22"/>
        </w:rPr>
        <w:t xml:space="preserve">: *Laurus nobilis*</w:t>
      </w:r>
    </w:p>
    <w:p>
      <w:pPr>
        <w:spacing w:after="120" w:line="300"/>
      </w:pPr>
      <w:r>
        <w:rPr>
          <w:rFonts w:ascii="Arial" w:cs="Arial" w:eastAsia="Arial" w:hAnsi="Arial"/>
          <w:b/>
          <w:bCs/>
          <w:sz w:val="22"/>
          <w:szCs w:val="22"/>
        </w:rPr>
        <w:t xml:space="preserve">1,8-Cineole Content</w:t>
      </w:r>
      <w:r>
        <w:rPr>
          <w:rFonts w:ascii="Arial" w:cs="Arial" w:eastAsia="Arial" w:hAnsi="Arial"/>
          <w:sz w:val="22"/>
          <w:szCs w:val="22"/>
        </w:rPr>
        <w:t xml:space="preserve">: </w:t>
      </w:r>
      <w:r>
        <w:rPr>
          <w:rFonts w:ascii="Arial" w:cs="Arial" w:eastAsia="Arial" w:hAnsi="Arial"/>
          <w:b/>
          <w:bCs/>
          <w:sz w:val="22"/>
          <w:szCs w:val="22"/>
        </w:rPr>
        <w:t xml:space="preserve">30–50%</w:t>
      </w:r>
      <w:r>
        <w:rPr>
          <w:rFonts w:ascii="Arial" w:cs="Arial" w:eastAsia="Arial" w:hAnsi="Arial"/>
          <w:sz w:val="22"/>
          <w:szCs w:val="22"/>
        </w:rPr>
        <w:t xml:space="preserve"> (range reported: 29.2–63.0% depending on origin)</w:t>
      </w:r>
    </w:p>
    <w:p>
      <w:pPr>
        <w:spacing w:after="120" w:line="300"/>
      </w:pPr>
      <w:r>
        <w:rPr>
          <w:rFonts w:ascii="Arial" w:cs="Arial" w:eastAsia="Arial" w:hAnsi="Arial"/>
          <w:b/>
          <w:bCs/>
          <w:sz w:val="22"/>
          <w:szCs w:val="22"/>
        </w:rPr>
        <w:t xml:space="preserve">Representative Composition</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~35–45%</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Sabinene: 15–25%</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α-pinene: 5–10%</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Limonene: 3–8%</w:t>
      </w:r>
    </w:p>
    <w:p>
      <w:pPr>
        <w:spacing w:after="120" w:line="300"/>
      </w:pPr>
      <w:r>
        <w:rPr>
          <w:rFonts w:ascii="Arial" w:cs="Arial" w:eastAsia="Arial" w:hAnsi="Arial"/>
          <w:b/>
          <w:bCs/>
          <w:sz w:val="22"/>
          <w:szCs w:val="22"/>
        </w:rPr>
        <w:t xml:space="preserve">Essential Oil Yield</w:t>
      </w:r>
      <w:r>
        <w:rPr>
          <w:rFonts w:ascii="Arial" w:cs="Arial" w:eastAsia="Arial" w:hAnsi="Arial"/>
          <w:sz w:val="22"/>
          <w:szCs w:val="22"/>
        </w:rPr>
        <w:t xml:space="preserve">: ~1.3% of fresh leaves</w:t>
      </w:r>
    </w:p>
    <w:p>
      <w:pPr>
        <w:spacing w:after="120" w:line="300"/>
      </w:pPr>
      <w:r>
        <w:rPr>
          <w:rFonts w:ascii="Arial" w:cs="Arial" w:eastAsia="Arial" w:hAnsi="Arial"/>
          <w:b/>
          <w:bCs/>
          <w:sz w:val="22"/>
          <w:szCs w:val="22"/>
        </w:rPr>
        <w:t xml:space="preserve">Geographic Variation</w:t>
      </w:r>
      <w:r>
        <w:rPr>
          <w:rFonts w:ascii="Arial" w:cs="Arial" w:eastAsia="Arial" w:hAnsi="Arial"/>
          <w:sz w:val="22"/>
          <w:szCs w:val="22"/>
        </w:rPr>
        <w:t xml:space="preserve">: Greek laurel (30.8%) vs. Georgian laurel (29.2%)</w:t>
      </w:r>
    </w:p>
    <w:p>
      <w:pPr>
        <w:spacing w:after="120" w:line="300"/>
      </w:pPr>
      <w:r>
        <w:rPr>
          <w:rFonts w:ascii="Arial" w:cs="Arial" w:eastAsia="Arial" w:hAnsi="Arial"/>
          <w:b/>
          <w:bCs/>
          <w:sz w:val="22"/>
          <w:szCs w:val="22"/>
        </w:rPr>
        <w:t xml:space="preserve">Culinary &amp; Medicinal Use</w:t>
      </w:r>
      <w:r>
        <w:rPr>
          <w:rFonts w:ascii="Arial" w:cs="Arial" w:eastAsia="Arial" w:hAnsi="Arial"/>
          <w:sz w:val="22"/>
          <w:szCs w:val="22"/>
        </w:rPr>
        <w:t xml:space="preserve">: Mediterranean cuisines, herbal teas, traditional medicine</w:t>
      </w:r>
    </w:p>
    <w:p>
      <w:pPr>
        <w:spacing w:after="120" w:line="300"/>
      </w:pPr>
      <w:r>
        <w:rPr>
          <w:rFonts w:ascii="Arial" w:cs="Arial" w:eastAsia="Arial" w:hAnsi="Arial"/>
          <w:b/>
          <w:bCs/>
          <w:sz w:val="22"/>
          <w:szCs w:val="22"/>
        </w:rPr>
        <w:t xml:space="preserve">Pre-Loading Application</w:t>
      </w:r>
      <w:r>
        <w:rPr>
          <w:rFonts w:ascii="Arial" w:cs="Arial" w:eastAsia="Arial" w:hAnsi="Arial"/>
          <w:sz w:val="22"/>
          <w:szCs w:val="22"/>
        </w:rPr>
        <w:t xml:space="preserve">: Bay laurel offers moderate cineole content with herbal/culinary familiarity, suitable for blends</w:t>
      </w:r>
    </w:p>
    <w:p>
      <w:pPr>
        <w:spacing w:after="120" w:line="300"/>
      </w:pPr>
      <w:r>
        <w:rPr>
          <w:rFonts w:ascii="Arial" w:cs="Arial" w:eastAsia="Arial" w:hAnsi="Arial"/>
          <w:b/>
          <w:bCs/>
          <w:sz w:val="22"/>
          <w:szCs w:val="22"/>
        </w:rPr>
        <w:t xml:space="preserve">Sources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[Bay Laurel (Laurus nobilis L.) Essential Oil - PMC](https://pmc.ncbi.nlm.nih.gov/articles/PMC8909149/)</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[Antifungal, antitoxigenic, and antioxidant activities - PMC](https://pmc.ncbi.nlm.nih.gov/articles/PMC7500775/)</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[Comparative study on the chemical composition of laurel - ScienceDirect](https://www.sciencedirect.com/science/article/pii/S2405844020323343)</w:t>
      </w:r>
    </w:p>
    <w:p>
      <w:pPr>
        <w:pStyle w:val="Heading2"/>
        <w:spacing w:after="120" w:before="240"/>
      </w:pPr>
      <w:r>
        <w:rPr>
          <w:rFonts w:ascii="Arial" w:cs="Arial" w:eastAsia="Arial" w:hAnsi="Arial"/>
          <w:b/>
          <w:bCs/>
          <w:color w:val="333333"/>
          <w:sz w:val="26"/>
          <w:szCs w:val="26"/>
        </w:rPr>
        <w:t xml:space="preserve">6.4 Tea Tree Oil (Myrtaceae)</w:t>
      </w:r>
    </w:p>
    <w:p>
      <w:pPr>
        <w:spacing w:after="120" w:line="300"/>
      </w:pPr>
      <w:r>
        <w:rPr>
          <w:rFonts w:ascii="Arial" w:cs="Arial" w:eastAsia="Arial" w:hAnsi="Arial"/>
          <w:b/>
          <w:bCs/>
          <w:sz w:val="22"/>
          <w:szCs w:val="22"/>
        </w:rPr>
        <w:t xml:space="preserve">Botanical Name</w:t>
      </w:r>
      <w:r>
        <w:rPr>
          <w:rFonts w:ascii="Arial" w:cs="Arial" w:eastAsia="Arial" w:hAnsi="Arial"/>
          <w:sz w:val="22"/>
          <w:szCs w:val="22"/>
        </w:rPr>
        <w:t xml:space="preserve">: *Melaleuca alternifolia*</w:t>
      </w:r>
    </w:p>
    <w:p>
      <w:pPr>
        <w:spacing w:after="120" w:line="300"/>
      </w:pPr>
      <w:r>
        <w:rPr>
          <w:rFonts w:ascii="Arial" w:cs="Arial" w:eastAsia="Arial" w:hAnsi="Arial"/>
          <w:b/>
          <w:bCs/>
          <w:sz w:val="22"/>
          <w:szCs w:val="22"/>
        </w:rPr>
        <w:t xml:space="preserve">1,8-Cineole Content</w:t>
      </w:r>
      <w:r>
        <w:rPr>
          <w:rFonts w:ascii="Arial" w:cs="Arial" w:eastAsia="Arial" w:hAnsi="Arial"/>
          <w:sz w:val="22"/>
          <w:szCs w:val="22"/>
        </w:rPr>
        <w:t xml:space="preserve">: </w:t>
      </w:r>
      <w:r>
        <w:rPr>
          <w:rFonts w:ascii="Arial" w:cs="Arial" w:eastAsia="Arial" w:hAnsi="Arial"/>
          <w:b/>
          <w:bCs/>
          <w:sz w:val="22"/>
          <w:szCs w:val="22"/>
        </w:rPr>
        <w:t xml:space="preserve">1.17–4.79%</w:t>
      </w:r>
      <w:r>
        <w:rPr>
          <w:rFonts w:ascii="Arial" w:cs="Arial" w:eastAsia="Arial" w:hAnsi="Arial"/>
          <w:sz w:val="22"/>
          <w:szCs w:val="22"/>
        </w:rPr>
        <w:t xml:space="preserve"> (typically 2–3%)</w:t>
      </w:r>
    </w:p>
    <w:p>
      <w:pPr>
        <w:spacing w:after="120" w:line="300"/>
      </w:pPr>
      <w:r>
        <w:rPr>
          <w:rFonts w:ascii="Arial" w:cs="Arial" w:eastAsia="Arial" w:hAnsi="Arial"/>
          <w:b/>
          <w:bCs/>
          <w:sz w:val="22"/>
          <w:szCs w:val="22"/>
        </w:rPr>
        <w:t xml:space="preserve">Main Constituent</w:t>
      </w:r>
      <w:r>
        <w:rPr>
          <w:rFonts w:ascii="Arial" w:cs="Arial" w:eastAsia="Arial" w:hAnsi="Arial"/>
          <w:sz w:val="22"/>
          <w:szCs w:val="22"/>
        </w:rPr>
        <w:t xml:space="preserve">: Terpinen-4-ol (40–48%)</w:t>
      </w:r>
    </w:p>
    <w:p>
      <w:pPr>
        <w:spacing w:after="120" w:line="300"/>
      </w:pPr>
      <w:r>
        <w:rPr>
          <w:rFonts w:ascii="Arial" w:cs="Arial" w:eastAsia="Arial" w:hAnsi="Arial"/>
          <w:b/>
          <w:bCs/>
          <w:sz w:val="22"/>
          <w:szCs w:val="22"/>
        </w:rPr>
        <w:t xml:space="preserve">Secondary</w:t>
      </w:r>
      <w:r>
        <w:rPr>
          <w:rFonts w:ascii="Arial" w:cs="Arial" w:eastAsia="Arial" w:hAnsi="Arial"/>
          <w:sz w:val="22"/>
          <w:szCs w:val="22"/>
        </w:rPr>
        <w:t xml:space="preserve">: α-terpineol (3–4%), limonene, p-cymene</w:t>
      </w:r>
    </w:p>
    <w:p>
      <w:pPr>
        <w:spacing w:after="120" w:line="300"/>
      </w:pPr>
      <w:r>
        <w:rPr>
          <w:rFonts w:ascii="Arial" w:cs="Arial" w:eastAsia="Arial" w:hAnsi="Arial"/>
          <w:b/>
          <w:bCs/>
          <w:sz w:val="22"/>
          <w:szCs w:val="22"/>
        </w:rPr>
        <w:t xml:space="preserve">ISO 4730 Standard</w:t>
      </w:r>
      <w:r>
        <w:rPr>
          <w:rFonts w:ascii="Arial" w:cs="Arial" w:eastAsia="Arial" w:hAnsi="Arial"/>
          <w:sz w:val="22"/>
          <w:szCs w:val="22"/>
        </w:rPr>
        <w:t xml:space="preserve">: Allows up to 15% 1,8-cineole (but typical commercial oils are lower)</w:t>
      </w:r>
    </w:p>
    <w:p>
      <w:pPr>
        <w:spacing w:after="120" w:line="300"/>
      </w:pPr>
      <w:r>
        <w:rPr>
          <w:rFonts w:ascii="Arial" w:cs="Arial" w:eastAsia="Arial" w:hAnsi="Arial"/>
          <w:b/>
          <w:bCs/>
          <w:sz w:val="22"/>
          <w:szCs w:val="22"/>
        </w:rPr>
        <w:t xml:space="preserve">Note on Irritation</w:t>
      </w:r>
      <w:r>
        <w:rPr>
          <w:rFonts w:ascii="Arial" w:cs="Arial" w:eastAsia="Arial" w:hAnsi="Arial"/>
          <w:sz w:val="22"/>
          <w:szCs w:val="22"/>
        </w:rPr>
        <w:t xml:space="preserve">: 1,8-cineole in tea tree oil can cause skin/mucosal irritation at high concentrations</w:t>
      </w:r>
    </w:p>
    <w:p>
      <w:pPr>
        <w:spacing w:after="120" w:line="300"/>
      </w:pPr>
      <w:r>
        <w:rPr>
          <w:rFonts w:ascii="Arial" w:cs="Arial" w:eastAsia="Arial" w:hAnsi="Arial"/>
          <w:b/>
          <w:bCs/>
          <w:sz w:val="22"/>
          <w:szCs w:val="22"/>
        </w:rPr>
        <w:t xml:space="preserve">Pre-Loading Suitability</w:t>
      </w:r>
      <w:r>
        <w:rPr>
          <w:rFonts w:ascii="Arial" w:cs="Arial" w:eastAsia="Arial" w:hAnsi="Arial"/>
          <w:sz w:val="22"/>
          <w:szCs w:val="22"/>
        </w:rPr>
        <w:t xml:space="preserve">: Tea tree is </w:t>
      </w:r>
      <w:r>
        <w:rPr>
          <w:rFonts w:ascii="Arial" w:cs="Arial" w:eastAsia="Arial" w:hAnsi="Arial"/>
          <w:b/>
          <w:bCs/>
          <w:sz w:val="22"/>
          <w:szCs w:val="22"/>
        </w:rPr>
        <w:t xml:space="preserve">NOT recommended for primary cineole pre-loading</w:t>
      </w:r>
      <w:r>
        <w:rPr>
          <w:rFonts w:ascii="Arial" w:cs="Arial" w:eastAsia="Arial" w:hAnsi="Arial"/>
          <w:sz w:val="22"/>
          <w:szCs w:val="22"/>
        </w:rPr>
        <w:t xml:space="preserve"> due to low 1,8-cineole content and high terpinen-4-ol (which has different pharmacology). However, it contains some cineole and may be useful in blends for antimicrobial properties.</w:t>
      </w:r>
    </w:p>
    <w:p>
      <w:pPr>
        <w:spacing w:after="120" w:line="300"/>
      </w:pPr>
      <w:r>
        <w:rPr>
          <w:rFonts w:ascii="Arial" w:cs="Arial" w:eastAsia="Arial" w:hAnsi="Arial"/>
          <w:b/>
          <w:bCs/>
          <w:sz w:val="22"/>
          <w:szCs w:val="22"/>
        </w:rPr>
        <w:t xml:space="preserve">Sources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[Melaleuca alternifolia (Tea Tree) Oil: a Review - PMC](https://pmc.ncbi.nlm.nih.gov/articles/PMC1360273/)</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[HPTLC Analysis and Chemical Composition of Selected Melaleuca Essential Oils - MDPI](https://www.mdpi.com/1420-3049/28/9/3925)</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[Safety Assessment of Melaleuca alternifolia - CIR](https://www.cir-safety.org/sites/default/files/melalt032021TR.pdf)</w:t>
      </w:r>
    </w:p>
    <w:p>
      <w:pPr>
        <w:pStyle w:val="Heading2"/>
        <w:spacing w:after="120" w:before="240"/>
      </w:pPr>
      <w:r>
        <w:rPr>
          <w:rFonts w:ascii="Arial" w:cs="Arial" w:eastAsia="Arial" w:hAnsi="Arial"/>
          <w:b/>
          <w:bCs/>
          <w:color w:val="333333"/>
          <w:sz w:val="26"/>
          <w:szCs w:val="26"/>
        </w:rPr>
        <w:t xml:space="preserve">6.5 Sage (Lamiaceae)</w:t>
      </w:r>
    </w:p>
    <w:p>
      <w:pPr>
        <w:spacing w:after="120" w:line="300"/>
      </w:pPr>
      <w:r>
        <w:rPr>
          <w:rFonts w:ascii="Arial" w:cs="Arial" w:eastAsia="Arial" w:hAnsi="Arial"/>
          <w:b/>
          <w:bCs/>
          <w:sz w:val="22"/>
          <w:szCs w:val="22"/>
        </w:rPr>
        <w:t xml:space="preserve">Botanical Name</w:t>
      </w:r>
      <w:r>
        <w:rPr>
          <w:rFonts w:ascii="Arial" w:cs="Arial" w:eastAsia="Arial" w:hAnsi="Arial"/>
          <w:sz w:val="22"/>
          <w:szCs w:val="22"/>
        </w:rPr>
        <w:t xml:space="preserve">: *Salvia officinalis* (common sage), *S. lavandulifolia* (Spanish sage)</w:t>
      </w:r>
    </w:p>
    <w:p>
      <w:pPr>
        <w:spacing w:after="120" w:line="300"/>
      </w:pPr>
      <w:r>
        <w:rPr>
          <w:rFonts w:ascii="Arial" w:cs="Arial" w:eastAsia="Arial" w:hAnsi="Arial"/>
          <w:b/>
          <w:bCs/>
          <w:sz w:val="22"/>
          <w:szCs w:val="22"/>
        </w:rPr>
        <w:t xml:space="preserve">1,8-Cineole Content</w:t>
      </w:r>
      <w:r>
        <w:rPr>
          <w:rFonts w:ascii="Arial" w:cs="Arial" w:eastAsia="Arial" w:hAnsi="Arial"/>
          <w:sz w:val="22"/>
          <w:szCs w:val="22"/>
        </w:rPr>
        <w:t xml:space="preserve">: </w:t>
      </w:r>
      <w:r>
        <w:rPr>
          <w:rFonts w:ascii="Arial" w:cs="Arial" w:eastAsia="Arial" w:hAnsi="Arial"/>
          <w:b/>
          <w:bCs/>
          <w:sz w:val="22"/>
          <w:szCs w:val="22"/>
        </w:rPr>
        <w:t xml:space="preserve">4.0–50.3%</w:t>
      </w:r>
      <w:r>
        <w:rPr>
          <w:rFonts w:ascii="Arial" w:cs="Arial" w:eastAsia="Arial" w:hAnsi="Arial"/>
          <w:sz w:val="22"/>
          <w:szCs w:val="22"/>
        </w:rPr>
        <w:t xml:space="preserve"> (highly variable by chemotype)</w:t>
      </w:r>
    </w:p>
    <w:p>
      <w:pPr>
        <w:spacing w:after="120" w:line="300"/>
      </w:pPr>
      <w:r>
        <w:rPr>
          <w:rFonts w:ascii="Arial" w:cs="Arial" w:eastAsia="Arial" w:hAnsi="Arial"/>
          <w:b/>
          <w:bCs/>
          <w:sz w:val="22"/>
          <w:szCs w:val="22"/>
        </w:rPr>
        <w:t xml:space="preserve">Chemotypes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Low cineole</w:t>
      </w:r>
      <w:r>
        <w:rPr>
          <w:rFonts w:ascii="Arial" w:cs="Arial" w:eastAsia="Arial" w:hAnsi="Arial"/>
          <w:sz w:val="22"/>
          <w:szCs w:val="22"/>
        </w:rPr>
        <w:t xml:space="preserve">: 4.0–14.4%</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High cineole</w:t>
      </w:r>
      <w:r>
        <w:rPr>
          <w:rFonts w:ascii="Arial" w:cs="Arial" w:eastAsia="Arial" w:hAnsi="Arial"/>
          <w:sz w:val="22"/>
          <w:szCs w:val="22"/>
        </w:rPr>
        <w:t xml:space="preserve">: 39.5–50.3%</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Camphor-dominant</w:t>
      </w:r>
      <w:r>
        <w:rPr>
          <w:rFonts w:ascii="Arial" w:cs="Arial" w:eastAsia="Arial" w:hAnsi="Arial"/>
          <w:sz w:val="22"/>
          <w:szCs w:val="22"/>
        </w:rPr>
        <w:t xml:space="preserve">: Lower cineole, higher camphor</w:t>
      </w:r>
    </w:p>
    <w:p>
      <w:pPr>
        <w:spacing w:after="120" w:line="300"/>
      </w:pPr>
      <w:r>
        <w:rPr>
          <w:rFonts w:ascii="Arial" w:cs="Arial" w:eastAsia="Arial" w:hAnsi="Arial"/>
          <w:b/>
          <w:bCs/>
          <w:sz w:val="22"/>
          <w:szCs w:val="22"/>
        </w:rPr>
        <w:t xml:space="preserve">Secondary Constituents</w:t>
      </w:r>
      <w:r>
        <w:rPr>
          <w:rFonts w:ascii="Arial" w:cs="Arial" w:eastAsia="Arial" w:hAnsi="Arial"/>
          <w:sz w:val="22"/>
          <w:szCs w:val="22"/>
        </w:rPr>
        <w:t xml:space="preserve">: Camphor (0–20%), thujone (0–40% in some chemotypes; neurotoxic at high doses), borneol, α-pinene</w:t>
      </w:r>
    </w:p>
    <w:p>
      <w:pPr>
        <w:spacing w:after="120" w:line="300"/>
      </w:pPr>
      <w:r>
        <w:rPr>
          <w:rFonts w:ascii="Arial" w:cs="Arial" w:eastAsia="Arial" w:hAnsi="Arial"/>
          <w:b/>
          <w:bCs/>
          <w:sz w:val="22"/>
          <w:szCs w:val="22"/>
        </w:rPr>
        <w:t xml:space="preserve">ISO 9909:1997 Standard for Medicinal Use</w:t>
      </w:r>
      <w:r>
        <w:rPr>
          <w:rFonts w:ascii="Arial" w:cs="Arial" w:eastAsia="Arial" w:hAnsi="Arial"/>
          <w:sz w:val="22"/>
          <w:szCs w:val="22"/>
        </w:rPr>
        <w:t xml:space="preserve">: 5.5–13.0% 1,8-cineole</w:t>
      </w:r>
    </w:p>
    <w:p>
      <w:pPr>
        <w:spacing w:after="120" w:line="300"/>
      </w:pPr>
      <w:r>
        <w:rPr>
          <w:rFonts w:ascii="Arial" w:cs="Arial" w:eastAsia="Arial" w:hAnsi="Arial"/>
          <w:b/>
          <w:bCs/>
          <w:sz w:val="22"/>
          <w:szCs w:val="22"/>
        </w:rPr>
        <w:t xml:space="preserve">Note on Thujone</w:t>
      </w:r>
      <w:r>
        <w:rPr>
          <w:rFonts w:ascii="Arial" w:cs="Arial" w:eastAsia="Arial" w:hAnsi="Arial"/>
          <w:sz w:val="22"/>
          <w:szCs w:val="22"/>
        </w:rPr>
        <w:t xml:space="preserve">: Some sage oils contain neurotoxic thujone (banned in some applications); high-cineole chemotypes typically have lower thujone</w:t>
      </w:r>
    </w:p>
    <w:p>
      <w:pPr>
        <w:spacing w:after="120" w:line="300"/>
      </w:pPr>
      <w:r>
        <w:rPr>
          <w:rFonts w:ascii="Arial" w:cs="Arial" w:eastAsia="Arial" w:hAnsi="Arial"/>
          <w:b/>
          <w:bCs/>
          <w:sz w:val="22"/>
          <w:szCs w:val="22"/>
        </w:rPr>
        <w:t xml:space="preserve">Seasonal &amp; Environmental Variation</w:t>
      </w:r>
      <w:r>
        <w:rPr>
          <w:rFonts w:ascii="Arial" w:cs="Arial" w:eastAsia="Arial" w:hAnsi="Arial"/>
          <w:sz w:val="22"/>
          <w:szCs w:val="22"/>
        </w:rPr>
        <w:t xml:space="preserve">: Essential oil composition varies with harvest season, altitude, and climate</w:t>
      </w:r>
    </w:p>
    <w:p>
      <w:pPr>
        <w:spacing w:after="120" w:line="300"/>
      </w:pPr>
      <w:r>
        <w:rPr>
          <w:rFonts w:ascii="Arial" w:cs="Arial" w:eastAsia="Arial" w:hAnsi="Arial"/>
          <w:b/>
          <w:bCs/>
          <w:sz w:val="22"/>
          <w:szCs w:val="22"/>
        </w:rPr>
        <w:t xml:space="preserve">Traditional Use</w:t>
      </w:r>
      <w:r>
        <w:rPr>
          <w:rFonts w:ascii="Arial" w:cs="Arial" w:eastAsia="Arial" w:hAnsi="Arial"/>
          <w:sz w:val="22"/>
          <w:szCs w:val="22"/>
        </w:rPr>
        <w:t xml:space="preserve">: European herbalism, culinary applications, respiratory and digestive support</w:t>
      </w:r>
    </w:p>
    <w:p>
      <w:pPr>
        <w:spacing w:after="120" w:line="300"/>
      </w:pPr>
      <w:r>
        <w:rPr>
          <w:rFonts w:ascii="Arial" w:cs="Arial" w:eastAsia="Arial" w:hAnsi="Arial"/>
          <w:b/>
          <w:bCs/>
          <w:sz w:val="22"/>
          <w:szCs w:val="22"/>
        </w:rPr>
        <w:t xml:space="preserve">Pre-Loading Use</w:t>
      </w:r>
      <w:r>
        <w:rPr>
          <w:rFonts w:ascii="Arial" w:cs="Arial" w:eastAsia="Arial" w:hAnsi="Arial"/>
          <w:sz w:val="22"/>
          <w:szCs w:val="22"/>
        </w:rPr>
        <w:t xml:space="preserve">: Sage offers diverse chemotypes; select </w:t>
      </w:r>
      <w:r>
        <w:rPr>
          <w:rFonts w:ascii="Arial" w:cs="Arial" w:eastAsia="Arial" w:hAnsi="Arial"/>
          <w:b/>
          <w:bCs/>
          <w:sz w:val="22"/>
          <w:szCs w:val="22"/>
        </w:rPr>
        <w:t xml:space="preserve">high-cineole, low-thujone</w:t>
      </w:r>
      <w:r>
        <w:rPr>
          <w:rFonts w:ascii="Arial" w:cs="Arial" w:eastAsia="Arial" w:hAnsi="Arial"/>
          <w:sz w:val="22"/>
          <w:szCs w:val="22"/>
        </w:rPr>
        <w:t xml:space="preserve"> varieties for pre-loading. Useful for strains with sage or herbal notes.</w:t>
      </w:r>
    </w:p>
    <w:p>
      <w:pPr>
        <w:spacing w:after="120" w:line="300"/>
      </w:pPr>
      <w:r>
        <w:rPr>
          <w:rFonts w:ascii="Arial" w:cs="Arial" w:eastAsia="Arial" w:hAnsi="Arial"/>
          <w:b/>
          <w:bCs/>
          <w:sz w:val="22"/>
          <w:szCs w:val="22"/>
        </w:rPr>
        <w:t xml:space="preserve">Sources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[Essential Oil of Common Sage - PMC](https://pmc.ncbi.nlm.nih.gov/articles/PMC3809930/)</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[Salvia officinalis L. Essential Oil: Characterization and Antioxidant Properties - PMC](https://pmc.ncbi.nlm.nih.gov/articles/PMC9137537/)</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[The Chemotaxonomy of Common Sage - PMC](https://pmc.ncbi.nlm.nih.gov/articles/PMC5622382/)</w:t>
      </w:r>
    </w:p>
    <w:p>
      <w:pPr>
        <w:pStyle w:val="Heading2"/>
        <w:spacing w:after="120" w:before="240"/>
      </w:pPr>
      <w:r>
        <w:rPr>
          <w:rFonts w:ascii="Arial" w:cs="Arial" w:eastAsia="Arial" w:hAnsi="Arial"/>
          <w:b/>
          <w:bCs/>
          <w:color w:val="333333"/>
          <w:sz w:val="26"/>
          <w:szCs w:val="26"/>
        </w:rPr>
        <w:t xml:space="preserve">6.6 Cardamom (Zingiberaceae)</w:t>
      </w:r>
    </w:p>
    <w:p>
      <w:pPr>
        <w:spacing w:after="120" w:line="300"/>
      </w:pPr>
      <w:r>
        <w:rPr>
          <w:rFonts w:ascii="Arial" w:cs="Arial" w:eastAsia="Arial" w:hAnsi="Arial"/>
          <w:b/>
          <w:bCs/>
          <w:sz w:val="22"/>
          <w:szCs w:val="22"/>
        </w:rPr>
        <w:t xml:space="preserve">Botanical Names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*Elettaria cardamomum* (green cardamom; Ela in Sanskrit/Ayurveda)</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*Amomum subulatum* (black cardamom; Badi Elaichi)</w:t>
      </w:r>
    </w:p>
    <w:p>
      <w:pPr>
        <w:spacing w:after="120" w:line="300"/>
      </w:pPr>
      <w:r>
        <w:rPr>
          <w:rFonts w:ascii="Arial" w:cs="Arial" w:eastAsia="Arial" w:hAnsi="Arial"/>
          <w:b/>
          <w:bCs/>
          <w:sz w:val="22"/>
          <w:szCs w:val="22"/>
        </w:rPr>
        <w:t xml:space="preserve">1,8-Cineole Content</w:t>
      </w:r>
      <w:r>
        <w:rPr>
          <w:rFonts w:ascii="Arial" w:cs="Arial" w:eastAsia="Arial" w:hAnsi="Arial"/>
          <w:sz w:val="22"/>
          <w:szCs w:val="22"/>
        </w:rPr>
        <w:t xml:space="preserve">: </w:t>
      </w:r>
      <w:r>
        <w:rPr>
          <w:rFonts w:ascii="Arial" w:cs="Arial" w:eastAsia="Arial" w:hAnsi="Arial"/>
          <w:b/>
          <w:bCs/>
          <w:sz w:val="22"/>
          <w:szCs w:val="22"/>
        </w:rPr>
        <w:t xml:space="preserve">30–73.27%</w:t>
      </w:r>
      <w:r>
        <w:rPr>
          <w:rFonts w:ascii="Arial" w:cs="Arial" w:eastAsia="Arial" w:hAnsi="Arial"/>
          <w:sz w:val="22"/>
          <w:szCs w:val="22"/>
        </w:rPr>
        <w:t xml:space="preserve"> (green cardamom ranges 40–60%; black cardamom can reach 73.27%)</w:t>
      </w:r>
    </w:p>
    <w:p>
      <w:pPr>
        <w:spacing w:after="120" w:line="300"/>
      </w:pPr>
      <w:r>
        <w:rPr>
          <w:rFonts w:ascii="Arial" w:cs="Arial" w:eastAsia="Arial" w:hAnsi="Arial"/>
          <w:b/>
          <w:bCs/>
          <w:sz w:val="22"/>
          <w:szCs w:val="22"/>
        </w:rPr>
        <w:t xml:space="preserve">Secondary Constituents</w:t>
      </w:r>
      <w:r>
        <w:rPr>
          <w:rFonts w:ascii="Arial" w:cs="Arial" w:eastAsia="Arial" w:hAnsi="Arial"/>
          <w:sz w:val="22"/>
          <w:szCs w:val="22"/>
        </w:rPr>
        <w:t xml:space="preserve">: α-terpineol (3–4%), limonene (4–5%), myrcene, sabinene</w:t>
      </w:r>
    </w:p>
    <w:p>
      <w:pPr>
        <w:spacing w:after="120" w:line="300"/>
      </w:pPr>
      <w:r>
        <w:rPr>
          <w:rFonts w:ascii="Arial" w:cs="Arial" w:eastAsia="Arial" w:hAnsi="Arial"/>
          <w:b/>
          <w:bCs/>
          <w:sz w:val="22"/>
          <w:szCs w:val="22"/>
        </w:rPr>
        <w:t xml:space="preserve">Essential Oil Yield</w:t>
      </w:r>
      <w:r>
        <w:rPr>
          <w:rFonts w:ascii="Arial" w:cs="Arial" w:eastAsia="Arial" w:hAnsi="Arial"/>
          <w:sz w:val="22"/>
          <w:szCs w:val="22"/>
        </w:rPr>
        <w:t xml:space="preserve">: ~7–10% of cardamom seeds (very rich)</w:t>
      </w:r>
    </w:p>
    <w:p>
      <w:pPr>
        <w:spacing w:after="120" w:line="300"/>
      </w:pPr>
      <w:r>
        <w:rPr>
          <w:rFonts w:ascii="Arial" w:cs="Arial" w:eastAsia="Arial" w:hAnsi="Arial"/>
          <w:b/>
          <w:bCs/>
          <w:sz w:val="22"/>
          <w:szCs w:val="22"/>
        </w:rPr>
        <w:t xml:space="preserve">Ayurvedic Classification</w:t>
      </w:r>
      <w:r>
        <w:rPr>
          <w:rFonts w:ascii="Arial" w:cs="Arial" w:eastAsia="Arial" w:hAnsi="Arial"/>
          <w:sz w:val="22"/>
          <w:szCs w:val="22"/>
        </w:rPr>
        <w:t xml:space="preserve">: Warming, digestive, respiratory-supportive; used for digestive upset, asthma, cough</w:t>
      </w:r>
    </w:p>
    <w:p>
      <w:pPr>
        <w:spacing w:after="120" w:line="300"/>
      </w:pPr>
      <w:r>
        <w:rPr>
          <w:rFonts w:ascii="Arial" w:cs="Arial" w:eastAsia="Arial" w:hAnsi="Arial"/>
          <w:b/>
          <w:bCs/>
          <w:sz w:val="22"/>
          <w:szCs w:val="22"/>
        </w:rPr>
        <w:t xml:space="preserve">Culinary Use</w:t>
      </w:r>
      <w:r>
        <w:rPr>
          <w:rFonts w:ascii="Arial" w:cs="Arial" w:eastAsia="Arial" w:hAnsi="Arial"/>
          <w:sz w:val="22"/>
          <w:szCs w:val="22"/>
        </w:rPr>
        <w:t xml:space="preserve">: Indian cuisine, Middle Eastern applications, Scandinavian baking, chai tea, cocktails</w:t>
      </w:r>
    </w:p>
    <w:p>
      <w:pPr>
        <w:spacing w:after="120" w:line="300"/>
      </w:pPr>
      <w:r>
        <w:rPr>
          <w:rFonts w:ascii="Arial" w:cs="Arial" w:eastAsia="Arial" w:hAnsi="Arial"/>
          <w:b/>
          <w:bCs/>
          <w:sz w:val="22"/>
          <w:szCs w:val="22"/>
        </w:rPr>
        <w:t xml:space="preserve">Taste Profile</w:t>
      </w:r>
      <w:r>
        <w:rPr>
          <w:rFonts w:ascii="Arial" w:cs="Arial" w:eastAsia="Arial" w:hAnsi="Arial"/>
          <w:sz w:val="22"/>
          <w:szCs w:val="22"/>
        </w:rPr>
        <w:t xml:space="preserve">: Warm, spicy, slightly sweet, cooling undertone</w:t>
      </w:r>
    </w:p>
    <w:p>
      <w:pPr>
        <w:spacing w:after="120" w:line="300"/>
      </w:pPr>
      <w:r>
        <w:rPr>
          <w:rFonts w:ascii="Arial" w:cs="Arial" w:eastAsia="Arial" w:hAnsi="Arial"/>
          <w:b/>
          <w:bCs/>
          <w:sz w:val="22"/>
          <w:szCs w:val="22"/>
        </w:rPr>
        <w:t xml:space="preserve">Pre-Loading Advantages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High cineole content</w:t>
      </w:r>
      <w:r>
        <w:rPr>
          <w:rFonts w:ascii="Arial" w:cs="Arial" w:eastAsia="Arial" w:hAnsi="Arial"/>
          <w:sz w:val="22"/>
          <w:szCs w:val="22"/>
        </w:rPr>
        <w:t xml:space="preserve"> (40–73%) rivals eucalyptus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Culinary familiarity</w:t>
      </w:r>
      <w:r>
        <w:rPr>
          <w:rFonts w:ascii="Arial" w:cs="Arial" w:eastAsia="Arial" w:hAnsi="Arial"/>
          <w:sz w:val="22"/>
          <w:szCs w:val="22"/>
        </w:rPr>
        <w:t xml:space="preserve"> — less "medicinal" aroma than pure eucalyptus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Warm spice notes</w:t>
      </w:r>
      <w:r>
        <w:rPr>
          <w:rFonts w:ascii="Arial" w:cs="Arial" w:eastAsia="Arial" w:hAnsi="Arial"/>
          <w:sz w:val="22"/>
          <w:szCs w:val="22"/>
        </w:rPr>
        <w:t xml:space="preserve"> complement certain cannabis strains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Ayurvedic precedent</w:t>
      </w:r>
      <w:r>
        <w:rPr>
          <w:rFonts w:ascii="Arial" w:cs="Arial" w:eastAsia="Arial" w:hAnsi="Arial"/>
          <w:sz w:val="22"/>
          <w:szCs w:val="22"/>
        </w:rPr>
        <w:t xml:space="preserve"> for respiratory/cognitive uses</w:t>
      </w:r>
    </w:p>
    <w:p>
      <w:pPr>
        <w:spacing w:after="120" w:line="300"/>
      </w:pPr>
      <w:r>
        <w:rPr>
          <w:rFonts w:ascii="Arial" w:cs="Arial" w:eastAsia="Arial" w:hAnsi="Arial"/>
          <w:b/>
          <w:bCs/>
          <w:sz w:val="22"/>
          <w:szCs w:val="22"/>
        </w:rPr>
        <w:t xml:space="preserve">Pre-Loading Application</w:t>
      </w:r>
      <w:r>
        <w:rPr>
          <w:rFonts w:ascii="Arial" w:cs="Arial" w:eastAsia="Arial" w:hAnsi="Arial"/>
          <w:sz w:val="22"/>
          <w:szCs w:val="22"/>
        </w:rPr>
        <w:t xml:space="preserve">: Cardamom is </w:t>
      </w:r>
      <w:r>
        <w:rPr>
          <w:rFonts w:ascii="Arial" w:cs="Arial" w:eastAsia="Arial" w:hAnsi="Arial"/>
          <w:b/>
          <w:bCs/>
          <w:sz w:val="22"/>
          <w:szCs w:val="22"/>
        </w:rPr>
        <w:t xml:space="preserve">excellent for "gourmet" pre-loading blends</w:t>
      </w:r>
      <w:r>
        <w:rPr>
          <w:rFonts w:ascii="Arial" w:cs="Arial" w:eastAsia="Arial" w:hAnsi="Arial"/>
          <w:sz w:val="22"/>
          <w:szCs w:val="22"/>
        </w:rPr>
        <w:t xml:space="preserve">, especially for strains with spice/warmth notes. The digestive benefits align well with post-cannabis consumption.</w:t>
      </w:r>
    </w:p>
    <w:p>
      <w:pPr>
        <w:spacing w:after="120" w:line="300"/>
      </w:pPr>
      <w:r>
        <w:rPr>
          <w:rFonts w:ascii="Arial" w:cs="Arial" w:eastAsia="Arial" w:hAnsi="Arial"/>
          <w:b/>
          <w:bCs/>
          <w:sz w:val="22"/>
          <w:szCs w:val="22"/>
        </w:rPr>
        <w:t xml:space="preserve">Sources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 8-Cineole: A predominant component in the essential oil of large cardamom - ResearchGate](https://www.researchgate.net/publication/254258966_1_8-Cineole_A_predominant_component_in_the_essential_oil_of_large_cardamom_Amomum_subulatum_Roxb)</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[Elettaria cardamomum (Ela) – Benefits, Uses &amp; Ayurveda Facts](https://ask-ayurveda.com/wiki/article/4354-elettaria-cardamomum--ela-cardamom)</w:t>
      </w:r>
    </w:p>
    <w:p>
      <w:pPr>
        <w:pStyle w:val="Heading2"/>
        <w:spacing w:after="120" w:before="240"/>
      </w:pPr>
      <w:r>
        <w:rPr>
          <w:rFonts w:ascii="Arial" w:cs="Arial" w:eastAsia="Arial" w:hAnsi="Arial"/>
          <w:b/>
          <w:bCs/>
          <w:color w:val="333333"/>
          <w:sz w:val="26"/>
          <w:szCs w:val="26"/>
        </w:rPr>
        <w:t xml:space="preserve">6.7 Mugwort (Asteraceae)</w:t>
      </w:r>
    </w:p>
    <w:p>
      <w:pPr>
        <w:spacing w:after="120" w:line="300"/>
      </w:pPr>
      <w:r>
        <w:rPr>
          <w:rFonts w:ascii="Arial" w:cs="Arial" w:eastAsia="Arial" w:hAnsi="Arial"/>
          <w:b/>
          <w:bCs/>
          <w:sz w:val="22"/>
          <w:szCs w:val="22"/>
        </w:rPr>
        <w:t xml:space="preserve">Botanical Name</w:t>
      </w:r>
      <w:r>
        <w:rPr>
          <w:rFonts w:ascii="Arial" w:cs="Arial" w:eastAsia="Arial" w:hAnsi="Arial"/>
          <w:sz w:val="22"/>
          <w:szCs w:val="22"/>
        </w:rPr>
        <w:t xml:space="preserve">: *Artemisia vulgaris*</w:t>
      </w:r>
    </w:p>
    <w:p>
      <w:pPr>
        <w:spacing w:after="120" w:line="300"/>
      </w:pPr>
      <w:r>
        <w:rPr>
          <w:rFonts w:ascii="Arial" w:cs="Arial" w:eastAsia="Arial" w:hAnsi="Arial"/>
          <w:b/>
          <w:bCs/>
          <w:sz w:val="22"/>
          <w:szCs w:val="22"/>
        </w:rPr>
        <w:t xml:space="preserve">1,8-Cineole Content</w:t>
      </w:r>
      <w:r>
        <w:rPr>
          <w:rFonts w:ascii="Arial" w:cs="Arial" w:eastAsia="Arial" w:hAnsi="Arial"/>
          <w:sz w:val="22"/>
          <w:szCs w:val="22"/>
        </w:rPr>
        <w:t xml:space="preserve">: </w:t>
      </w:r>
      <w:r>
        <w:rPr>
          <w:rFonts w:ascii="Arial" w:cs="Arial" w:eastAsia="Arial" w:hAnsi="Arial"/>
          <w:b/>
          <w:bCs/>
          <w:sz w:val="22"/>
          <w:szCs w:val="22"/>
        </w:rPr>
        <w:t xml:space="preserve">6.9–28.9%</w:t>
      </w:r>
      <w:r>
        <w:rPr>
          <w:rFonts w:ascii="Arial" w:cs="Arial" w:eastAsia="Arial" w:hAnsi="Arial"/>
          <w:sz w:val="22"/>
          <w:szCs w:val="22"/>
        </w:rPr>
        <w:t xml:space="preserve"> (highly geographically variable)</w:t>
      </w:r>
    </w:p>
    <w:p>
      <w:pPr>
        <w:spacing w:after="120" w:line="300"/>
      </w:pPr>
      <w:r>
        <w:rPr>
          <w:rFonts w:ascii="Arial" w:cs="Arial" w:eastAsia="Arial" w:hAnsi="Arial"/>
          <w:b/>
          <w:bCs/>
          <w:sz w:val="22"/>
          <w:szCs w:val="22"/>
        </w:rPr>
        <w:t xml:space="preserve">Geographic Range</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Turkish mugwort: 8.47%</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Egyptian mugwort: 28.9% (highest reported)</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Croatian mugwort: 11.7%</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Iranian mugwort: 18.64%</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Lithuanian mugwort: 6.9–17.6%</w:t>
      </w:r>
    </w:p>
    <w:p>
      <w:pPr>
        <w:spacing w:after="120" w:line="300"/>
      </w:pPr>
      <w:r>
        <w:rPr>
          <w:rFonts w:ascii="Arial" w:cs="Arial" w:eastAsia="Arial" w:hAnsi="Arial"/>
          <w:b/>
          <w:bCs/>
          <w:sz w:val="22"/>
          <w:szCs w:val="22"/>
        </w:rPr>
        <w:t xml:space="preserve">Main Constituents</w:t>
      </w:r>
      <w:r>
        <w:rPr>
          <w:rFonts w:ascii="Arial" w:cs="Arial" w:eastAsia="Arial" w:hAnsi="Arial"/>
          <w:sz w:val="22"/>
          <w:szCs w:val="22"/>
        </w:rPr>
        <w:t xml:space="preserve">: β-pinene, α-pinene, camphor (often &gt;15%), 1,8-cineole</w:t>
      </w:r>
    </w:p>
    <w:p>
      <w:pPr>
        <w:spacing w:after="120" w:line="300"/>
      </w:pPr>
      <w:r>
        <w:rPr>
          <w:rFonts w:ascii="Arial" w:cs="Arial" w:eastAsia="Arial" w:hAnsi="Arial"/>
          <w:b/>
          <w:bCs/>
          <w:sz w:val="22"/>
          <w:szCs w:val="22"/>
        </w:rPr>
        <w:t xml:space="preserve">Note</w:t>
      </w:r>
      <w:r>
        <w:rPr>
          <w:rFonts w:ascii="Arial" w:cs="Arial" w:eastAsia="Arial" w:hAnsi="Arial"/>
          <w:sz w:val="22"/>
          <w:szCs w:val="22"/>
        </w:rPr>
        <w:t xml:space="preserve">: 1,8-cineole is typically one of several major compounds, not the dominant component</w:t>
      </w:r>
    </w:p>
    <w:p>
      <w:pPr>
        <w:spacing w:after="120" w:line="300"/>
      </w:pPr>
      <w:r>
        <w:rPr>
          <w:rFonts w:ascii="Arial" w:cs="Arial" w:eastAsia="Arial" w:hAnsi="Arial"/>
          <w:b/>
          <w:bCs/>
          <w:sz w:val="22"/>
          <w:szCs w:val="22"/>
        </w:rPr>
        <w:t xml:space="preserve">Traditional Use</w:t>
      </w:r>
      <w:r>
        <w:rPr>
          <w:rFonts w:ascii="Arial" w:cs="Arial" w:eastAsia="Arial" w:hAnsi="Arial"/>
          <w:sz w:val="22"/>
          <w:szCs w:val="22"/>
        </w:rPr>
        <w:t xml:space="preserve">: Chinese medicine (moxa/moxibustion), European herbalism, dream enhancement folklore</w:t>
      </w:r>
    </w:p>
    <w:p>
      <w:pPr>
        <w:spacing w:after="120" w:line="300"/>
      </w:pPr>
      <w:r>
        <w:rPr>
          <w:rFonts w:ascii="Arial" w:cs="Arial" w:eastAsia="Arial" w:hAnsi="Arial"/>
          <w:b/>
          <w:bCs/>
          <w:sz w:val="22"/>
          <w:szCs w:val="22"/>
        </w:rPr>
        <w:t xml:space="preserve">Medicinal Properties</w:t>
      </w:r>
      <w:r>
        <w:rPr>
          <w:rFonts w:ascii="Arial" w:cs="Arial" w:eastAsia="Arial" w:hAnsi="Arial"/>
          <w:sz w:val="22"/>
          <w:szCs w:val="22"/>
        </w:rPr>
        <w:t xml:space="preserve">: Antimicrobial, antispasmodic, digestive support, fever reduction</w:t>
      </w:r>
    </w:p>
    <w:p>
      <w:pPr>
        <w:spacing w:after="120" w:line="300"/>
      </w:pPr>
      <w:r>
        <w:rPr>
          <w:rFonts w:ascii="Arial" w:cs="Arial" w:eastAsia="Arial" w:hAnsi="Arial"/>
          <w:b/>
          <w:bCs/>
          <w:sz w:val="22"/>
          <w:szCs w:val="22"/>
        </w:rPr>
        <w:t xml:space="preserve">Pre-Loading Suitability</w:t>
      </w:r>
      <w:r>
        <w:rPr>
          <w:rFonts w:ascii="Arial" w:cs="Arial" w:eastAsia="Arial" w:hAnsi="Arial"/>
          <w:sz w:val="22"/>
          <w:szCs w:val="22"/>
        </w:rPr>
        <w:t xml:space="preserve">: Mugwort is </w:t>
      </w:r>
      <w:r>
        <w:rPr>
          <w:rFonts w:ascii="Arial" w:cs="Arial" w:eastAsia="Arial" w:hAnsi="Arial"/>
          <w:b/>
          <w:bCs/>
          <w:sz w:val="22"/>
          <w:szCs w:val="22"/>
        </w:rPr>
        <w:t xml:space="preserve">secondary choice</w:t>
      </w:r>
      <w:r>
        <w:rPr>
          <w:rFonts w:ascii="Arial" w:cs="Arial" w:eastAsia="Arial" w:hAnsi="Arial"/>
          <w:sz w:val="22"/>
          <w:szCs w:val="22"/>
        </w:rPr>
        <w:t xml:space="preserve"> for cineole pre-loading due to variable and moderate concentrations. However, it pairs well with other botanicals and offers additional herbal/medicinal benefits. Cultural significance in dream enhancement may have psychological value in pre-loading context.</w:t>
      </w:r>
    </w:p>
    <w:p>
      <w:pPr>
        <w:spacing w:after="120" w:line="300"/>
      </w:pPr>
      <w:r>
        <w:rPr>
          <w:rFonts w:ascii="Arial" w:cs="Arial" w:eastAsia="Arial" w:hAnsi="Arial"/>
          <w:b/>
          <w:bCs/>
          <w:sz w:val="22"/>
          <w:szCs w:val="22"/>
        </w:rPr>
        <w:t xml:space="preserve">Sources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[Mugwort (Artemisia vulgaris L.) essential oils - Journal of Essential Oil Research](https://www.tandfonline.com/doi/full/10.1080/10412905.2020.1857854)</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[Compositional Variability and Toxic Activity of Mugwort - PubMed](https://pubmed.ncbi.nlm.nih.gov/30807041/)</w:t>
      </w:r>
    </w:p>
    <w:p>
      <w:pPr>
        <w:pStyle w:val="Heading2"/>
        <w:spacing w:after="120" w:before="240"/>
      </w:pPr>
      <w:r>
        <w:rPr>
          <w:rFonts w:ascii="Arial" w:cs="Arial" w:eastAsia="Arial" w:hAnsi="Arial"/>
          <w:b/>
          <w:bCs/>
          <w:color w:val="333333"/>
          <w:sz w:val="26"/>
          <w:szCs w:val="26"/>
        </w:rPr>
        <w:t xml:space="preserve">6.8 Sweet Basil (Lamiaceae)</w:t>
      </w:r>
    </w:p>
    <w:p>
      <w:pPr>
        <w:spacing w:after="120" w:line="300"/>
      </w:pPr>
      <w:r>
        <w:rPr>
          <w:rFonts w:ascii="Arial" w:cs="Arial" w:eastAsia="Arial" w:hAnsi="Arial"/>
          <w:b/>
          <w:bCs/>
          <w:sz w:val="22"/>
          <w:szCs w:val="22"/>
        </w:rPr>
        <w:t xml:space="preserve">Botanical Name</w:t>
      </w:r>
      <w:r>
        <w:rPr>
          <w:rFonts w:ascii="Arial" w:cs="Arial" w:eastAsia="Arial" w:hAnsi="Arial"/>
          <w:sz w:val="22"/>
          <w:szCs w:val="22"/>
        </w:rPr>
        <w:t xml:space="preserve">: *Ocimum basilicum*</w:t>
      </w:r>
    </w:p>
    <w:p>
      <w:pPr>
        <w:spacing w:after="120" w:line="300"/>
      </w:pPr>
      <w:r>
        <w:rPr>
          <w:rFonts w:ascii="Arial" w:cs="Arial" w:eastAsia="Arial" w:hAnsi="Arial"/>
          <w:b/>
          <w:bCs/>
          <w:sz w:val="22"/>
          <w:szCs w:val="22"/>
        </w:rPr>
        <w:t xml:space="preserve">1,8-Cineole Content</w:t>
      </w:r>
      <w:r>
        <w:rPr>
          <w:rFonts w:ascii="Arial" w:cs="Arial" w:eastAsia="Arial" w:hAnsi="Arial"/>
          <w:sz w:val="22"/>
          <w:szCs w:val="22"/>
        </w:rPr>
        <w:t xml:space="preserve">: </w:t>
      </w:r>
      <w:r>
        <w:rPr>
          <w:rFonts w:ascii="Arial" w:cs="Arial" w:eastAsia="Arial" w:hAnsi="Arial"/>
          <w:b/>
          <w:bCs/>
          <w:sz w:val="22"/>
          <w:szCs w:val="22"/>
        </w:rPr>
        <w:t xml:space="preserve">Variable, typically low to moderate</w:t>
      </w:r>
      <w:r>
        <w:rPr>
          <w:rFonts w:ascii="Arial" w:cs="Arial" w:eastAsia="Arial" w:hAnsi="Arial"/>
          <w:sz w:val="22"/>
          <w:szCs w:val="22"/>
        </w:rPr>
        <w:t xml:space="preserve"> (0.6–20.1% depending on light conditions and cultivar)</w:t>
      </w:r>
    </w:p>
    <w:p>
      <w:pPr>
        <w:spacing w:after="120" w:line="300"/>
      </w:pPr>
      <w:r>
        <w:rPr>
          <w:rFonts w:ascii="Arial" w:cs="Arial" w:eastAsia="Arial" w:hAnsi="Arial"/>
          <w:b/>
          <w:bCs/>
          <w:sz w:val="22"/>
          <w:szCs w:val="22"/>
        </w:rPr>
        <w:t xml:space="preserve">Common Basil Profiles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Standard sweet basil: 1–5% 1,8-cineole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High-cineole cultivars: 10–20% 1,8-cineole</w:t>
      </w:r>
    </w:p>
    <w:p>
      <w:pPr>
        <w:spacing w:after="120" w:line="300"/>
      </w:pPr>
      <w:r>
        <w:rPr>
          <w:rFonts w:ascii="Arial" w:cs="Arial" w:eastAsia="Arial" w:hAnsi="Arial"/>
          <w:b/>
          <w:bCs/>
          <w:sz w:val="22"/>
          <w:szCs w:val="22"/>
        </w:rPr>
        <w:t xml:space="preserve">Main Constituent</w:t>
      </w:r>
      <w:r>
        <w:rPr>
          <w:rFonts w:ascii="Arial" w:cs="Arial" w:eastAsia="Arial" w:hAnsi="Arial"/>
          <w:sz w:val="22"/>
          <w:szCs w:val="22"/>
        </w:rPr>
        <w:t xml:space="preserve">: Linalool (40–55%), methyl chavicol (estragole; 5–15%), 1,8-cineole</w:t>
      </w:r>
    </w:p>
    <w:p>
      <w:pPr>
        <w:spacing w:after="120" w:line="300"/>
      </w:pPr>
      <w:r>
        <w:rPr>
          <w:rFonts w:ascii="Arial" w:cs="Arial" w:eastAsia="Arial" w:hAnsi="Arial"/>
          <w:b/>
          <w:bCs/>
          <w:sz w:val="22"/>
          <w:szCs w:val="22"/>
        </w:rPr>
        <w:t xml:space="preserve">Note</w:t>
      </w:r>
      <w:r>
        <w:rPr>
          <w:rFonts w:ascii="Arial" w:cs="Arial" w:eastAsia="Arial" w:hAnsi="Arial"/>
          <w:sz w:val="22"/>
          <w:szCs w:val="22"/>
        </w:rPr>
        <w:t xml:space="preserve">: Sweet basil is linalool-dominant; cineole is secondary</w:t>
      </w:r>
    </w:p>
    <w:p>
      <w:pPr>
        <w:spacing w:after="120" w:line="300"/>
      </w:pPr>
      <w:r>
        <w:rPr>
          <w:rFonts w:ascii="Arial" w:cs="Arial" w:eastAsia="Arial" w:hAnsi="Arial"/>
          <w:b/>
          <w:bCs/>
          <w:sz w:val="22"/>
          <w:szCs w:val="22"/>
        </w:rPr>
        <w:t xml:space="preserve">Culinary Use</w:t>
      </w:r>
      <w:r>
        <w:rPr>
          <w:rFonts w:ascii="Arial" w:cs="Arial" w:eastAsia="Arial" w:hAnsi="Arial"/>
          <w:sz w:val="22"/>
          <w:szCs w:val="22"/>
        </w:rPr>
        <w:t xml:space="preserve">: Italian and Asian cuisines, pesto, fresh herb applications</w:t>
      </w:r>
    </w:p>
    <w:p>
      <w:pPr>
        <w:spacing w:after="120" w:line="300"/>
      </w:pPr>
      <w:r>
        <w:rPr>
          <w:rFonts w:ascii="Arial" w:cs="Arial" w:eastAsia="Arial" w:hAnsi="Arial"/>
          <w:b/>
          <w:bCs/>
          <w:sz w:val="22"/>
          <w:szCs w:val="22"/>
        </w:rPr>
        <w:t xml:space="preserve">Pre-Loading Suitability</w:t>
      </w:r>
      <w:r>
        <w:rPr>
          <w:rFonts w:ascii="Arial" w:cs="Arial" w:eastAsia="Arial" w:hAnsi="Arial"/>
          <w:sz w:val="22"/>
          <w:szCs w:val="22"/>
        </w:rPr>
        <w:t xml:space="preserve">: </w:t>
      </w:r>
      <w:r>
        <w:rPr>
          <w:rFonts w:ascii="Arial" w:cs="Arial" w:eastAsia="Arial" w:hAnsi="Arial"/>
          <w:b/>
          <w:bCs/>
          <w:sz w:val="22"/>
          <w:szCs w:val="22"/>
        </w:rPr>
        <w:t xml:space="preserve">Not recommended as primary cineole source</w:t>
      </w:r>
      <w:r>
        <w:rPr>
          <w:rFonts w:ascii="Arial" w:cs="Arial" w:eastAsia="Arial" w:hAnsi="Arial"/>
          <w:sz w:val="22"/>
          <w:szCs w:val="22"/>
        </w:rPr>
        <w:t xml:space="preserve"> due to low-to-moderate 1,8-cineole content and linalool dominance. However, basil's familiar culinary profile may enhance pre-loading ritual for certain individuals.</w:t>
      </w:r>
    </w:p>
    <w:p>
      <w:pPr>
        <w:spacing w:after="120" w:line="300"/>
      </w:pPr>
      <w:r>
        <w:rPr>
          <w:rFonts w:ascii="Arial" w:cs="Arial" w:eastAsia="Arial" w:hAnsi="Arial"/>
          <w:b/>
          <w:bCs/>
          <w:sz w:val="22"/>
          <w:szCs w:val="22"/>
        </w:rPr>
        <w:t xml:space="preserve">Sources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[Improvement of Phenolic Compounds, Essential Oil Content - PMC](https://pmc.ncbi.nlm.nih.gov/articles/PMC6918393/)</w:t>
      </w:r>
    </w:p>
    <w:p>
      <w:pPr>
        <w:pStyle w:val="Heading2"/>
        <w:spacing w:after="120" w:before="240"/>
      </w:pPr>
      <w:r>
        <w:rPr>
          <w:rFonts w:ascii="Arial" w:cs="Arial" w:eastAsia="Arial" w:hAnsi="Arial"/>
          <w:b/>
          <w:bCs/>
          <w:color w:val="333333"/>
          <w:sz w:val="26"/>
          <w:szCs w:val="26"/>
        </w:rPr>
        <w:t xml:space="preserve">6.9 Summary: Cross-Botanical 1,8-Cineole Content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Botanical Source</w:t>
            </w:r>
          </w:p>
        </w:tc>
        <w:tc>
          <w:tcPr>
            <w:tcW w:type="dxa" w:w="234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1,8-Cineole %</w:t>
            </w:r>
          </w:p>
        </w:tc>
        <w:tc>
          <w:tcPr>
            <w:tcW w:type="dxa" w:w="234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Suitability for Pre-Loading</w:t>
            </w:r>
          </w:p>
        </w:tc>
        <w:tc>
          <w:tcPr>
            <w:tcW w:type="dxa" w:w="234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Eucalyptus globulus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70–90%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Optimal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Gold standard; strongest cineole source</w:t>
            </w:r>
          </w:p>
        </w:tc>
      </w:tr>
      <w:tr>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Rosemary ct. cineole</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40–55%</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 Optimal</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 α-pinene for dual cognitive benefit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Cardamom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40–73%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Excellent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Culinary appeal; warm spice notes</w:t>
            </w:r>
          </w:p>
        </w:tc>
      </w:tr>
      <w:tr>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Bay Laurel</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30–50%</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 Good</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Mediterranean culinary familiarity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Sage (high-cineole)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39–50%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Good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Variable chemotypes; select carefully</w:t>
            </w:r>
          </w:p>
        </w:tc>
      </w:tr>
      <w:tr>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Mugwort</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7–29%</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 Moderate</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Geographic variation; secondary choice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Tea Tree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Low</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Primary component is terpinen-4-ol</w:t>
            </w:r>
          </w:p>
        </w:tc>
      </w:tr>
      <w:tr>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Sweet Basil</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1–20%</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 Low</w:t>
            </w:r>
          </w:p>
        </w:tc>
        <w:tc>
          <w:tcPr>
            <w:tcW w:type="dxa" w:w="234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Linalool-dominant; not ideal</w:t>
            </w:r>
          </w:p>
        </w:tc>
      </w:tr>
    </w:tbl>
    <w:p>
      <w:pPr>
        <w:spacing w:after="120"/>
      </w:pP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838F"/>
          <w:sz w:val="30"/>
          <w:szCs w:val="30"/>
        </w:rPr>
        <w:t xml:space="preserve">7. Molecular Cousins</w:t>
      </w:r>
    </w:p>
    <w:p>
      <w:pPr>
        <w:pStyle w:val="Heading2"/>
        <w:spacing w:after="120" w:before="240"/>
      </w:pPr>
      <w:r>
        <w:rPr>
          <w:rFonts w:ascii="Arial" w:cs="Arial" w:eastAsia="Arial" w:hAnsi="Arial"/>
          <w:b/>
          <w:bCs/>
          <w:color w:val="333333"/>
          <w:sz w:val="26"/>
          <w:szCs w:val="26"/>
        </w:rPr>
        <w:t xml:space="preserve">7.1 1,4-Cineole (Rare Isomer)</w:t>
      </w:r>
    </w:p>
    <w:p>
      <w:pPr>
        <w:spacing w:after="120" w:line="300"/>
      </w:pPr>
      <w:r>
        <w:rPr>
          <w:rFonts w:ascii="Arial" w:cs="Arial" w:eastAsia="Arial" w:hAnsi="Arial"/>
          <w:b/>
          <w:bCs/>
          <w:sz w:val="22"/>
          <w:szCs w:val="22"/>
        </w:rPr>
        <w:t xml:space="preserve">IUPAC Name</w:t>
      </w:r>
      <w:r>
        <w:rPr>
          <w:rFonts w:ascii="Arial" w:cs="Arial" w:eastAsia="Arial" w:hAnsi="Arial"/>
          <w:sz w:val="22"/>
          <w:szCs w:val="22"/>
        </w:rPr>
        <w:t xml:space="preserve">: 1,4-Cineole (also: 4-isopropyl-1,3-cyclohexanediol dimethyl ether, p-menthane 1,4-epoxide)</w:t>
      </w:r>
    </w:p>
    <w:p>
      <w:pPr>
        <w:spacing w:after="120" w:line="300"/>
      </w:pPr>
      <w:r>
        <w:rPr>
          <w:rFonts w:ascii="Arial" w:cs="Arial" w:eastAsia="Arial" w:hAnsi="Arial"/>
          <w:b/>
          <w:bCs/>
          <w:sz w:val="22"/>
          <w:szCs w:val="22"/>
        </w:rPr>
        <w:t xml:space="preserve">CAS Number</w:t>
      </w:r>
      <w:r>
        <w:rPr>
          <w:rFonts w:ascii="Arial" w:cs="Arial" w:eastAsia="Arial" w:hAnsi="Arial"/>
          <w:sz w:val="22"/>
          <w:szCs w:val="22"/>
        </w:rPr>
        <w:t xml:space="preserve">: 470-67-7</w:t>
      </w:r>
    </w:p>
    <w:p>
      <w:pPr>
        <w:spacing w:after="120" w:line="300"/>
      </w:pPr>
      <w:r>
        <w:rPr>
          <w:rFonts w:ascii="Arial" w:cs="Arial" w:eastAsia="Arial" w:hAnsi="Arial"/>
          <w:b/>
          <w:bCs/>
          <w:sz w:val="22"/>
          <w:szCs w:val="22"/>
        </w:rPr>
        <w:t xml:space="preserve">Molecular Formula</w:t>
      </w:r>
      <w:r>
        <w:rPr>
          <w:rFonts w:ascii="Arial" w:cs="Arial" w:eastAsia="Arial" w:hAnsi="Arial"/>
          <w:sz w:val="22"/>
          <w:szCs w:val="22"/>
        </w:rPr>
        <w:t xml:space="preserve">: C₁₀H₁₈O (isomer of 1,8-cineole)</w:t>
      </w:r>
    </w:p>
    <w:p>
      <w:pPr>
        <w:spacing w:after="120" w:line="300"/>
      </w:pPr>
      <w:r>
        <w:rPr>
          <w:rFonts w:ascii="Arial" w:cs="Arial" w:eastAsia="Arial" w:hAnsi="Arial"/>
          <w:b/>
          <w:bCs/>
          <w:sz w:val="22"/>
          <w:szCs w:val="22"/>
        </w:rPr>
        <w:t xml:space="preserve">Structural Difference</w:t>
      </w:r>
      <w:r>
        <w:rPr>
          <w:rFonts w:ascii="Arial" w:cs="Arial" w:eastAsia="Arial" w:hAnsi="Arial"/>
          <w:sz w:val="22"/>
          <w:szCs w:val="22"/>
        </w:rPr>
        <w:t xml:space="preserve">: Ether bridge connects positions 1 and 4 (instead of 1 and 8)</w:t>
      </w:r>
    </w:p>
    <w:p>
      <w:pPr>
        <w:spacing w:after="120" w:line="300"/>
      </w:pPr>
      <w:r>
        <w:rPr>
          <w:rFonts w:ascii="Arial" w:cs="Arial" w:eastAsia="Arial" w:hAnsi="Arial"/>
          <w:b/>
          <w:bCs/>
          <w:sz w:val="22"/>
          <w:szCs w:val="22"/>
        </w:rPr>
        <w:t xml:space="preserve">Occurrence</w:t>
      </w:r>
      <w:r>
        <w:rPr>
          <w:rFonts w:ascii="Arial" w:cs="Arial" w:eastAsia="Arial" w:hAnsi="Arial"/>
          <w:sz w:val="22"/>
          <w:szCs w:val="22"/>
        </w:rPr>
        <w:t xml:space="preserve">: Found in same plant species as 1,8-cineole, but </w:t>
      </w:r>
      <w:r>
        <w:rPr>
          <w:rFonts w:ascii="Arial" w:cs="Arial" w:eastAsia="Arial" w:hAnsi="Arial"/>
          <w:b/>
          <w:bCs/>
          <w:sz w:val="22"/>
          <w:szCs w:val="22"/>
        </w:rPr>
        <w:t xml:space="preserve">usually in much lower concentrations</w:t>
      </w:r>
    </w:p>
    <w:p>
      <w:pPr>
        <w:spacing w:after="120" w:line="300"/>
      </w:pPr>
      <w:r>
        <w:rPr>
          <w:rFonts w:ascii="Arial" w:cs="Arial" w:eastAsia="Arial" w:hAnsi="Arial"/>
          <w:b/>
          <w:bCs/>
          <w:sz w:val="22"/>
          <w:szCs w:val="22"/>
        </w:rPr>
        <w:t xml:space="preserve">Relative Potency</w:t>
      </w:r>
      <w:r>
        <w:rPr>
          <w:rFonts w:ascii="Arial" w:cs="Arial" w:eastAsia="Arial" w:hAnsi="Arial"/>
          <w:sz w:val="22"/>
          <w:szCs w:val="22"/>
        </w:rPr>
        <w:t xml:space="preserve">: 1,4-Cineole shows </w:t>
      </w:r>
      <w:r>
        <w:rPr>
          <w:rFonts w:ascii="Arial" w:cs="Arial" w:eastAsia="Arial" w:hAnsi="Arial"/>
          <w:b/>
          <w:bCs/>
          <w:sz w:val="22"/>
          <w:szCs w:val="22"/>
        </w:rPr>
        <w:t xml:space="preserve">higher activity in some assays</w:t>
      </w:r>
      <w:r>
        <w:rPr>
          <w:rFonts w:ascii="Arial" w:cs="Arial" w:eastAsia="Arial" w:hAnsi="Arial"/>
          <w:sz w:val="22"/>
          <w:szCs w:val="22"/>
        </w:rPr>
        <w:t xml:space="preserve"> compared to 1,8-cineole (e.g., enzyme inhibition studies), suggesting it may be a more active analog despite rarity</w:t>
      </w:r>
    </w:p>
    <w:p>
      <w:pPr>
        <w:spacing w:after="120" w:line="300"/>
      </w:pPr>
      <w:r>
        <w:rPr>
          <w:rFonts w:ascii="Arial" w:cs="Arial" w:eastAsia="Arial" w:hAnsi="Arial"/>
          <w:b/>
          <w:bCs/>
          <w:sz w:val="22"/>
          <w:szCs w:val="22"/>
        </w:rPr>
        <w:t xml:space="preserve">Availability</w:t>
      </w:r>
      <w:r>
        <w:rPr>
          <w:rFonts w:ascii="Arial" w:cs="Arial" w:eastAsia="Arial" w:hAnsi="Arial"/>
          <w:sz w:val="22"/>
          <w:szCs w:val="22"/>
        </w:rPr>
        <w:t xml:space="preserve">: Not readily available commercially; primarily of research interest</w:t>
      </w:r>
    </w:p>
    <w:p>
      <w:pPr>
        <w:spacing w:after="120" w:line="300"/>
      </w:pPr>
      <w:r>
        <w:rPr>
          <w:rFonts w:ascii="Arial" w:cs="Arial" w:eastAsia="Arial" w:hAnsi="Arial"/>
          <w:b/>
          <w:bCs/>
          <w:sz w:val="22"/>
          <w:szCs w:val="22"/>
        </w:rPr>
        <w:t xml:space="preserve">Pre-Loading Relevance</w:t>
      </w:r>
      <w:r>
        <w:rPr>
          <w:rFonts w:ascii="Arial" w:cs="Arial" w:eastAsia="Arial" w:hAnsi="Arial"/>
          <w:sz w:val="22"/>
          <w:szCs w:val="22"/>
        </w:rPr>
        <w:t xml:space="preserve">: Minimal. The rarity of 1,4-cineole in botanical oils makes it impractical for pre-loading formulation. Monitor future research for potential synergistic effects if isolated sources become available.</w:t>
      </w:r>
    </w:p>
    <w:p>
      <w:pPr>
        <w:spacing w:after="120" w:line="300"/>
      </w:pPr>
      <w:r>
        <w:rPr>
          <w:rFonts w:ascii="Arial" w:cs="Arial" w:eastAsia="Arial" w:hAnsi="Arial"/>
          <w:b/>
          <w:bCs/>
          <w:sz w:val="22"/>
          <w:szCs w:val="22"/>
        </w:rPr>
        <w:t xml:space="preserve">Sources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[1,4-Cineole Overview - ScienceDirect Topics](https://www.sciencedirect.com/topics/chemistry/1-4-cineole)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[Synthesis of 1,8-cineole and 1,4-cineole by isomerization - ScienceDirect](https://www.sciencedirect.com/science/article/abs/pii/S1381116906009022)</w:t>
      </w:r>
    </w:p>
    <w:p>
      <w:pPr>
        <w:pStyle w:val="Heading2"/>
        <w:spacing w:after="120" w:before="240"/>
      </w:pPr>
      <w:r>
        <w:rPr>
          <w:rFonts w:ascii="Arial" w:cs="Arial" w:eastAsia="Arial" w:hAnsi="Arial"/>
          <w:b/>
          <w:bCs/>
          <w:color w:val="333333"/>
          <w:sz w:val="26"/>
          <w:szCs w:val="26"/>
        </w:rPr>
        <w:t xml:space="preserve">7.2 Camphor (Related Ketone)</w:t>
      </w:r>
    </w:p>
    <w:p>
      <w:pPr>
        <w:spacing w:after="120" w:line="300"/>
      </w:pPr>
      <w:r>
        <w:rPr>
          <w:rFonts w:ascii="Arial" w:cs="Arial" w:eastAsia="Arial" w:hAnsi="Arial"/>
          <w:b/>
          <w:bCs/>
          <w:sz w:val="22"/>
          <w:szCs w:val="22"/>
        </w:rPr>
        <w:t xml:space="preserve">IUPAC Name</w:t>
      </w:r>
      <w:r>
        <w:rPr>
          <w:rFonts w:ascii="Arial" w:cs="Arial" w:eastAsia="Arial" w:hAnsi="Arial"/>
          <w:sz w:val="22"/>
          <w:szCs w:val="22"/>
        </w:rPr>
        <w:t xml:space="preserve">: (1R)-2,2-Dimethyl-1-bicyclo[2.2.1]heptanone</w:t>
      </w:r>
    </w:p>
    <w:p>
      <w:pPr>
        <w:spacing w:after="120" w:line="300"/>
      </w:pPr>
      <w:r>
        <w:rPr>
          <w:rFonts w:ascii="Arial" w:cs="Arial" w:eastAsia="Arial" w:hAnsi="Arial"/>
          <w:b/>
          <w:bCs/>
          <w:sz w:val="22"/>
          <w:szCs w:val="22"/>
        </w:rPr>
        <w:t xml:space="preserve">CAS Number</w:t>
      </w:r>
      <w:r>
        <w:rPr>
          <w:rFonts w:ascii="Arial" w:cs="Arial" w:eastAsia="Arial" w:hAnsi="Arial"/>
          <w:sz w:val="22"/>
          <w:szCs w:val="22"/>
        </w:rPr>
        <w:t xml:space="preserve">: 76-22-2</w:t>
      </w:r>
    </w:p>
    <w:p>
      <w:pPr>
        <w:spacing w:after="120" w:line="300"/>
      </w:pPr>
      <w:r>
        <w:rPr>
          <w:rFonts w:ascii="Arial" w:cs="Arial" w:eastAsia="Arial" w:hAnsi="Arial"/>
          <w:b/>
          <w:bCs/>
          <w:sz w:val="22"/>
          <w:szCs w:val="22"/>
        </w:rPr>
        <w:t xml:space="preserve">Molecular Formula</w:t>
      </w:r>
      <w:r>
        <w:rPr>
          <w:rFonts w:ascii="Arial" w:cs="Arial" w:eastAsia="Arial" w:hAnsi="Arial"/>
          <w:sz w:val="22"/>
          <w:szCs w:val="22"/>
        </w:rPr>
        <w:t xml:space="preserve">: C₁₀H₁₆O (ketone, not ether)</w:t>
      </w:r>
    </w:p>
    <w:p>
      <w:pPr>
        <w:spacing w:after="120" w:line="300"/>
      </w:pPr>
      <w:r>
        <w:rPr>
          <w:rFonts w:ascii="Arial" w:cs="Arial" w:eastAsia="Arial" w:hAnsi="Arial"/>
          <w:b/>
          <w:bCs/>
          <w:sz w:val="22"/>
          <w:szCs w:val="22"/>
        </w:rPr>
        <w:t xml:space="preserve">Structural Relationship</w:t>
      </w:r>
      <w:r>
        <w:rPr>
          <w:rFonts w:ascii="Arial" w:cs="Arial" w:eastAsia="Arial" w:hAnsi="Arial"/>
          <w:sz w:val="22"/>
          <w:szCs w:val="22"/>
        </w:rPr>
        <w:t xml:space="preserve">: Bicyclic monoterpene like 1,8-cineole, but:</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Camphor has a ketone functional group</w:t>
      </w:r>
      <w:r>
        <w:rPr>
          <w:rFonts w:ascii="Arial" w:cs="Arial" w:eastAsia="Arial" w:hAnsi="Arial"/>
          <w:sz w:val="22"/>
          <w:szCs w:val="22"/>
        </w:rPr>
        <w:t xml:space="preserve"> (C=O), not an ether</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Ketone is more polar and reactive than ether; affects pharmacology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Boiling point: 204°C (higher than 1,8-cineole's 176°C)</w:t>
      </w:r>
    </w:p>
    <w:p>
      <w:pPr>
        <w:spacing w:after="120" w:line="300"/>
      </w:pPr>
      <w:r>
        <w:rPr>
          <w:rFonts w:ascii="Arial" w:cs="Arial" w:eastAsia="Arial" w:hAnsi="Arial"/>
          <w:b/>
          <w:bCs/>
          <w:sz w:val="22"/>
          <w:szCs w:val="22"/>
        </w:rPr>
        <w:t xml:space="preserve">Pharmacological Differences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1,8-cineole</w:t>
      </w:r>
      <w:r>
        <w:rPr>
          <w:rFonts w:ascii="Arial" w:cs="Arial" w:eastAsia="Arial" w:hAnsi="Arial"/>
          <w:sz w:val="22"/>
          <w:szCs w:val="22"/>
        </w:rPr>
        <w:t xml:space="preserve">: Ether, more lipophilic, BBB-crossing, rapid CNS effects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Camphor</w:t>
      </w:r>
      <w:r>
        <w:rPr>
          <w:rFonts w:ascii="Arial" w:cs="Arial" w:eastAsia="Arial" w:hAnsi="Arial"/>
          <w:sz w:val="22"/>
          <w:szCs w:val="22"/>
        </w:rPr>
        <w:t xml:space="preserve">: Ketone, irritant, rubefacient, local sensation (warming); less likely to cross BBB effectively</w:t>
      </w:r>
    </w:p>
    <w:p>
      <w:pPr>
        <w:spacing w:after="120" w:line="300"/>
      </w:pPr>
      <w:r>
        <w:rPr>
          <w:rFonts w:ascii="Arial" w:cs="Arial" w:eastAsia="Arial" w:hAnsi="Arial"/>
          <w:b/>
          <w:bCs/>
          <w:sz w:val="22"/>
          <w:szCs w:val="22"/>
        </w:rPr>
        <w:t xml:space="preserve">Co-occurrence</w:t>
      </w:r>
      <w:r>
        <w:rPr>
          <w:rFonts w:ascii="Arial" w:cs="Arial" w:eastAsia="Arial" w:hAnsi="Arial"/>
          <w:sz w:val="22"/>
          <w:szCs w:val="22"/>
        </w:rPr>
        <w:t xml:space="preserve">: Camphor and 1,8-cineole often coexist in sage, eucalyptus, and camphor laurel oils. High-camphor chemotypes may reduce 1,8-cineole potency.</w:t>
      </w:r>
    </w:p>
    <w:p>
      <w:pPr>
        <w:spacing w:after="120" w:line="300"/>
      </w:pPr>
      <w:r>
        <w:rPr>
          <w:rFonts w:ascii="Arial" w:cs="Arial" w:eastAsia="Arial" w:hAnsi="Arial"/>
          <w:b/>
          <w:bCs/>
          <w:sz w:val="22"/>
          <w:szCs w:val="22"/>
        </w:rPr>
        <w:t xml:space="preserve">Pre-Loading Consideration</w:t>
      </w:r>
      <w:r>
        <w:rPr>
          <w:rFonts w:ascii="Arial" w:cs="Arial" w:eastAsia="Arial" w:hAnsi="Arial"/>
          <w:sz w:val="22"/>
          <w:szCs w:val="22"/>
        </w:rPr>
        <w:t xml:space="preserve">: If selecting rosemary or sage for pre-loading, </w:t>
      </w:r>
      <w:r>
        <w:rPr>
          <w:rFonts w:ascii="Arial" w:cs="Arial" w:eastAsia="Arial" w:hAnsi="Arial"/>
          <w:b/>
          <w:bCs/>
          <w:sz w:val="22"/>
          <w:szCs w:val="22"/>
        </w:rPr>
        <w:t xml:space="preserve">choose low-camphor, high-cineole chemotypes</w:t>
      </w:r>
      <w:r>
        <w:rPr>
          <w:rFonts w:ascii="Arial" w:cs="Arial" w:eastAsia="Arial" w:hAnsi="Arial"/>
          <w:sz w:val="22"/>
          <w:szCs w:val="22"/>
        </w:rPr>
        <w:t xml:space="preserve"> to maximize 1,8-cineole benefits without the irritant effects of camphor.</w:t>
      </w:r>
    </w:p>
    <w:p>
      <w:pPr>
        <w:pStyle w:val="Heading2"/>
        <w:spacing w:after="120" w:before="240"/>
      </w:pPr>
      <w:r>
        <w:rPr>
          <w:rFonts w:ascii="Arial" w:cs="Arial" w:eastAsia="Arial" w:hAnsi="Arial"/>
          <w:b/>
          <w:bCs/>
          <w:color w:val="333333"/>
          <w:sz w:val="26"/>
          <w:szCs w:val="26"/>
        </w:rPr>
        <w:t xml:space="preserve">7.3 Borneol (Secondary Alcohol)</w:t>
      </w:r>
    </w:p>
    <w:p>
      <w:pPr>
        <w:spacing w:after="120" w:line="300"/>
      </w:pPr>
      <w:r>
        <w:rPr>
          <w:rFonts w:ascii="Arial" w:cs="Arial" w:eastAsia="Arial" w:hAnsi="Arial"/>
          <w:b/>
          <w:bCs/>
          <w:sz w:val="22"/>
          <w:szCs w:val="22"/>
        </w:rPr>
        <w:t xml:space="preserve">IUPAC Name</w:t>
      </w:r>
      <w:r>
        <w:rPr>
          <w:rFonts w:ascii="Arial" w:cs="Arial" w:eastAsia="Arial" w:hAnsi="Arial"/>
          <w:sz w:val="22"/>
          <w:szCs w:val="22"/>
        </w:rPr>
        <w:t xml:space="preserve">: (1R,4S)-1,7,7-Trimethylbicyclo[2.2.1]heptan-2-ol</w:t>
      </w:r>
    </w:p>
    <w:p>
      <w:pPr>
        <w:spacing w:after="120" w:line="300"/>
      </w:pPr>
      <w:r>
        <w:rPr>
          <w:rFonts w:ascii="Arial" w:cs="Arial" w:eastAsia="Arial" w:hAnsi="Arial"/>
          <w:b/>
          <w:bCs/>
          <w:sz w:val="22"/>
          <w:szCs w:val="22"/>
        </w:rPr>
        <w:t xml:space="preserve">CAS Number</w:t>
      </w:r>
      <w:r>
        <w:rPr>
          <w:rFonts w:ascii="Arial" w:cs="Arial" w:eastAsia="Arial" w:hAnsi="Arial"/>
          <w:sz w:val="22"/>
          <w:szCs w:val="22"/>
        </w:rPr>
        <w:t xml:space="preserve">: 507-70-0</w:t>
      </w:r>
    </w:p>
    <w:p>
      <w:pPr>
        <w:spacing w:after="120" w:line="300"/>
      </w:pPr>
      <w:r>
        <w:rPr>
          <w:rFonts w:ascii="Arial" w:cs="Arial" w:eastAsia="Arial" w:hAnsi="Arial"/>
          <w:b/>
          <w:bCs/>
          <w:sz w:val="22"/>
          <w:szCs w:val="22"/>
        </w:rPr>
        <w:t xml:space="preserve">Molecular Formula</w:t>
      </w:r>
      <w:r>
        <w:rPr>
          <w:rFonts w:ascii="Arial" w:cs="Arial" w:eastAsia="Arial" w:hAnsi="Arial"/>
          <w:sz w:val="22"/>
          <w:szCs w:val="22"/>
        </w:rPr>
        <w:t xml:space="preserve">: C₁₀H₁₈O (secondary alcohol)</w:t>
      </w:r>
    </w:p>
    <w:p>
      <w:pPr>
        <w:spacing w:after="120" w:line="300"/>
      </w:pPr>
      <w:r>
        <w:rPr>
          <w:rFonts w:ascii="Arial" w:cs="Arial" w:eastAsia="Arial" w:hAnsi="Arial"/>
          <w:b/>
          <w:bCs/>
          <w:sz w:val="22"/>
          <w:szCs w:val="22"/>
        </w:rPr>
        <w:t xml:space="preserve">Structural Relationship</w:t>
      </w:r>
      <w:r>
        <w:rPr>
          <w:rFonts w:ascii="Arial" w:cs="Arial" w:eastAsia="Arial" w:hAnsi="Arial"/>
          <w:sz w:val="22"/>
          <w:szCs w:val="22"/>
        </w:rPr>
        <w:t xml:space="preserve">: Bicyclic monoterpene; alcohol functional group (more polar than 1,8-cineole's ether)</w:t>
      </w:r>
    </w:p>
    <w:p>
      <w:pPr>
        <w:spacing w:after="120" w:line="300"/>
      </w:pPr>
      <w:r>
        <w:rPr>
          <w:rFonts w:ascii="Arial" w:cs="Arial" w:eastAsia="Arial" w:hAnsi="Arial"/>
          <w:b/>
          <w:bCs/>
          <w:sz w:val="22"/>
          <w:szCs w:val="22"/>
        </w:rPr>
        <w:t xml:space="preserve">Co-occurrence</w:t>
      </w:r>
      <w:r>
        <w:rPr>
          <w:rFonts w:ascii="Arial" w:cs="Arial" w:eastAsia="Arial" w:hAnsi="Arial"/>
          <w:sz w:val="22"/>
          <w:szCs w:val="22"/>
        </w:rPr>
        <w:t xml:space="preserve">: Found in rosemary, sage, camphor laurel, eucalyptus oils</w:t>
      </w:r>
    </w:p>
    <w:p>
      <w:pPr>
        <w:spacing w:after="120" w:line="300"/>
      </w:pPr>
      <w:r>
        <w:rPr>
          <w:rFonts w:ascii="Arial" w:cs="Arial" w:eastAsia="Arial" w:hAnsi="Arial"/>
          <w:b/>
          <w:bCs/>
          <w:sz w:val="22"/>
          <w:szCs w:val="22"/>
        </w:rPr>
        <w:t xml:space="preserve">Properties</w:t>
      </w:r>
      <w:r>
        <w:rPr>
          <w:rFonts w:ascii="Arial" w:cs="Arial" w:eastAsia="Arial" w:hAnsi="Arial"/>
          <w:sz w:val="22"/>
          <w:szCs w:val="22"/>
        </w:rPr>
        <w:t xml:space="preserve">: Camphoraceous aroma; topical analgesic; less volatile than 1,8-cineole</w:t>
      </w:r>
    </w:p>
    <w:p>
      <w:pPr>
        <w:spacing w:after="120" w:line="300"/>
      </w:pPr>
      <w:r>
        <w:rPr>
          <w:rFonts w:ascii="Arial" w:cs="Arial" w:eastAsia="Arial" w:hAnsi="Arial"/>
          <w:b/>
          <w:bCs/>
          <w:sz w:val="22"/>
          <w:szCs w:val="22"/>
        </w:rPr>
        <w:t xml:space="preserve">Pharmacological Synergy</w:t>
      </w:r>
      <w:r>
        <w:rPr>
          <w:rFonts w:ascii="Arial" w:cs="Arial" w:eastAsia="Arial" w:hAnsi="Arial"/>
          <w:sz w:val="22"/>
          <w:szCs w:val="22"/>
        </w:rPr>
        <w:t xml:space="preserve">: Borneol may complement 1,8-cineole's analgesic properties; both have anti-inflammatory potential (though borneol's mechanism differs)</w:t>
      </w:r>
    </w:p>
    <w:p>
      <w:pPr>
        <w:pStyle w:val="Heading2"/>
        <w:spacing w:after="120" w:before="240"/>
      </w:pPr>
      <w:r>
        <w:rPr>
          <w:rFonts w:ascii="Arial" w:cs="Arial" w:eastAsia="Arial" w:hAnsi="Arial"/>
          <w:b/>
          <w:bCs/>
          <w:color w:val="333333"/>
          <w:sz w:val="26"/>
          <w:szCs w:val="26"/>
        </w:rPr>
        <w:t xml:space="preserve">7.4 α-Terpineol (Biosynthetic Precursor &amp; Free Terpene)</w:t>
      </w:r>
    </w:p>
    <w:p>
      <w:pPr>
        <w:spacing w:after="120" w:line="300"/>
      </w:pPr>
      <w:r>
        <w:rPr>
          <w:rFonts w:ascii="Arial" w:cs="Arial" w:eastAsia="Arial" w:hAnsi="Arial"/>
          <w:b/>
          <w:bCs/>
          <w:sz w:val="22"/>
          <w:szCs w:val="22"/>
        </w:rPr>
        <w:t xml:space="preserve">IUPAC Name</w:t>
      </w:r>
      <w:r>
        <w:rPr>
          <w:rFonts w:ascii="Arial" w:cs="Arial" w:eastAsia="Arial" w:hAnsi="Arial"/>
          <w:sz w:val="22"/>
          <w:szCs w:val="22"/>
        </w:rPr>
        <w:t xml:space="preserve">: 2-(4-Methylcyclohex-3-en-1-yl)propan-2-ol</w:t>
      </w:r>
    </w:p>
    <w:p>
      <w:pPr>
        <w:spacing w:after="120" w:line="300"/>
      </w:pPr>
      <w:r>
        <w:rPr>
          <w:rFonts w:ascii="Arial" w:cs="Arial" w:eastAsia="Arial" w:hAnsi="Arial"/>
          <w:b/>
          <w:bCs/>
          <w:sz w:val="22"/>
          <w:szCs w:val="22"/>
        </w:rPr>
        <w:t xml:space="preserve">CAS Number</w:t>
      </w:r>
      <w:r>
        <w:rPr>
          <w:rFonts w:ascii="Arial" w:cs="Arial" w:eastAsia="Arial" w:hAnsi="Arial"/>
          <w:sz w:val="22"/>
          <w:szCs w:val="22"/>
        </w:rPr>
        <w:t xml:space="preserve">: 98-55-5</w:t>
      </w:r>
    </w:p>
    <w:p>
      <w:pPr>
        <w:spacing w:after="120" w:line="300"/>
      </w:pPr>
      <w:r>
        <w:rPr>
          <w:rFonts w:ascii="Arial" w:cs="Arial" w:eastAsia="Arial" w:hAnsi="Arial"/>
          <w:b/>
          <w:bCs/>
          <w:sz w:val="22"/>
          <w:szCs w:val="22"/>
        </w:rPr>
        <w:t xml:space="preserve">Molecular Formula</w:t>
      </w:r>
      <w:r>
        <w:rPr>
          <w:rFonts w:ascii="Arial" w:cs="Arial" w:eastAsia="Arial" w:hAnsi="Arial"/>
          <w:sz w:val="22"/>
          <w:szCs w:val="22"/>
        </w:rPr>
        <w:t xml:space="preserve">: C₁₀H₁₈O (secondary alcohol)</w:t>
      </w:r>
    </w:p>
    <w:p>
      <w:pPr>
        <w:spacing w:after="120" w:line="300"/>
      </w:pPr>
      <w:r>
        <w:rPr>
          <w:rFonts w:ascii="Arial" w:cs="Arial" w:eastAsia="Arial" w:hAnsi="Arial"/>
          <w:b/>
          <w:bCs/>
          <w:sz w:val="22"/>
          <w:szCs w:val="22"/>
        </w:rPr>
        <w:t xml:space="preserve">Role in Biosynthesis</w:t>
      </w:r>
      <w:r>
        <w:rPr>
          <w:rFonts w:ascii="Arial" w:cs="Arial" w:eastAsia="Arial" w:hAnsi="Arial"/>
          <w:sz w:val="22"/>
          <w:szCs w:val="22"/>
        </w:rPr>
        <w:t xml:space="preserve">: α-Terpineol is the </w:t>
      </w:r>
      <w:r>
        <w:rPr>
          <w:rFonts w:ascii="Arial" w:cs="Arial" w:eastAsia="Arial" w:hAnsi="Arial"/>
          <w:b/>
          <w:bCs/>
          <w:sz w:val="22"/>
          <w:szCs w:val="22"/>
        </w:rPr>
        <w:t xml:space="preserve">immediate precursor to 1,8-cineole</w:t>
      </w:r>
      <w:r>
        <w:rPr>
          <w:rFonts w:ascii="Arial" w:cs="Arial" w:eastAsia="Arial" w:hAnsi="Arial"/>
          <w:sz w:val="22"/>
          <w:szCs w:val="22"/>
        </w:rPr>
        <w:t xml:space="preserve"> in the synthesis pathway (see §2)</w:t>
      </w:r>
    </w:p>
    <w:p>
      <w:pPr>
        <w:spacing w:after="120" w:line="300"/>
      </w:pPr>
      <w:r>
        <w:rPr>
          <w:rFonts w:ascii="Arial" w:cs="Arial" w:eastAsia="Arial" w:hAnsi="Arial"/>
          <w:b/>
          <w:bCs/>
          <w:sz w:val="22"/>
          <w:szCs w:val="22"/>
        </w:rPr>
        <w:t xml:space="preserve">Co-occurrence in Essential Oils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Tea tree oil: 3–4% α-terpineol</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Rosemary: 1–3%</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Eucalyptus: Minor traces</w:t>
      </w:r>
    </w:p>
    <w:p>
      <w:pPr>
        <w:spacing w:after="120" w:line="300"/>
      </w:pPr>
      <w:r>
        <w:rPr>
          <w:rFonts w:ascii="Arial" w:cs="Arial" w:eastAsia="Arial" w:hAnsi="Arial"/>
          <w:b/>
          <w:bCs/>
          <w:sz w:val="22"/>
          <w:szCs w:val="22"/>
        </w:rPr>
        <w:t xml:space="preserve">Pharmacology of α-Terpineol</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Sedative effects</w:t>
      </w:r>
      <w:r>
        <w:rPr>
          <w:rFonts w:ascii="Arial" w:cs="Arial" w:eastAsia="Arial" w:hAnsi="Arial"/>
          <w:sz w:val="22"/>
          <w:szCs w:val="22"/>
        </w:rPr>
        <w:t xml:space="preserve"> — enhances GABA-mediated neural inhibition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Mild analgesic</w:t>
      </w:r>
      <w:r>
        <w:rPr>
          <w:rFonts w:ascii="Arial" w:cs="Arial" w:eastAsia="Arial" w:hAnsi="Arial"/>
          <w:sz w:val="22"/>
          <w:szCs w:val="22"/>
        </w:rPr>
        <w:t xml:space="preserve"> — local pain relief</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Antimicrobial</w:t>
      </w:r>
      <w:r>
        <w:rPr>
          <w:rFonts w:ascii="Arial" w:cs="Arial" w:eastAsia="Arial" w:hAnsi="Arial"/>
          <w:sz w:val="22"/>
          <w:szCs w:val="22"/>
        </w:rPr>
        <w:t xml:space="preserve"> — though weaker than 1,8-cineole</w:t>
      </w:r>
    </w:p>
    <w:p>
      <w:pPr>
        <w:spacing w:after="120" w:line="300"/>
      </w:pPr>
      <w:r>
        <w:rPr>
          <w:rFonts w:ascii="Arial" w:cs="Arial" w:eastAsia="Arial" w:hAnsi="Arial"/>
          <w:b/>
          <w:bCs/>
          <w:sz w:val="22"/>
          <w:szCs w:val="22"/>
        </w:rPr>
        <w:t xml:space="preserve">Pre-Loading Synergy</w:t>
      </w:r>
      <w:r>
        <w:rPr>
          <w:rFonts w:ascii="Arial" w:cs="Arial" w:eastAsia="Arial" w:hAnsi="Arial"/>
          <w:sz w:val="22"/>
          <w:szCs w:val="22"/>
        </w:rPr>
        <w:t xml:space="preserve">: α-Terpineol's sedative properties may </w:t>
      </w:r>
      <w:r>
        <w:rPr>
          <w:rFonts w:ascii="Arial" w:cs="Arial" w:eastAsia="Arial" w:hAnsi="Arial"/>
          <w:b/>
          <w:bCs/>
          <w:sz w:val="22"/>
          <w:szCs w:val="22"/>
        </w:rPr>
        <w:t xml:space="preserve">balance 1,8-cineole's stimulant cognitive effects</w:t>
      </w:r>
      <w:r>
        <w:rPr>
          <w:rFonts w:ascii="Arial" w:cs="Arial" w:eastAsia="Arial" w:hAnsi="Arial"/>
          <w:sz w:val="22"/>
          <w:szCs w:val="22"/>
        </w:rPr>
        <w:t xml:space="preserve">, creating a more grounded pre-loading experience. Useful in blends for strains where balanced effects are desired (not pure energy/focus).</w:t>
      </w:r>
    </w:p>
    <w:p>
      <w:pPr>
        <w:pStyle w:val="Heading2"/>
        <w:spacing w:after="120" w:before="240"/>
      </w:pPr>
      <w:r>
        <w:rPr>
          <w:rFonts w:ascii="Arial" w:cs="Arial" w:eastAsia="Arial" w:hAnsi="Arial"/>
          <w:b/>
          <w:bCs/>
          <w:color w:val="333333"/>
          <w:sz w:val="26"/>
          <w:szCs w:val="26"/>
        </w:rPr>
        <w:t xml:space="preserve">7.5 Other Bicyclic Monoterpenoids</w:t>
      </w:r>
    </w:p>
    <w:p>
      <w:pPr>
        <w:spacing w:after="120" w:line="300"/>
      </w:pPr>
      <w:r>
        <w:rPr>
          <w:rFonts w:ascii="Arial" w:cs="Arial" w:eastAsia="Arial" w:hAnsi="Arial"/>
          <w:b/>
          <w:bCs/>
          <w:sz w:val="22"/>
          <w:szCs w:val="22"/>
        </w:rPr>
        <w:t xml:space="preserve">Related Structures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Thujone</w:t>
      </w:r>
      <w:r>
        <w:rPr>
          <w:rFonts w:ascii="Arial" w:cs="Arial" w:eastAsia="Arial" w:hAnsi="Arial"/>
          <w:sz w:val="22"/>
          <w:szCs w:val="22"/>
        </w:rPr>
        <w:t xml:space="preserve"> (1-methyl-4-isopropylidene-cyclohexene with epoxide) — neurotoxic; avoid</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Pinene Oxides</w:t>
      </w:r>
      <w:r>
        <w:rPr>
          <w:rFonts w:ascii="Arial" w:cs="Arial" w:eastAsia="Arial" w:hAnsi="Arial"/>
          <w:sz w:val="22"/>
          <w:szCs w:val="22"/>
        </w:rPr>
        <w:t xml:space="preserve"> (various) — oxidized pinene derivatives; rare, less studied</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Myrcene Derivatives</w:t>
      </w:r>
      <w:r>
        <w:rPr>
          <w:rFonts w:ascii="Arial" w:cs="Arial" w:eastAsia="Arial" w:hAnsi="Arial"/>
          <w:sz w:val="22"/>
          <w:szCs w:val="22"/>
        </w:rPr>
        <w:t xml:space="preserve"> — different functional group; distinct pharmacology</w:t>
      </w:r>
    </w:p>
    <w:p>
      <w:pPr>
        <w:spacing w:after="120" w:line="300"/>
      </w:pPr>
      <w:r>
        <w:rPr>
          <w:rFonts w:ascii="Arial" w:cs="Arial" w:eastAsia="Arial" w:hAnsi="Arial"/>
          <w:b/>
          <w:bCs/>
          <w:sz w:val="22"/>
          <w:szCs w:val="22"/>
        </w:rPr>
        <w:t xml:space="preserve">Pre-Loading Relevance</w:t>
      </w:r>
      <w:r>
        <w:rPr>
          <w:rFonts w:ascii="Arial" w:cs="Arial" w:eastAsia="Arial" w:hAnsi="Arial"/>
          <w:sz w:val="22"/>
          <w:szCs w:val="22"/>
        </w:rPr>
        <w:t xml:space="preserve">: Minimal. Focus on 1,8-cineole and its direct botanical sources rather than rare synthetic analogs.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838F"/>
          <w:sz w:val="30"/>
          <w:szCs w:val="30"/>
        </w:rPr>
        <w:t xml:space="preserve">8. Wine &amp; Beverage</w:t>
      </w:r>
    </w:p>
    <w:p>
      <w:pPr>
        <w:pStyle w:val="Heading2"/>
        <w:spacing w:after="120" w:before="240"/>
      </w:pPr>
      <w:r>
        <w:rPr>
          <w:rFonts w:ascii="Arial" w:cs="Arial" w:eastAsia="Arial" w:hAnsi="Arial"/>
          <w:b/>
          <w:bCs/>
          <w:color w:val="333333"/>
          <w:sz w:val="26"/>
          <w:szCs w:val="26"/>
        </w:rPr>
        <w:t xml:space="preserve">8.1 Eucalyptus Notes in Australian Wine (Barossa Valley Shiraz)</w:t>
      </w:r>
    </w:p>
    <w:p>
      <w:pPr>
        <w:spacing w:after="100" w:before="200"/>
      </w:pPr>
      <w:r>
        <w:rPr>
          <w:rFonts w:ascii="Arial" w:cs="Arial" w:eastAsia="Arial" w:hAnsi="Arial"/>
          <w:b/>
          <w:bCs/>
          <w:color w:val="444444"/>
          <w:sz w:val="24"/>
          <w:szCs w:val="24"/>
        </w:rPr>
        <w:t xml:space="preserve">Terroir &amp; Eucalyptus Transfer</w:t>
      </w:r>
    </w:p>
    <w:p>
      <w:pPr>
        <w:spacing w:after="120" w:line="300"/>
      </w:pPr>
      <w:r>
        <w:rPr>
          <w:rFonts w:ascii="Arial" w:cs="Arial" w:eastAsia="Arial" w:hAnsi="Arial"/>
          <w:sz w:val="22"/>
          <w:szCs w:val="22"/>
        </w:rPr>
        <w:t xml:space="preserve">The iconic </w:t>
      </w:r>
      <w:r>
        <w:rPr>
          <w:rFonts w:ascii="Arial" w:cs="Arial" w:eastAsia="Arial" w:hAnsi="Arial"/>
          <w:b/>
          <w:bCs/>
          <w:sz w:val="22"/>
          <w:szCs w:val="22"/>
        </w:rPr>
        <w:t xml:space="preserve">eucalyptus and menthol notes</w:t>
      </w:r>
      <w:r>
        <w:rPr>
          <w:rFonts w:ascii="Arial" w:cs="Arial" w:eastAsia="Arial" w:hAnsi="Arial"/>
          <w:sz w:val="22"/>
          <w:szCs w:val="22"/>
        </w:rPr>
        <w:t xml:space="preserve"> in Barossa Valley Shiraz and other Australian wines arise from direct terpene transfer from native eucalyptus trees to grapevines:</w:t>
      </w:r>
    </w:p>
    <w:p>
      <w:pPr>
        <w:spacing w:after="120" w:line="300"/>
      </w:pPr>
      <w:r>
        <w:rPr>
          <w:rFonts w:ascii="Arial" w:cs="Arial" w:eastAsia="Arial" w:hAnsi="Arial"/>
          <w:b/>
          <w:bCs/>
          <w:sz w:val="22"/>
          <w:szCs w:val="22"/>
        </w:rPr>
        <w:t xml:space="preserve">Mechanism</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Native </w:t>
      </w:r>
      <w:r>
        <w:rPr>
          <w:rFonts w:ascii="Arial" w:cs="Arial" w:eastAsia="Arial" w:hAnsi="Arial"/>
          <w:b/>
          <w:bCs/>
          <w:sz w:val="22"/>
          <w:szCs w:val="22"/>
        </w:rPr>
        <w:t xml:space="preserve">eucalyptus trees grow near vineyards</w:t>
      </w:r>
      <w:r>
        <w:rPr>
          <w:rFonts w:ascii="Arial" w:cs="Arial" w:eastAsia="Arial" w:hAnsi="Arial"/>
          <w:sz w:val="22"/>
          <w:szCs w:val="22"/>
        </w:rPr>
        <w:t xml:space="preserve">, their essential oils extremely potent</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Breezes transfer oil droplets</w:t>
      </w:r>
      <w:r>
        <w:rPr>
          <w:rFonts w:ascii="Arial" w:cs="Arial" w:eastAsia="Arial" w:hAnsi="Arial"/>
          <w:sz w:val="22"/>
          <w:szCs w:val="22"/>
        </w:rPr>
        <w:t xml:space="preserve"> onto grapevine canopy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During fermentation, </w:t>
      </w:r>
      <w:r>
        <w:rPr>
          <w:rFonts w:ascii="Arial" w:cs="Arial" w:eastAsia="Arial" w:hAnsi="Arial"/>
          <w:b/>
          <w:bCs/>
          <w:sz w:val="22"/>
          <w:szCs w:val="22"/>
        </w:rPr>
        <w:t xml:space="preserve">alcohol extracts terpenes</w:t>
      </w:r>
      <w:r>
        <w:rPr>
          <w:rFonts w:ascii="Arial" w:cs="Arial" w:eastAsia="Arial" w:hAnsi="Arial"/>
          <w:sz w:val="22"/>
          <w:szCs w:val="22"/>
        </w:rPr>
        <w:t xml:space="preserve"> from grape skins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and other eucalyptus volatiles dissolve into wine, creating sensory profile</w:t>
      </w:r>
    </w:p>
    <w:p>
      <w:pPr>
        <w:spacing w:after="120" w:line="300"/>
      </w:pPr>
      <w:r>
        <w:rPr>
          <w:rFonts w:ascii="Arial" w:cs="Arial" w:eastAsia="Arial" w:hAnsi="Arial"/>
          <w:b/>
          <w:bCs/>
          <w:sz w:val="22"/>
          <w:szCs w:val="22"/>
        </w:rPr>
        <w:t xml:space="preserve">Wine Sensory Descriptors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Herbal mix of </w:t>
      </w:r>
      <w:r>
        <w:rPr>
          <w:rFonts w:ascii="Arial" w:cs="Arial" w:eastAsia="Arial" w:hAnsi="Arial"/>
          <w:b/>
          <w:bCs/>
          <w:sz w:val="22"/>
          <w:szCs w:val="22"/>
        </w:rPr>
        <w:t xml:space="preserve">eucalyptus, cinnamon myrtle, river mint</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Menthol undertones</w:t>
      </w:r>
      <w:r>
        <w:rPr>
          <w:rFonts w:ascii="Arial" w:cs="Arial" w:eastAsia="Arial" w:hAnsi="Arial"/>
          <w:sz w:val="22"/>
          <w:szCs w:val="22"/>
        </w:rPr>
        <w:t xml:space="preserve"> — cooling, refreshing quality</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Camphoraceous notes</w:t>
      </w:r>
      <w:r>
        <w:rPr>
          <w:rFonts w:ascii="Arial" w:cs="Arial" w:eastAsia="Arial" w:hAnsi="Arial"/>
          <w:sz w:val="22"/>
          <w:szCs w:val="22"/>
        </w:rPr>
        <w:t xml:space="preserve"> — medicinal, crisp edge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Paired with dark fruits (blackberry, boysenberry), spice (cinnamon), sometimes chocolate</w:t>
      </w:r>
    </w:p>
    <w:p>
      <w:pPr>
        <w:spacing w:after="120" w:line="300"/>
      </w:pPr>
      <w:r>
        <w:rPr>
          <w:rFonts w:ascii="Arial" w:cs="Arial" w:eastAsia="Arial" w:hAnsi="Arial"/>
          <w:b/>
          <w:bCs/>
          <w:sz w:val="22"/>
          <w:szCs w:val="22"/>
        </w:rPr>
        <w:t xml:space="preserve">Notable Examples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Mother Tongue Shiraz (Barossa Valley) — described as having "eucalyptus-forward herbal profile"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Various Barossa producers mention "eucalyptus, menthol, and mint" in tasting notes</w:t>
      </w:r>
    </w:p>
    <w:p>
      <w:pPr>
        <w:spacing w:after="120" w:line="300"/>
      </w:pPr>
      <w:r>
        <w:rPr>
          <w:rFonts w:ascii="Arial" w:cs="Arial" w:eastAsia="Arial" w:hAnsi="Arial"/>
          <w:b/>
          <w:bCs/>
          <w:sz w:val="22"/>
          <w:szCs w:val="22"/>
        </w:rPr>
        <w:t xml:space="preserve">Pre-Loading Cultural Connection</w:t>
      </w:r>
      <w:r>
        <w:rPr>
          <w:rFonts w:ascii="Arial" w:cs="Arial" w:eastAsia="Arial" w:hAnsi="Arial"/>
          <w:sz w:val="22"/>
          <w:szCs w:val="22"/>
        </w:rPr>
        <w:t xml:space="preserve">: The association between Australian wine terroir and eucalyptus aroma creates cultural/experiential linkage. For cannabis connoisseurs, pairing a cineole pre-loading with Australian Shiraz could create aesthetic coherence.</w:t>
      </w:r>
    </w:p>
    <w:p>
      <w:pPr>
        <w:spacing w:after="120" w:line="300"/>
      </w:pPr>
      <w:r>
        <w:rPr>
          <w:rFonts w:ascii="Arial" w:cs="Arial" w:eastAsia="Arial" w:hAnsi="Arial"/>
          <w:b/>
          <w:bCs/>
          <w:sz w:val="22"/>
          <w:szCs w:val="22"/>
        </w:rPr>
        <w:t xml:space="preserve">Sources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[Barossa Valley: Shiraz, old vines and exceptional red wines](https://vinodelice.com/en/blogs/news/wine-barossa-valley-old-vines)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[Discover Australian Shiraz: A New World Wine](https://vinodelice.com/en/blogs/news/discover-australian-shiraz)</w:t>
      </w:r>
    </w:p>
    <w:p>
      <w:pPr>
        <w:pStyle w:val="Heading2"/>
        <w:spacing w:after="120" w:before="240"/>
      </w:pPr>
      <w:r>
        <w:rPr>
          <w:rFonts w:ascii="Arial" w:cs="Arial" w:eastAsia="Arial" w:hAnsi="Arial"/>
          <w:b/>
          <w:bCs/>
          <w:color w:val="333333"/>
          <w:sz w:val="26"/>
          <w:szCs w:val="26"/>
        </w:rPr>
        <w:t xml:space="preserve">8.2 Mediterranean Wines (Bay Laurel, Rosemary)</w:t>
      </w:r>
    </w:p>
    <w:p>
      <w:pPr>
        <w:spacing w:after="120" w:line="300"/>
      </w:pPr>
      <w:r>
        <w:rPr>
          <w:rFonts w:ascii="Arial" w:cs="Arial" w:eastAsia="Arial" w:hAnsi="Arial"/>
          <w:b/>
          <w:bCs/>
          <w:sz w:val="22"/>
          <w:szCs w:val="22"/>
        </w:rPr>
        <w:t xml:space="preserve">Bay Laurel</w:t>
      </w:r>
      <w:r>
        <w:rPr>
          <w:rFonts w:ascii="Arial" w:cs="Arial" w:eastAsia="Arial" w:hAnsi="Arial"/>
          <w:sz w:val="22"/>
          <w:szCs w:val="22"/>
        </w:rPr>
        <w:t xml:space="preserve">: While not a direct wine ingredient, bay laurel's presence in Mediterranean cooking traditions and its use in herbal vermouths (e.g., Italian vermouths) introduces 1,8-cineole into fortified wine flavor profiles.</w:t>
      </w:r>
    </w:p>
    <w:p>
      <w:pPr>
        <w:spacing w:after="120" w:line="300"/>
      </w:pPr>
      <w:r>
        <w:rPr>
          <w:rFonts w:ascii="Arial" w:cs="Arial" w:eastAsia="Arial" w:hAnsi="Arial"/>
          <w:b/>
          <w:bCs/>
          <w:sz w:val="22"/>
          <w:szCs w:val="22"/>
        </w:rPr>
        <w:t xml:space="preserve">Rosemary</w:t>
      </w:r>
      <w:r>
        <w:rPr>
          <w:rFonts w:ascii="Arial" w:cs="Arial" w:eastAsia="Arial" w:hAnsi="Arial"/>
          <w:sz w:val="22"/>
          <w:szCs w:val="22"/>
        </w:rPr>
        <w:t xml:space="preserve">: Featured in some herbal aperitifs and infused spirits; 40–55% 1,8-cineole provides fresh, piney backbone to these beverages.</w:t>
      </w:r>
    </w:p>
    <w:p>
      <w:pPr>
        <w:pStyle w:val="Heading2"/>
        <w:spacing w:after="120" w:before="240"/>
      </w:pPr>
      <w:r>
        <w:rPr>
          <w:rFonts w:ascii="Arial" w:cs="Arial" w:eastAsia="Arial" w:hAnsi="Arial"/>
          <w:b/>
          <w:bCs/>
          <w:color w:val="333333"/>
          <w:sz w:val="26"/>
          <w:szCs w:val="26"/>
        </w:rPr>
        <w:t xml:space="preserve">8.3 Chai &amp; Spiced Beverages (Cardamom)</w:t>
      </w:r>
    </w:p>
    <w:p>
      <w:pPr>
        <w:spacing w:after="120" w:line="300"/>
      </w:pPr>
      <w:r>
        <w:rPr>
          <w:rFonts w:ascii="Arial" w:cs="Arial" w:eastAsia="Arial" w:hAnsi="Arial"/>
          <w:b/>
          <w:bCs/>
          <w:sz w:val="22"/>
          <w:szCs w:val="22"/>
        </w:rPr>
        <w:t xml:space="preserve">Chai Tea</w:t>
      </w:r>
      <w:r>
        <w:rPr>
          <w:rFonts w:ascii="Arial" w:cs="Arial" w:eastAsia="Arial" w:hAnsi="Arial"/>
          <w:sz w:val="22"/>
          <w:szCs w:val="22"/>
        </w:rPr>
        <w:t xml:space="preserve">: Traditional Indian and British preparations heavily feature </w:t>
      </w:r>
      <w:r>
        <w:rPr>
          <w:rFonts w:ascii="Arial" w:cs="Arial" w:eastAsia="Arial" w:hAnsi="Arial"/>
          <w:b/>
          <w:bCs/>
          <w:sz w:val="22"/>
          <w:szCs w:val="22"/>
        </w:rPr>
        <w:t xml:space="preserve">cardamom</w:t>
      </w:r>
      <w:r>
        <w:rPr>
          <w:rFonts w:ascii="Arial" w:cs="Arial" w:eastAsia="Arial" w:hAnsi="Arial"/>
          <w:sz w:val="22"/>
          <w:szCs w:val="22"/>
        </w:rPr>
        <w:t xml:space="preserve"> (Ela), which contains 40–60% 1,8-cineole. Chai's warmth and digestive benefits may be partly attributable to cineole's anti-inflammatory and mucolytic properties.</w:t>
      </w:r>
    </w:p>
    <w:p>
      <w:pPr>
        <w:spacing w:after="120" w:line="300"/>
      </w:pPr>
      <w:r>
        <w:rPr>
          <w:rFonts w:ascii="Arial" w:cs="Arial" w:eastAsia="Arial" w:hAnsi="Arial"/>
          <w:b/>
          <w:bCs/>
          <w:sz w:val="22"/>
          <w:szCs w:val="22"/>
        </w:rPr>
        <w:t xml:space="preserve">Cocktails &amp; Digestifs</w:t>
      </w:r>
      <w:r>
        <w:rPr>
          <w:rFonts w:ascii="Arial" w:cs="Arial" w:eastAsia="Arial" w:hAnsi="Arial"/>
          <w:sz w:val="22"/>
          <w:szCs w:val="22"/>
        </w:rPr>
        <w:t xml:space="preserve">: Cardamom is featured in premium cocktails and after-dinner drinks, where its spice and cineole content create aperitif/digestive effects.</w:t>
      </w:r>
    </w:p>
    <w:p>
      <w:pPr>
        <w:spacing w:after="120" w:line="300"/>
      </w:pPr>
      <w:r>
        <w:rPr>
          <w:rFonts w:ascii="Arial" w:cs="Arial" w:eastAsia="Arial" w:hAnsi="Arial"/>
          <w:b/>
          <w:bCs/>
          <w:sz w:val="22"/>
          <w:szCs w:val="22"/>
        </w:rPr>
        <w:t xml:space="preserve">Pre-Loading Ritual</w:t>
      </w:r>
      <w:r>
        <w:rPr>
          <w:rFonts w:ascii="Arial" w:cs="Arial" w:eastAsia="Arial" w:hAnsi="Arial"/>
          <w:sz w:val="22"/>
          <w:szCs w:val="22"/>
        </w:rPr>
        <w:t xml:space="preserve">: Consuming a warm chai tea or cardamom-infused beverage 15–20 minutes before cannabis creates </w:t>
      </w:r>
      <w:r>
        <w:rPr>
          <w:rFonts w:ascii="Arial" w:cs="Arial" w:eastAsia="Arial" w:hAnsi="Arial"/>
          <w:b/>
          <w:bCs/>
          <w:sz w:val="22"/>
          <w:szCs w:val="22"/>
        </w:rPr>
        <w:t xml:space="preserve">multisensory ritual</w:t>
      </w:r>
      <w:r>
        <w:rPr>
          <w:rFonts w:ascii="Arial" w:cs="Arial" w:eastAsia="Arial" w:hAnsi="Arial"/>
          <w:sz w:val="22"/>
          <w:szCs w:val="22"/>
        </w:rPr>
        <w:t xml:space="preserve"> and </w:t>
      </w:r>
      <w:r>
        <w:rPr>
          <w:rFonts w:ascii="Arial" w:cs="Arial" w:eastAsia="Arial" w:hAnsi="Arial"/>
          <w:b/>
          <w:bCs/>
          <w:sz w:val="22"/>
          <w:szCs w:val="22"/>
        </w:rPr>
        <w:t xml:space="preserve">mild oral pre-dosing</w:t>
      </w:r>
      <w:r>
        <w:rPr>
          <w:rFonts w:ascii="Arial" w:cs="Arial" w:eastAsia="Arial" w:hAnsi="Arial"/>
          <w:sz w:val="22"/>
          <w:szCs w:val="22"/>
        </w:rPr>
        <w:t xml:space="preserve"> of 1,8-cineole alongside inhalational pre-loading.</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838F"/>
          <w:sz w:val="30"/>
          <w:szCs w:val="30"/>
        </w:rPr>
        <w:t xml:space="preserve">9. Perfumery</w:t>
      </w:r>
    </w:p>
    <w:p>
      <w:pPr>
        <w:pStyle w:val="Heading2"/>
        <w:spacing w:after="120" w:before="240"/>
      </w:pPr>
      <w:r>
        <w:rPr>
          <w:rFonts w:ascii="Arial" w:cs="Arial" w:eastAsia="Arial" w:hAnsi="Arial"/>
          <w:b/>
          <w:bCs/>
          <w:color w:val="333333"/>
          <w:sz w:val="26"/>
          <w:szCs w:val="26"/>
        </w:rPr>
        <w:t xml:space="preserve">9.1 Role in Fragrance Composition</w:t>
      </w:r>
    </w:p>
    <w:p>
      <w:pPr>
        <w:spacing w:after="120" w:line="300"/>
      </w:pPr>
      <w:r>
        <w:rPr>
          <w:rFonts w:ascii="Arial" w:cs="Arial" w:eastAsia="Arial" w:hAnsi="Arial"/>
          <w:sz w:val="22"/>
          <w:szCs w:val="22"/>
        </w:rPr>
        <w:t xml:space="preserve">1,8-cineole is </w:t>
      </w:r>
      <w:r>
        <w:rPr>
          <w:rFonts w:ascii="Arial" w:cs="Arial" w:eastAsia="Arial" w:hAnsi="Arial"/>
          <w:b/>
          <w:bCs/>
          <w:sz w:val="22"/>
          <w:szCs w:val="22"/>
        </w:rPr>
        <w:t xml:space="preserve">extensively used in professional perfumery</w:t>
      </w:r>
      <w:r>
        <w:rPr>
          <w:rFonts w:ascii="Arial" w:cs="Arial" w:eastAsia="Arial" w:hAnsi="Arial"/>
          <w:sz w:val="22"/>
          <w:szCs w:val="22"/>
        </w:rPr>
        <w:t xml:space="preserve"> for its fresh, camphoraceous, and sharpening qualities.</w:t>
      </w:r>
    </w:p>
    <w:p>
      <w:pPr>
        <w:pStyle w:val="Heading2"/>
        <w:spacing w:after="120" w:before="240"/>
      </w:pPr>
      <w:r>
        <w:rPr>
          <w:rFonts w:ascii="Arial" w:cs="Arial" w:eastAsia="Arial" w:hAnsi="Arial"/>
          <w:b/>
          <w:bCs/>
          <w:color w:val="333333"/>
          <w:sz w:val="26"/>
          <w:szCs w:val="26"/>
        </w:rPr>
        <w:t xml:space="preserve">9.2 Fragrance Families &amp; Accords</w:t>
      </w:r>
    </w:p>
    <w:p>
      <w:pPr>
        <w:spacing w:after="100" w:before="200"/>
      </w:pPr>
      <w:r>
        <w:rPr>
          <w:rFonts w:ascii="Arial" w:cs="Arial" w:eastAsia="Arial" w:hAnsi="Arial"/>
          <w:b/>
          <w:bCs/>
          <w:color w:val="444444"/>
          <w:sz w:val="24"/>
          <w:szCs w:val="24"/>
        </w:rPr>
        <w:t xml:space="preserve">Fougère (Fern) Fragrances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provides the </w:t>
      </w:r>
      <w:r>
        <w:rPr>
          <w:rFonts w:ascii="Arial" w:cs="Arial" w:eastAsia="Arial" w:hAnsi="Arial"/>
          <w:b/>
          <w:bCs/>
          <w:sz w:val="22"/>
          <w:szCs w:val="22"/>
        </w:rPr>
        <w:t xml:space="preserve">bright, herbal "fern" effect</w:t>
      </w:r>
      <w:r>
        <w:rPr>
          <w:rFonts w:ascii="Arial" w:cs="Arial" w:eastAsia="Arial" w:hAnsi="Arial"/>
          <w:sz w:val="22"/>
          <w:szCs w:val="22"/>
        </w:rPr>
        <w:t xml:space="preserve"> (despite ferns not producing cineole)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Creates "green leaf" and "woodland freshness" illusion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Examples: Designer fougère fragrances, niche herbal compositions</w:t>
      </w:r>
    </w:p>
    <w:p>
      <w:pPr>
        <w:spacing w:after="100" w:before="200"/>
      </w:pPr>
      <w:r>
        <w:rPr>
          <w:rFonts w:ascii="Arial" w:cs="Arial" w:eastAsia="Arial" w:hAnsi="Arial"/>
          <w:b/>
          <w:bCs/>
          <w:color w:val="444444"/>
          <w:sz w:val="24"/>
          <w:szCs w:val="24"/>
        </w:rPr>
        <w:t xml:space="preserve">Aromatic (Lavender-Based) Fragrances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w:t>
      </w:r>
      <w:r>
        <w:rPr>
          <w:rFonts w:ascii="Arial" w:cs="Arial" w:eastAsia="Arial" w:hAnsi="Arial"/>
          <w:b/>
          <w:bCs/>
          <w:sz w:val="22"/>
          <w:szCs w:val="22"/>
        </w:rPr>
        <w:t xml:space="preserve">sharpens and clarifies</w:t>
      </w:r>
      <w:r>
        <w:rPr>
          <w:rFonts w:ascii="Arial" w:cs="Arial" w:eastAsia="Arial" w:hAnsi="Arial"/>
          <w:sz w:val="22"/>
          <w:szCs w:val="22"/>
        </w:rPr>
        <w:t xml:space="preserve"> lavender's slightly powdery character</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Creates "airy, crisp" quality; prevents flatness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Used in classic "aromatic" masculine fragrances</w:t>
      </w:r>
    </w:p>
    <w:p>
      <w:pPr>
        <w:spacing w:after="100" w:before="200"/>
      </w:pPr>
      <w:r>
        <w:rPr>
          <w:rFonts w:ascii="Arial" w:cs="Arial" w:eastAsia="Arial" w:hAnsi="Arial"/>
          <w:b/>
          <w:bCs/>
          <w:color w:val="444444"/>
          <w:sz w:val="24"/>
          <w:szCs w:val="24"/>
        </w:rPr>
        <w:t xml:space="preserve">Citrus Colognes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w:t>
      </w:r>
      <w:r>
        <w:rPr>
          <w:rFonts w:ascii="Arial" w:cs="Arial" w:eastAsia="Arial" w:hAnsi="Arial"/>
          <w:b/>
          <w:bCs/>
          <w:sz w:val="22"/>
          <w:szCs w:val="22"/>
        </w:rPr>
        <w:t xml:space="preserve">boosts diffusion and brightness</w:t>
      </w:r>
      <w:r>
        <w:rPr>
          <w:rFonts w:ascii="Arial" w:cs="Arial" w:eastAsia="Arial" w:hAnsi="Arial"/>
          <w:sz w:val="22"/>
          <w:szCs w:val="22"/>
        </w:rPr>
        <w:t xml:space="preserve"> in citrus top notes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Provides unexpected herbaceous undertone beneath citrus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Enhances "natural" or "aldehydic" freshness</w:t>
      </w:r>
    </w:p>
    <w:p>
      <w:pPr>
        <w:spacing w:after="100" w:before="200"/>
      </w:pPr>
      <w:r>
        <w:rPr>
          <w:rFonts w:ascii="Arial" w:cs="Arial" w:eastAsia="Arial" w:hAnsi="Arial"/>
          <w:b/>
          <w:bCs/>
          <w:color w:val="444444"/>
          <w:sz w:val="24"/>
          <w:szCs w:val="24"/>
        </w:rPr>
        <w:t xml:space="preserve">Chypre Fragrances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contributes to herbaceous, mossy facets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Balances floral heart with fresh, woody character</w:t>
      </w:r>
    </w:p>
    <w:p>
      <w:pPr>
        <w:spacing w:after="100" w:before="200"/>
      </w:pPr>
      <w:r>
        <w:rPr>
          <w:rFonts w:ascii="Arial" w:cs="Arial" w:eastAsia="Arial" w:hAnsi="Arial"/>
          <w:b/>
          <w:bCs/>
          <w:color w:val="444444"/>
          <w:sz w:val="24"/>
          <w:szCs w:val="24"/>
        </w:rPr>
        <w:t xml:space="preserve">Perfumery-Specific Benefit: Medicated Accords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is </w:t>
      </w:r>
      <w:r>
        <w:rPr>
          <w:rFonts w:ascii="Arial" w:cs="Arial" w:eastAsia="Arial" w:hAnsi="Arial"/>
          <w:b/>
          <w:bCs/>
          <w:sz w:val="22"/>
          <w:szCs w:val="22"/>
        </w:rPr>
        <w:t xml:space="preserve">deliberately included in "medicated" or "therapeutic" fragrance accords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Creates Vick's-like, medicinal-spa, clinical-clean aesthetic</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Examples: Niche "wellness" fragrances, apothecary-inspired compositions</w:t>
      </w:r>
    </w:p>
    <w:p>
      <w:pPr>
        <w:pStyle w:val="Heading2"/>
        <w:spacing w:after="120" w:before="240"/>
      </w:pPr>
      <w:r>
        <w:rPr>
          <w:rFonts w:ascii="Arial" w:cs="Arial" w:eastAsia="Arial" w:hAnsi="Arial"/>
          <w:b/>
          <w:bCs/>
          <w:color w:val="333333"/>
          <w:sz w:val="26"/>
          <w:szCs w:val="26"/>
        </w:rPr>
        <w:t xml:space="preserve">9.3 Sensory Contribution to Fragrance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468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Contribution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Top Note Diffusion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Rapid evaporation (boiling point 176°C); travels fast</w:t>
            </w:r>
          </w:p>
        </w:tc>
      </w:tr>
      <w:tr>
        <w:tc>
          <w:tcPr>
            <w:tcW w:type="dxa" w:w="468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Aromatic Character</w:t>
            </w:r>
          </w:p>
        </w:tc>
        <w:tc>
          <w:tcPr>
            <w:tcW w:type="dxa" w:w="468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Fresh, herbal, camphoraceous, mineral-green, slightly cooling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Olfactory Weight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Lightweight; prevents heavy, dense fragrance feel</w:t>
            </w:r>
          </w:p>
        </w:tc>
      </w:tr>
      <w:tr>
        <w:tc>
          <w:tcPr>
            <w:tcW w:type="dxa" w:w="468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Longevity/Persistence</w:t>
            </w:r>
          </w:p>
        </w:tc>
        <w:tc>
          <w:tcPr>
            <w:tcW w:type="dxa" w:w="468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 provides 30–120 min sustained fresh phase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Synthetic vs. Natural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Natural-smelling; blends seamlessly in natural fragrances</w:t>
            </w:r>
          </w:p>
        </w:tc>
      </w:tr>
    </w:tbl>
    <w:p>
      <w:pPr>
        <w:spacing w:after="120"/>
      </w:pPr>
    </w:p>
    <w:p>
      <w:pPr>
        <w:pStyle w:val="Heading2"/>
        <w:spacing w:after="120" w:before="240"/>
      </w:pPr>
      <w:r>
        <w:rPr>
          <w:rFonts w:ascii="Arial" w:cs="Arial" w:eastAsia="Arial" w:hAnsi="Arial"/>
          <w:b/>
          <w:bCs/>
          <w:color w:val="333333"/>
          <w:sz w:val="26"/>
          <w:szCs w:val="26"/>
        </w:rPr>
        <w:t xml:space="preserve">9.4 Pre-Loading &amp; Olfactory Priming</w:t>
      </w:r>
    </w:p>
    <w:p>
      <w:pPr>
        <w:spacing w:after="120" w:line="300"/>
      </w:pPr>
      <w:r>
        <w:rPr>
          <w:rFonts w:ascii="Arial" w:cs="Arial" w:eastAsia="Arial" w:hAnsi="Arial"/>
          <w:sz w:val="22"/>
          <w:szCs w:val="22"/>
        </w:rPr>
        <w:t xml:space="preserve">From a perfumery perspective, using a </w:t>
      </w:r>
      <w:r>
        <w:rPr>
          <w:rFonts w:ascii="Arial" w:cs="Arial" w:eastAsia="Arial" w:hAnsi="Arial"/>
          <w:b/>
          <w:bCs/>
          <w:sz w:val="22"/>
          <w:szCs w:val="22"/>
        </w:rPr>
        <w:t xml:space="preserve">1,8-cineole-rich botanical oil as pre-loading agent</w:t>
      </w:r>
      <w:r>
        <w:rPr>
          <w:rFonts w:ascii="Arial" w:cs="Arial" w:eastAsia="Arial" w:hAnsi="Arial"/>
          <w:sz w:val="22"/>
          <w:szCs w:val="22"/>
        </w:rPr>
        <w:t xml:space="preserve"> is equivalent to creating a </w:t>
      </w:r>
      <w:r>
        <w:rPr>
          <w:rFonts w:ascii="Arial" w:cs="Arial" w:eastAsia="Arial" w:hAnsi="Arial"/>
          <w:b/>
          <w:bCs/>
          <w:sz w:val="22"/>
          <w:szCs w:val="22"/>
        </w:rPr>
        <w:t xml:space="preserve">single-note "top note" fragrance</w:t>
      </w:r>
      <w:r>
        <w:rPr>
          <w:rFonts w:ascii="Arial" w:cs="Arial" w:eastAsia="Arial" w:hAnsi="Arial"/>
          <w:sz w:val="22"/>
          <w:szCs w:val="22"/>
        </w:rPr>
        <w:t xml:space="preserve"> on the skin/airways. The strong olfactory signal may: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Trigger </w:t>
      </w:r>
      <w:r>
        <w:rPr>
          <w:rFonts w:ascii="Arial" w:cs="Arial" w:eastAsia="Arial" w:hAnsi="Arial"/>
          <w:b/>
          <w:bCs/>
          <w:sz w:val="22"/>
          <w:szCs w:val="22"/>
        </w:rPr>
        <w:t xml:space="preserve">olfactory conditioning</w:t>
      </w:r>
      <w:r>
        <w:rPr>
          <w:rFonts w:ascii="Arial" w:cs="Arial" w:eastAsia="Arial" w:hAnsi="Arial"/>
          <w:sz w:val="22"/>
          <w:szCs w:val="22"/>
        </w:rPr>
        <w:t xml:space="preserve"> (expectation, memory priming)</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Prime sensory receptors for enhanced perception of cannabis aroma</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Create </w:t>
      </w:r>
      <w:r>
        <w:rPr>
          <w:rFonts w:ascii="Arial" w:cs="Arial" w:eastAsia="Arial" w:hAnsi="Arial"/>
          <w:b/>
          <w:bCs/>
          <w:sz w:val="22"/>
          <w:szCs w:val="22"/>
        </w:rPr>
        <w:t xml:space="preserve">hedonic anchoring</w:t>
      </w:r>
      <w:r>
        <w:rPr>
          <w:rFonts w:ascii="Arial" w:cs="Arial" w:eastAsia="Arial" w:hAnsi="Arial"/>
          <w:sz w:val="22"/>
          <w:szCs w:val="22"/>
        </w:rPr>
        <w:t xml:space="preserve"> (positive association) before cannabis use</w:t>
      </w:r>
    </w:p>
    <w:p>
      <w:pPr>
        <w:spacing w:after="120" w:line="300"/>
      </w:pPr>
      <w:r>
        <w:rPr>
          <w:rFonts w:ascii="Arial" w:cs="Arial" w:eastAsia="Arial" w:hAnsi="Arial"/>
          <w:b/>
          <w:bCs/>
          <w:sz w:val="22"/>
          <w:szCs w:val="22"/>
        </w:rPr>
        <w:t xml:space="preserve">Pre-Loading Recommendation</w:t>
      </w:r>
      <w:r>
        <w:rPr>
          <w:rFonts w:ascii="Arial" w:cs="Arial" w:eastAsia="Arial" w:hAnsi="Arial"/>
          <w:sz w:val="22"/>
          <w:szCs w:val="22"/>
        </w:rPr>
        <w:t xml:space="preserve">: Select a </w:t>
      </w:r>
      <w:r>
        <w:rPr>
          <w:rFonts w:ascii="Arial" w:cs="Arial" w:eastAsia="Arial" w:hAnsi="Arial"/>
          <w:b/>
          <w:bCs/>
          <w:sz w:val="22"/>
          <w:szCs w:val="22"/>
        </w:rPr>
        <w:t xml:space="preserve">high-quality perfumery-grade 1,8-cineole oil</w:t>
      </w:r>
      <w:r>
        <w:rPr>
          <w:rFonts w:ascii="Arial" w:cs="Arial" w:eastAsia="Arial" w:hAnsi="Arial"/>
          <w:sz w:val="22"/>
          <w:szCs w:val="22"/>
        </w:rPr>
        <w:t xml:space="preserve"> (e.g., eucalyptus ct. cineole, rosemary ct. cineole, cardamom) rather than industrial-grade for optimal sensory experience.</w:t>
      </w:r>
    </w:p>
    <w:p>
      <w:pPr>
        <w:spacing w:after="120" w:line="300"/>
      </w:pPr>
      <w:r>
        <w:rPr>
          <w:rFonts w:ascii="Arial" w:cs="Arial" w:eastAsia="Arial" w:hAnsi="Arial"/>
          <w:b/>
          <w:bCs/>
          <w:sz w:val="22"/>
          <w:szCs w:val="22"/>
        </w:rPr>
        <w:t xml:space="preserve">Sources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 an overview - ScienceDirect Topics](https://www.sciencedirect.com/topics/chemistry/1-8-cineole)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[Aromatic Notes in Perfumery - Blog de la Courte](https://blog.delacourte.com/en/lavender-and-aromatic-notes/)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[Freshness in Perfumery - ScentXplore](https://scentxplore.com/awakening-aromaticnotes/)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838F"/>
          <w:sz w:val="30"/>
          <w:szCs w:val="30"/>
        </w:rPr>
        <w:t xml:space="preserve">10. Culinary Applications</w:t>
      </w:r>
    </w:p>
    <w:p>
      <w:pPr>
        <w:pStyle w:val="Heading2"/>
        <w:spacing w:after="120" w:before="240"/>
      </w:pPr>
      <w:r>
        <w:rPr>
          <w:rFonts w:ascii="Arial" w:cs="Arial" w:eastAsia="Arial" w:hAnsi="Arial"/>
          <w:b/>
          <w:bCs/>
          <w:color w:val="333333"/>
          <w:sz w:val="26"/>
          <w:szCs w:val="26"/>
        </w:rPr>
        <w:t xml:space="preserve">10.1 Bay Laurel (Global Culinary Staple)</w:t>
      </w:r>
    </w:p>
    <w:p>
      <w:pPr>
        <w:spacing w:after="120" w:line="300"/>
      </w:pPr>
      <w:r>
        <w:rPr>
          <w:rFonts w:ascii="Arial" w:cs="Arial" w:eastAsia="Arial" w:hAnsi="Arial"/>
          <w:b/>
          <w:bCs/>
          <w:sz w:val="22"/>
          <w:szCs w:val="22"/>
        </w:rPr>
        <w:t xml:space="preserve">Use</w:t>
      </w:r>
      <w:r>
        <w:rPr>
          <w:rFonts w:ascii="Arial" w:cs="Arial" w:eastAsia="Arial" w:hAnsi="Arial"/>
          <w:sz w:val="22"/>
          <w:szCs w:val="22"/>
        </w:rPr>
        <w:t xml:space="preserve">: Bay leaves (dried *Laurus nobilis*) are a fundamental ingredient in </w:t>
      </w:r>
      <w:r>
        <w:rPr>
          <w:rFonts w:ascii="Arial" w:cs="Arial" w:eastAsia="Arial" w:hAnsi="Arial"/>
          <w:b/>
          <w:bCs/>
          <w:sz w:val="22"/>
          <w:szCs w:val="22"/>
        </w:rPr>
        <w:t xml:space="preserve">European, Mediterranean, and Middle Eastern cuisine</w:t>
      </w:r>
      <w:r>
        <w:rPr>
          <w:rFonts w:ascii="Arial" w:cs="Arial" w:eastAsia="Arial" w:hAnsi="Arial"/>
          <w:sz w:val="22"/>
          <w:szCs w:val="22"/>
        </w:rPr>
        <w:t xml:space="preserve">.</w:t>
      </w:r>
    </w:p>
    <w:p>
      <w:pPr>
        <w:spacing w:after="120" w:line="300"/>
      </w:pPr>
      <w:r>
        <w:rPr>
          <w:rFonts w:ascii="Arial" w:cs="Arial" w:eastAsia="Arial" w:hAnsi="Arial"/>
          <w:b/>
          <w:bCs/>
          <w:sz w:val="22"/>
          <w:szCs w:val="22"/>
        </w:rPr>
        <w:t xml:space="preserve">Applications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Soups, stews, braises (beef, chicken, fish)</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Rice dishes, risotto</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Court-bouillon (poaching liquid)</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Infused oils and vinegars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Spice blends and rubs</w:t>
      </w:r>
    </w:p>
    <w:p>
      <w:pPr>
        <w:spacing w:after="120" w:line="300"/>
      </w:pPr>
      <w:r>
        <w:rPr>
          <w:rFonts w:ascii="Arial" w:cs="Arial" w:eastAsia="Arial" w:hAnsi="Arial"/>
          <w:b/>
          <w:bCs/>
          <w:sz w:val="22"/>
          <w:szCs w:val="22"/>
        </w:rPr>
        <w:t xml:space="preserve">Flavor Profile Contribution</w:t>
      </w:r>
      <w:r>
        <w:rPr>
          <w:rFonts w:ascii="Arial" w:cs="Arial" w:eastAsia="Arial" w:hAnsi="Arial"/>
          <w:sz w:val="22"/>
          <w:szCs w:val="22"/>
        </w:rPr>
        <w:t xml:space="preserve">: Bay laurel (containing 30–50% 1,8-cineole) provides: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Subtle menthol coolness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Herbaceous depth</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Slight camphoraceous note (desirable in small amounts)</w:t>
      </w:r>
    </w:p>
    <w:p>
      <w:pPr>
        <w:spacing w:after="120" w:line="300"/>
      </w:pPr>
      <w:r>
        <w:rPr>
          <w:rFonts w:ascii="Arial" w:cs="Arial" w:eastAsia="Arial" w:hAnsi="Arial"/>
          <w:b/>
          <w:bCs/>
          <w:sz w:val="22"/>
          <w:szCs w:val="22"/>
        </w:rPr>
        <w:t xml:space="preserve">Pre-Loading Integration</w:t>
      </w:r>
      <w:r>
        <w:rPr>
          <w:rFonts w:ascii="Arial" w:cs="Arial" w:eastAsia="Arial" w:hAnsi="Arial"/>
          <w:sz w:val="22"/>
          <w:szCs w:val="22"/>
        </w:rPr>
        <w:t xml:space="preserve">: Consuming bay-infused dishes (e.g., a bay leaf stew or braise) 30–45 minutes before cannabis provides </w:t>
      </w:r>
      <w:r>
        <w:rPr>
          <w:rFonts w:ascii="Arial" w:cs="Arial" w:eastAsia="Arial" w:hAnsi="Arial"/>
          <w:b/>
          <w:bCs/>
          <w:sz w:val="22"/>
          <w:szCs w:val="22"/>
        </w:rPr>
        <w:t xml:space="preserve">mild oral 1,8-cineole dosing</w:t>
      </w:r>
      <w:r>
        <w:rPr>
          <w:rFonts w:ascii="Arial" w:cs="Arial" w:eastAsia="Arial" w:hAnsi="Arial"/>
          <w:sz w:val="22"/>
          <w:szCs w:val="22"/>
        </w:rPr>
        <w:t xml:space="preserve"> plus culinary satisfaction. The timing aligns well with absorption kinetics.</w:t>
      </w:r>
    </w:p>
    <w:p>
      <w:pPr>
        <w:pStyle w:val="Heading2"/>
        <w:spacing w:after="120" w:before="240"/>
      </w:pPr>
      <w:r>
        <w:rPr>
          <w:rFonts w:ascii="Arial" w:cs="Arial" w:eastAsia="Arial" w:hAnsi="Arial"/>
          <w:b/>
          <w:bCs/>
          <w:color w:val="333333"/>
          <w:sz w:val="26"/>
          <w:szCs w:val="26"/>
        </w:rPr>
        <w:t xml:space="preserve">10.2 Cardamom (Ela) — Indian, Middle Eastern, Scandinavian</w:t>
      </w:r>
    </w:p>
    <w:p>
      <w:pPr>
        <w:spacing w:after="120" w:line="300"/>
      </w:pPr>
      <w:r>
        <w:rPr>
          <w:rFonts w:ascii="Arial" w:cs="Arial" w:eastAsia="Arial" w:hAnsi="Arial"/>
          <w:b/>
          <w:bCs/>
          <w:sz w:val="22"/>
          <w:szCs w:val="22"/>
        </w:rPr>
        <w:t xml:space="preserve">Use</w:t>
      </w:r>
      <w:r>
        <w:rPr>
          <w:rFonts w:ascii="Arial" w:cs="Arial" w:eastAsia="Arial" w:hAnsi="Arial"/>
          <w:sz w:val="22"/>
          <w:szCs w:val="22"/>
        </w:rPr>
        <w:t xml:space="preserve">: Cardamom seeds/pods (containing 40–73% 1,8-cineole) are a </w:t>
      </w:r>
      <w:r>
        <w:rPr>
          <w:rFonts w:ascii="Arial" w:cs="Arial" w:eastAsia="Arial" w:hAnsi="Arial"/>
          <w:b/>
          <w:bCs/>
          <w:sz w:val="22"/>
          <w:szCs w:val="22"/>
        </w:rPr>
        <w:t xml:space="preserve">premium spice</w:t>
      </w:r>
      <w:r>
        <w:rPr>
          <w:rFonts w:ascii="Arial" w:cs="Arial" w:eastAsia="Arial" w:hAnsi="Arial"/>
          <w:sz w:val="22"/>
          <w:szCs w:val="22"/>
        </w:rPr>
        <w:t xml:space="preserve"> in multiple cuisines.</w:t>
      </w:r>
    </w:p>
    <w:p>
      <w:pPr>
        <w:spacing w:after="120" w:line="300"/>
      </w:pPr>
      <w:r>
        <w:rPr>
          <w:rFonts w:ascii="Arial" w:cs="Arial" w:eastAsia="Arial" w:hAnsi="Arial"/>
          <w:b/>
          <w:bCs/>
          <w:sz w:val="22"/>
          <w:szCs w:val="22"/>
        </w:rPr>
        <w:t xml:space="preserve">Applications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Indian</w:t>
      </w:r>
      <w:r>
        <w:rPr>
          <w:rFonts w:ascii="Arial" w:cs="Arial" w:eastAsia="Arial" w:hAnsi="Arial"/>
          <w:sz w:val="22"/>
          <w:szCs w:val="22"/>
        </w:rPr>
        <w:t xml:space="preserve">: Chai tea, pilau rice, garam masala, curries, desserts (kheer, gulab jamun)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Middle Eastern</w:t>
      </w:r>
      <w:r>
        <w:rPr>
          <w:rFonts w:ascii="Arial" w:cs="Arial" w:eastAsia="Arial" w:hAnsi="Arial"/>
          <w:sz w:val="22"/>
          <w:szCs w:val="22"/>
        </w:rPr>
        <w:t xml:space="preserve">: Coffee spice, cardamom pods chewed for fresh breath, used in date preparations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Scandinavian</w:t>
      </w:r>
      <w:r>
        <w:rPr>
          <w:rFonts w:ascii="Arial" w:cs="Arial" w:eastAsia="Arial" w:hAnsi="Arial"/>
          <w:sz w:val="22"/>
          <w:szCs w:val="22"/>
        </w:rPr>
        <w:t xml:space="preserve">: Baked goods (cardamom buns), coffee breads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Cocktails &amp; Liqueurs</w:t>
      </w:r>
      <w:r>
        <w:rPr>
          <w:rFonts w:ascii="Arial" w:cs="Arial" w:eastAsia="Arial" w:hAnsi="Arial"/>
          <w:sz w:val="22"/>
          <w:szCs w:val="22"/>
        </w:rPr>
        <w:t xml:space="preserve">: Cardamom-infused spirits, premium bar programs</w:t>
      </w:r>
    </w:p>
    <w:p>
      <w:pPr>
        <w:spacing w:after="120" w:line="300"/>
      </w:pPr>
      <w:r>
        <w:rPr>
          <w:rFonts w:ascii="Arial" w:cs="Arial" w:eastAsia="Arial" w:hAnsi="Arial"/>
          <w:b/>
          <w:bCs/>
          <w:sz w:val="22"/>
          <w:szCs w:val="22"/>
        </w:rPr>
        <w:t xml:space="preserve">Ayurvedic Function</w:t>
      </w:r>
      <w:r>
        <w:rPr>
          <w:rFonts w:ascii="Arial" w:cs="Arial" w:eastAsia="Arial" w:hAnsi="Arial"/>
          <w:sz w:val="22"/>
          <w:szCs w:val="22"/>
        </w:rPr>
        <w:t xml:space="preserve">: Classified as warming, digestive, respiratory-supportive. Used for:</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Digestive upset, poor absorption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Asthma, cough, respiratory conditions (via 1,8-cineole)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Impotence, blood pressure regulation</w:t>
      </w:r>
    </w:p>
    <w:p>
      <w:pPr>
        <w:spacing w:after="120" w:line="300"/>
      </w:pPr>
      <w:r>
        <w:rPr>
          <w:rFonts w:ascii="Arial" w:cs="Arial" w:eastAsia="Arial" w:hAnsi="Arial"/>
          <w:b/>
          <w:bCs/>
          <w:sz w:val="22"/>
          <w:szCs w:val="22"/>
        </w:rPr>
        <w:t xml:space="preserve">Pre-Loading Integration</w:t>
      </w:r>
      <w:r>
        <w:rPr>
          <w:rFonts w:ascii="Arial" w:cs="Arial" w:eastAsia="Arial" w:hAnsi="Arial"/>
          <w:sz w:val="22"/>
          <w:szCs w:val="22"/>
        </w:rPr>
        <w:t xml:space="preserve">: A warm </w:t>
      </w:r>
      <w:r>
        <w:rPr>
          <w:rFonts w:ascii="Arial" w:cs="Arial" w:eastAsia="Arial" w:hAnsi="Arial"/>
          <w:b/>
          <w:bCs/>
          <w:sz w:val="22"/>
          <w:szCs w:val="22"/>
        </w:rPr>
        <w:t xml:space="preserve">cardamom chai</w:t>
      </w:r>
      <w:r>
        <w:rPr>
          <w:rFonts w:ascii="Arial" w:cs="Arial" w:eastAsia="Arial" w:hAnsi="Arial"/>
          <w:sz w:val="22"/>
          <w:szCs w:val="22"/>
        </w:rPr>
        <w:t xml:space="preserve"> (15–30 min before cannabis) provides: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Oral 1,8-cineole dose</w:t>
      </w:r>
      <w:r>
        <w:rPr>
          <w:rFonts w:ascii="Arial" w:cs="Arial" w:eastAsia="Arial" w:hAnsi="Arial"/>
          <w:sz w:val="22"/>
          <w:szCs w:val="22"/>
        </w:rPr>
        <w:t xml:space="preserve"> (40–60% of cardamom's volatile oil)</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Ritual warmth and comfort</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Digestive priming</w:t>
      </w:r>
      <w:r>
        <w:rPr>
          <w:rFonts w:ascii="Arial" w:cs="Arial" w:eastAsia="Arial" w:hAnsi="Arial"/>
          <w:sz w:val="22"/>
          <w:szCs w:val="22"/>
        </w:rPr>
        <w:t xml:space="preserve"> for post-cannabis consumption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Familiar culinary aroma</w:t>
      </w:r>
      <w:r>
        <w:rPr>
          <w:rFonts w:ascii="Arial" w:cs="Arial" w:eastAsia="Arial" w:hAnsi="Arial"/>
          <w:sz w:val="22"/>
          <w:szCs w:val="22"/>
        </w:rPr>
        <w:t xml:space="preserve"> that reinforces positive expectations</w:t>
      </w:r>
    </w:p>
    <w:p>
      <w:pPr>
        <w:spacing w:after="120" w:line="300"/>
      </w:pPr>
      <w:r>
        <w:rPr>
          <w:rFonts w:ascii="Arial" w:cs="Arial" w:eastAsia="Arial" w:hAnsi="Arial"/>
          <w:b/>
          <w:bCs/>
          <w:sz w:val="22"/>
          <w:szCs w:val="22"/>
        </w:rPr>
        <w:t xml:space="preserve">Sources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[Elettaria cardamomum (Ela) – Benefits, Uses &amp; Ayurveda Facts](https://ask-ayurveda.com/wiki/article/4354-elettaria-cardamomum--ela-cardamom)</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[Ayurvedic health benefits of Cardamom essential oil](https://ayurvedicoils.com/tag/ayurvedic-health-benefits-of-cardamom-essential-oil)</w:t>
      </w:r>
    </w:p>
    <w:p>
      <w:pPr>
        <w:pStyle w:val="Heading2"/>
        <w:spacing w:after="120" w:before="240"/>
      </w:pPr>
      <w:r>
        <w:rPr>
          <w:rFonts w:ascii="Arial" w:cs="Arial" w:eastAsia="Arial" w:hAnsi="Arial"/>
          <w:b/>
          <w:bCs/>
          <w:color w:val="333333"/>
          <w:sz w:val="26"/>
          <w:szCs w:val="26"/>
        </w:rPr>
        <w:t xml:space="preserve">10.3 Rosemary (European Herbalism)</w:t>
      </w:r>
    </w:p>
    <w:p>
      <w:pPr>
        <w:spacing w:after="120" w:line="300"/>
      </w:pPr>
      <w:r>
        <w:rPr>
          <w:rFonts w:ascii="Arial" w:cs="Arial" w:eastAsia="Arial" w:hAnsi="Arial"/>
          <w:b/>
          <w:bCs/>
          <w:sz w:val="22"/>
          <w:szCs w:val="22"/>
        </w:rPr>
        <w:t xml:space="preserve">Use</w:t>
      </w:r>
      <w:r>
        <w:rPr>
          <w:rFonts w:ascii="Arial" w:cs="Arial" w:eastAsia="Arial" w:hAnsi="Arial"/>
          <w:sz w:val="22"/>
          <w:szCs w:val="22"/>
        </w:rPr>
        <w:t xml:space="preserve">: Fresh or dried rosemary (40–55% 1,8-cineole in ct. cineole) is fundamental in </w:t>
      </w:r>
      <w:r>
        <w:rPr>
          <w:rFonts w:ascii="Arial" w:cs="Arial" w:eastAsia="Arial" w:hAnsi="Arial"/>
          <w:b/>
          <w:bCs/>
          <w:sz w:val="22"/>
          <w:szCs w:val="22"/>
        </w:rPr>
        <w:t xml:space="preserve">Mediterranean, European, and modern gastronomy</w:t>
      </w:r>
      <w:r>
        <w:rPr>
          <w:rFonts w:ascii="Arial" w:cs="Arial" w:eastAsia="Arial" w:hAnsi="Arial"/>
          <w:sz w:val="22"/>
          <w:szCs w:val="22"/>
        </w:rPr>
        <w:t xml:space="preserve">.</w:t>
      </w:r>
    </w:p>
    <w:p>
      <w:pPr>
        <w:spacing w:after="120" w:line="300"/>
      </w:pPr>
      <w:r>
        <w:rPr>
          <w:rFonts w:ascii="Arial" w:cs="Arial" w:eastAsia="Arial" w:hAnsi="Arial"/>
          <w:b/>
          <w:bCs/>
          <w:sz w:val="22"/>
          <w:szCs w:val="22"/>
        </w:rPr>
        <w:t xml:space="preserve">Applications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Roasted meats (lamb, chicken, pork)</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Olive oil infusions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Bread, focaccia</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Infused teas and broths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Cocktails and bitters</w:t>
      </w:r>
    </w:p>
    <w:p>
      <w:pPr>
        <w:spacing w:after="120" w:line="300"/>
      </w:pPr>
      <w:r>
        <w:rPr>
          <w:rFonts w:ascii="Arial" w:cs="Arial" w:eastAsia="Arial" w:hAnsi="Arial"/>
          <w:b/>
          <w:bCs/>
          <w:sz w:val="22"/>
          <w:szCs w:val="22"/>
        </w:rPr>
        <w:t xml:space="preserve">Cognitive/Memory Association</w:t>
      </w:r>
      <w:r>
        <w:rPr>
          <w:rFonts w:ascii="Arial" w:cs="Arial" w:eastAsia="Arial" w:hAnsi="Arial"/>
          <w:sz w:val="22"/>
          <w:szCs w:val="22"/>
        </w:rPr>
        <w:t xml:space="preserve">: Traditional use as a "memory herb" aligns with modern pharmacology (1,8-cineole + α-pinene).</w:t>
      </w:r>
    </w:p>
    <w:p>
      <w:pPr>
        <w:spacing w:after="120" w:line="300"/>
      </w:pPr>
      <w:r>
        <w:rPr>
          <w:rFonts w:ascii="Arial" w:cs="Arial" w:eastAsia="Arial" w:hAnsi="Arial"/>
          <w:b/>
          <w:bCs/>
          <w:sz w:val="22"/>
          <w:szCs w:val="22"/>
        </w:rPr>
        <w:t xml:space="preserve">Pre-Loading Integration</w:t>
      </w:r>
      <w:r>
        <w:rPr>
          <w:rFonts w:ascii="Arial" w:cs="Arial" w:eastAsia="Arial" w:hAnsi="Arial"/>
          <w:sz w:val="22"/>
          <w:szCs w:val="22"/>
        </w:rPr>
        <w:t xml:space="preserve">: A rosemary-infused oil drizzle on toast or in broth, consumed 15–20 min before cannabis, provides: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Dual active compounds</w:t>
      </w:r>
      <w:r>
        <w:rPr>
          <w:rFonts w:ascii="Arial" w:cs="Arial" w:eastAsia="Arial" w:hAnsi="Arial"/>
          <w:sz w:val="22"/>
          <w:szCs w:val="22"/>
        </w:rPr>
        <w:t xml:space="preserve">: 1,8-cineole (40–55%) + α-pinene (15–25%)</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BBB-crossing compounds</w:t>
      </w:r>
      <w:r>
        <w:rPr>
          <w:rFonts w:ascii="Arial" w:cs="Arial" w:eastAsia="Arial" w:hAnsi="Arial"/>
          <w:sz w:val="22"/>
          <w:szCs w:val="22"/>
        </w:rPr>
        <w:t xml:space="preserve"> proven by Moss &amp; Oliver</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Familiar, pleasant aroma</w:t>
      </w:r>
      <w:r>
        <w:rPr>
          <w:rFonts w:ascii="Arial" w:cs="Arial" w:eastAsia="Arial" w:hAnsi="Arial"/>
          <w:sz w:val="22"/>
          <w:szCs w:val="22"/>
        </w:rPr>
        <w:t xml:space="preserve"> (not medicinal-jarring like pure eucalyptus)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Culinary satisfaction</w:t>
      </w:r>
      <w:r>
        <w:rPr>
          <w:rFonts w:ascii="Arial" w:cs="Arial" w:eastAsia="Arial" w:hAnsi="Arial"/>
          <w:sz w:val="22"/>
          <w:szCs w:val="22"/>
        </w:rPr>
        <w:t xml:space="preserve"> without pharmaceutical feel</w:t>
      </w:r>
    </w:p>
    <w:p>
      <w:pPr>
        <w:pStyle w:val="Heading2"/>
        <w:spacing w:after="120" w:before="240"/>
      </w:pPr>
      <w:r>
        <w:rPr>
          <w:rFonts w:ascii="Arial" w:cs="Arial" w:eastAsia="Arial" w:hAnsi="Arial"/>
          <w:b/>
          <w:bCs/>
          <w:color w:val="333333"/>
          <w:sz w:val="26"/>
          <w:szCs w:val="26"/>
        </w:rPr>
        <w:t xml:space="preserve">10.4 Sage (European Culinary/Medicinal)</w:t>
      </w:r>
    </w:p>
    <w:p>
      <w:pPr>
        <w:spacing w:after="120" w:line="300"/>
      </w:pPr>
      <w:r>
        <w:rPr>
          <w:rFonts w:ascii="Arial" w:cs="Arial" w:eastAsia="Arial" w:hAnsi="Arial"/>
          <w:b/>
          <w:bCs/>
          <w:sz w:val="22"/>
          <w:szCs w:val="22"/>
        </w:rPr>
        <w:t xml:space="preserve">Use</w:t>
      </w:r>
      <w:r>
        <w:rPr>
          <w:rFonts w:ascii="Arial" w:cs="Arial" w:eastAsia="Arial" w:hAnsi="Arial"/>
          <w:sz w:val="22"/>
          <w:szCs w:val="22"/>
        </w:rPr>
        <w:t xml:space="preserve">: Common sage (variable 1,8-cineole: 4–50% depending on chemotype) used in </w:t>
      </w:r>
      <w:r>
        <w:rPr>
          <w:rFonts w:ascii="Arial" w:cs="Arial" w:eastAsia="Arial" w:hAnsi="Arial"/>
          <w:b/>
          <w:bCs/>
          <w:sz w:val="22"/>
          <w:szCs w:val="22"/>
        </w:rPr>
        <w:t xml:space="preserve">Italian, German, and Central European cuisine</w:t>
      </w:r>
      <w:r>
        <w:rPr>
          <w:rFonts w:ascii="Arial" w:cs="Arial" w:eastAsia="Arial" w:hAnsi="Arial"/>
          <w:sz w:val="22"/>
          <w:szCs w:val="22"/>
        </w:rPr>
        <w:t xml:space="preserve">.</w:t>
      </w:r>
    </w:p>
    <w:p>
      <w:pPr>
        <w:spacing w:after="120" w:line="300"/>
      </w:pPr>
      <w:r>
        <w:rPr>
          <w:rFonts w:ascii="Arial" w:cs="Arial" w:eastAsia="Arial" w:hAnsi="Arial"/>
          <w:b/>
          <w:bCs/>
          <w:sz w:val="22"/>
          <w:szCs w:val="22"/>
        </w:rPr>
        <w:t xml:space="preserve">Applications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Pasta sauces (brown sage butter — iconic)</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Poultry stuffing</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Cheese dishes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Herbal teas and infusions</w:t>
      </w:r>
    </w:p>
    <w:p>
      <w:pPr>
        <w:spacing w:after="120" w:line="300"/>
      </w:pPr>
      <w:r>
        <w:rPr>
          <w:rFonts w:ascii="Arial" w:cs="Arial" w:eastAsia="Arial" w:hAnsi="Arial"/>
          <w:b/>
          <w:bCs/>
          <w:sz w:val="22"/>
          <w:szCs w:val="22"/>
        </w:rPr>
        <w:t xml:space="preserve">Culinary Note</w:t>
      </w:r>
      <w:r>
        <w:rPr>
          <w:rFonts w:ascii="Arial" w:cs="Arial" w:eastAsia="Arial" w:hAnsi="Arial"/>
          <w:sz w:val="22"/>
          <w:szCs w:val="22"/>
        </w:rPr>
        <w:t xml:space="preserve">: Sage is </w:t>
      </w:r>
      <w:r>
        <w:rPr>
          <w:rFonts w:ascii="Arial" w:cs="Arial" w:eastAsia="Arial" w:hAnsi="Arial"/>
          <w:b/>
          <w:bCs/>
          <w:sz w:val="22"/>
          <w:szCs w:val="22"/>
        </w:rPr>
        <w:t xml:space="preserve">warm, slightly bitter, peppery</w:t>
      </w:r>
      <w:r>
        <w:rPr>
          <w:rFonts w:ascii="Arial" w:cs="Arial" w:eastAsia="Arial" w:hAnsi="Arial"/>
          <w:sz w:val="22"/>
          <w:szCs w:val="22"/>
        </w:rPr>
        <w:t xml:space="preserve">; the 1,8-cineole contributes freshness and aromatic lift.</w:t>
      </w:r>
    </w:p>
    <w:p>
      <w:pPr>
        <w:spacing w:after="120" w:line="300"/>
      </w:pPr>
      <w:r>
        <w:rPr>
          <w:rFonts w:ascii="Arial" w:cs="Arial" w:eastAsia="Arial" w:hAnsi="Arial"/>
          <w:b/>
          <w:bCs/>
          <w:sz w:val="22"/>
          <w:szCs w:val="22"/>
        </w:rPr>
        <w:t xml:space="preserve">Pre-Loading Suitability</w:t>
      </w:r>
      <w:r>
        <w:rPr>
          <w:rFonts w:ascii="Arial" w:cs="Arial" w:eastAsia="Arial" w:hAnsi="Arial"/>
          <w:sz w:val="22"/>
          <w:szCs w:val="22"/>
        </w:rPr>
        <w:t xml:space="preserve">: Sage tea or sage butter sauce (15–20 min before cannabis) offers moderate cineole pre-loading with familiar herbal flavor. </w:t>
      </w:r>
      <w:r>
        <w:rPr>
          <w:rFonts w:ascii="Arial" w:cs="Arial" w:eastAsia="Arial" w:hAnsi="Arial"/>
          <w:b/>
          <w:bCs/>
          <w:sz w:val="22"/>
          <w:szCs w:val="22"/>
        </w:rPr>
        <w:t xml:space="preserve">Select high-cineole, low-thujone chemotypes</w:t>
      </w:r>
      <w:r>
        <w:rPr>
          <w:rFonts w:ascii="Arial" w:cs="Arial" w:eastAsia="Arial" w:hAnsi="Arial"/>
          <w:sz w:val="22"/>
          <w:szCs w:val="22"/>
        </w:rPr>
        <w:t xml:space="preserve"> for safety and efficacy.</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838F"/>
          <w:sz w:val="30"/>
          <w:szCs w:val="30"/>
        </w:rPr>
        <w:t xml:space="preserve">11. Traditional Medicine</w:t>
      </w:r>
    </w:p>
    <w:p>
      <w:pPr>
        <w:pStyle w:val="Heading2"/>
        <w:spacing w:after="120" w:before="240"/>
      </w:pPr>
      <w:r>
        <w:rPr>
          <w:rFonts w:ascii="Arial" w:cs="Arial" w:eastAsia="Arial" w:hAnsi="Arial"/>
          <w:b/>
          <w:bCs/>
          <w:color w:val="333333"/>
          <w:sz w:val="26"/>
          <w:szCs w:val="26"/>
        </w:rPr>
        <w:t xml:space="preserve">11.1 Aboriginal Australian Medicine (40,000+ Years)</w:t>
      </w:r>
    </w:p>
    <w:p>
      <w:pPr>
        <w:spacing w:after="100" w:before="200"/>
      </w:pPr>
      <w:r>
        <w:rPr>
          <w:rFonts w:ascii="Arial" w:cs="Arial" w:eastAsia="Arial" w:hAnsi="Arial"/>
          <w:b/>
          <w:bCs/>
          <w:color w:val="444444"/>
          <w:sz w:val="24"/>
          <w:szCs w:val="24"/>
        </w:rPr>
        <w:t xml:space="preserve">Deep Historical Roots</w:t>
      </w:r>
    </w:p>
    <w:p>
      <w:pPr>
        <w:spacing w:after="120" w:line="300"/>
      </w:pPr>
      <w:r>
        <w:rPr>
          <w:rFonts w:ascii="Arial" w:cs="Arial" w:eastAsia="Arial" w:hAnsi="Arial"/>
          <w:sz w:val="22"/>
          <w:szCs w:val="22"/>
        </w:rPr>
        <w:t xml:space="preserve">Aboriginal Australian cultures have utilized </w:t>
      </w:r>
      <w:r>
        <w:rPr>
          <w:rFonts w:ascii="Arial" w:cs="Arial" w:eastAsia="Arial" w:hAnsi="Arial"/>
          <w:b/>
          <w:bCs/>
          <w:sz w:val="22"/>
          <w:szCs w:val="22"/>
        </w:rPr>
        <w:t xml:space="preserve">eucalyptus and related plants</w:t>
      </w:r>
      <w:r>
        <w:rPr>
          <w:rFonts w:ascii="Arial" w:cs="Arial" w:eastAsia="Arial" w:hAnsi="Arial"/>
          <w:sz w:val="22"/>
          <w:szCs w:val="22"/>
        </w:rPr>
        <w:t xml:space="preserve"> for </w:t>
      </w:r>
      <w:r>
        <w:rPr>
          <w:rFonts w:ascii="Arial" w:cs="Arial" w:eastAsia="Arial" w:hAnsi="Arial"/>
          <w:b/>
          <w:bCs/>
          <w:sz w:val="22"/>
          <w:szCs w:val="22"/>
        </w:rPr>
        <w:t xml:space="preserve">tens of thousands of years</w:t>
      </w:r>
      <w:r>
        <w:rPr>
          <w:rFonts w:ascii="Arial" w:cs="Arial" w:eastAsia="Arial" w:hAnsi="Arial"/>
          <w:sz w:val="22"/>
          <w:szCs w:val="22"/>
        </w:rPr>
        <w:t xml:space="preserve"> (likely 40,000+ years of use, though exact timelines are debated).</w:t>
      </w:r>
    </w:p>
    <w:p>
      <w:pPr>
        <w:spacing w:after="120" w:line="300"/>
      </w:pPr>
      <w:r>
        <w:rPr>
          <w:rFonts w:ascii="Arial" w:cs="Arial" w:eastAsia="Arial" w:hAnsi="Arial"/>
          <w:b/>
          <w:bCs/>
          <w:sz w:val="22"/>
          <w:szCs w:val="22"/>
        </w:rPr>
        <w:t xml:space="preserve">Historical Significance</w:t>
      </w:r>
      <w:r>
        <w:rPr>
          <w:rFonts w:ascii="Arial" w:cs="Arial" w:eastAsia="Arial" w:hAnsi="Arial"/>
          <w:sz w:val="22"/>
          <w:szCs w:val="22"/>
        </w:rPr>
        <w:t xml:space="preserve">: Aboriginal people developed sophisticated pharmacopeias of native Australian flora long before Western contact. Eucalyptus was central to this knowledge system.</w:t>
      </w:r>
    </w:p>
    <w:p>
      <w:pPr>
        <w:spacing w:after="100" w:before="200"/>
      </w:pPr>
      <w:r>
        <w:rPr>
          <w:rFonts w:ascii="Arial" w:cs="Arial" w:eastAsia="Arial" w:hAnsi="Arial"/>
          <w:b/>
          <w:bCs/>
          <w:color w:val="444444"/>
          <w:sz w:val="24"/>
          <w:szCs w:val="24"/>
        </w:rPr>
        <w:t xml:space="preserve">Traditional Applications</w:t>
      </w:r>
    </w:p>
    <w:p>
      <w:pPr>
        <w:spacing w:after="120" w:line="300"/>
      </w:pPr>
      <w:r>
        <w:rPr>
          <w:rFonts w:ascii="Arial" w:cs="Arial" w:eastAsia="Arial" w:hAnsi="Arial"/>
          <w:b/>
          <w:bCs/>
          <w:sz w:val="22"/>
          <w:szCs w:val="22"/>
        </w:rPr>
        <w:t xml:space="preserve">Wounds &amp; Infections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Eucalyptus leaves </w:t>
      </w:r>
      <w:r>
        <w:rPr>
          <w:rFonts w:ascii="Arial" w:cs="Arial" w:eastAsia="Arial" w:hAnsi="Arial"/>
          <w:b/>
          <w:bCs/>
          <w:sz w:val="22"/>
          <w:szCs w:val="22"/>
        </w:rPr>
        <w:t xml:space="preserve">boiled to create oil</w:t>
      </w:r>
      <w:r>
        <w:rPr>
          <w:rFonts w:ascii="Arial" w:cs="Arial" w:eastAsia="Arial" w:hAnsi="Arial"/>
          <w:sz w:val="22"/>
          <w:szCs w:val="22"/>
        </w:rPr>
        <w:t xml:space="preserve"> applied to bruises and cuts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Antiseptic and antimicrobial properties</w:t>
      </w:r>
      <w:r>
        <w:rPr>
          <w:rFonts w:ascii="Arial" w:cs="Arial" w:eastAsia="Arial" w:hAnsi="Arial"/>
          <w:sz w:val="22"/>
          <w:szCs w:val="22"/>
        </w:rPr>
        <w:t xml:space="preserve"> (now understood as 1,8-cineole-mediated) prevented infection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Crushed leaves applied directly to wounds for rapid absorption</w:t>
      </w:r>
    </w:p>
    <w:p>
      <w:pPr>
        <w:spacing w:after="120" w:line="300"/>
      </w:pPr>
      <w:r>
        <w:rPr>
          <w:rFonts w:ascii="Arial" w:cs="Arial" w:eastAsia="Arial" w:hAnsi="Arial"/>
          <w:b/>
          <w:bCs/>
          <w:sz w:val="22"/>
          <w:szCs w:val="22"/>
        </w:rPr>
        <w:t xml:space="preserve">Respiratory Conditions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Eucalyptus leaves </w:t>
      </w:r>
      <w:r>
        <w:rPr>
          <w:rFonts w:ascii="Arial" w:cs="Arial" w:eastAsia="Arial" w:hAnsi="Arial"/>
          <w:b/>
          <w:bCs/>
          <w:sz w:val="22"/>
          <w:szCs w:val="22"/>
        </w:rPr>
        <w:t xml:space="preserve">infused and inhaled</w:t>
      </w:r>
      <w:r>
        <w:rPr>
          <w:rFonts w:ascii="Arial" w:cs="Arial" w:eastAsia="Arial" w:hAnsi="Arial"/>
          <w:sz w:val="22"/>
          <w:szCs w:val="22"/>
        </w:rPr>
        <w:t xml:space="preserve"> to alleviate: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Asthma symptoms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Body aches and fever</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Chills and general respiratory discomfort</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Cold-like illnesses</w:t>
      </w:r>
    </w:p>
    <w:p>
      <w:pPr>
        <w:spacing w:after="120" w:line="300"/>
      </w:pPr>
      <w:r>
        <w:rPr>
          <w:rFonts w:ascii="Arial" w:cs="Arial" w:eastAsia="Arial" w:hAnsi="Arial"/>
          <w:b/>
          <w:bCs/>
          <w:sz w:val="22"/>
          <w:szCs w:val="22"/>
        </w:rPr>
        <w:t xml:space="preserve">Steam Baths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Eucalyptus steam inhalation</w:t>
      </w:r>
      <w:r>
        <w:rPr>
          <w:rFonts w:ascii="Arial" w:cs="Arial" w:eastAsia="Arial" w:hAnsi="Arial"/>
          <w:sz w:val="22"/>
          <w:szCs w:val="22"/>
        </w:rPr>
        <w:t xml:space="preserve"> used in respiratory treatment</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Similar to modern sauna/steam therapy; may represent ancestral understanding of bioavailability via inhalation</w:t>
      </w:r>
    </w:p>
    <w:p>
      <w:pPr>
        <w:spacing w:after="120" w:line="300"/>
      </w:pPr>
      <w:r>
        <w:rPr>
          <w:rFonts w:ascii="Arial" w:cs="Arial" w:eastAsia="Arial" w:hAnsi="Arial"/>
          <w:b/>
          <w:bCs/>
          <w:sz w:val="22"/>
          <w:szCs w:val="22"/>
        </w:rPr>
        <w:t xml:space="preserve">Fever &amp; General Illness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Eucalyptus decoctions used as </w:t>
      </w:r>
      <w:r>
        <w:rPr>
          <w:rFonts w:ascii="Arial" w:cs="Arial" w:eastAsia="Arial" w:hAnsi="Arial"/>
          <w:b/>
          <w:bCs/>
          <w:sz w:val="22"/>
          <w:szCs w:val="22"/>
        </w:rPr>
        <w:t xml:space="preserve">fever-reducing remedies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Anti-inflammatory properties (NF-κB suppression, IL-1β/TNFα reduction) now explain this effect</w:t>
      </w:r>
    </w:p>
    <w:p>
      <w:pPr>
        <w:spacing w:after="100" w:before="200"/>
      </w:pPr>
      <w:r>
        <w:rPr>
          <w:rFonts w:ascii="Arial" w:cs="Arial" w:eastAsia="Arial" w:hAnsi="Arial"/>
          <w:b/>
          <w:bCs/>
          <w:color w:val="444444"/>
          <w:sz w:val="24"/>
          <w:szCs w:val="24"/>
        </w:rPr>
        <w:t xml:space="preserve">Medicinal Properties Validated by Modern Science</w:t>
      </w:r>
    </w:p>
    <w:p>
      <w:pPr>
        <w:spacing w:after="120" w:line="300"/>
      </w:pPr>
      <w:r>
        <w:rPr>
          <w:rFonts w:ascii="Arial" w:cs="Arial" w:eastAsia="Arial" w:hAnsi="Arial"/>
          <w:sz w:val="22"/>
          <w:szCs w:val="22"/>
        </w:rPr>
        <w:t xml:space="preserve">1,8-cineole (60–80% of eucalyptus volatile oils) is </w:t>
      </w:r>
      <w:r>
        <w:rPr>
          <w:rFonts w:ascii="Arial" w:cs="Arial" w:eastAsia="Arial" w:hAnsi="Arial"/>
          <w:b/>
          <w:bCs/>
          <w:sz w:val="22"/>
          <w:szCs w:val="22"/>
        </w:rPr>
        <w:t xml:space="preserve">the primary active agent</w:t>
      </w:r>
      <w:r>
        <w:rPr>
          <w:rFonts w:ascii="Arial" w:cs="Arial" w:eastAsia="Arial" w:hAnsi="Arial"/>
          <w:sz w:val="22"/>
          <w:szCs w:val="22"/>
        </w:rPr>
        <w:t xml:space="preserve"> responsible for:</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Antimicrobial efficacy</w:t>
      </w:r>
      <w:r>
        <w:rPr>
          <w:rFonts w:ascii="Arial" w:cs="Arial" w:eastAsia="Arial" w:hAnsi="Arial"/>
          <w:sz w:val="22"/>
          <w:szCs w:val="22"/>
        </w:rPr>
        <w:t xml:space="preserve"> (broad-spectrum; inhibits gram-positive and gram-negative bacteria)</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Anti-inflammatory action</w:t>
      </w:r>
      <w:r>
        <w:rPr>
          <w:rFonts w:ascii="Arial" w:cs="Arial" w:eastAsia="Arial" w:hAnsi="Arial"/>
          <w:sz w:val="22"/>
          <w:szCs w:val="22"/>
        </w:rPr>
        <w:t xml:space="preserve"> (NF-κB suppression, cytokine reduction)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Bronchodilation &amp; mucolytic effects</w:t>
      </w:r>
      <w:r>
        <w:rPr>
          <w:rFonts w:ascii="Arial" w:cs="Arial" w:eastAsia="Arial" w:hAnsi="Arial"/>
          <w:sz w:val="22"/>
          <w:szCs w:val="22"/>
        </w:rPr>
        <w:t xml:space="preserve"> (ciliary beat frequency, mucin gene suppression)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Analgesic properties</w:t>
      </w:r>
      <w:r>
        <w:rPr>
          <w:rFonts w:ascii="Arial" w:cs="Arial" w:eastAsia="Arial" w:hAnsi="Arial"/>
          <w:sz w:val="22"/>
          <w:szCs w:val="22"/>
        </w:rPr>
        <w:t xml:space="preserve"> (pain relief)</w:t>
      </w:r>
    </w:p>
    <w:p>
      <w:pPr>
        <w:spacing w:after="100" w:before="200"/>
      </w:pPr>
      <w:r>
        <w:rPr>
          <w:rFonts w:ascii="Arial" w:cs="Arial" w:eastAsia="Arial" w:hAnsi="Arial"/>
          <w:b/>
          <w:bCs/>
          <w:color w:val="444444"/>
          <w:sz w:val="24"/>
          <w:szCs w:val="24"/>
        </w:rPr>
        <w:t xml:space="preserve">Modern Recognition</w:t>
      </w:r>
    </w:p>
    <w:p>
      <w:pPr>
        <w:spacing w:after="120" w:line="300"/>
      </w:pPr>
      <w:r>
        <w:rPr>
          <w:rFonts w:ascii="Arial" w:cs="Arial" w:eastAsia="Arial" w:hAnsi="Arial"/>
          <w:sz w:val="22"/>
          <w:szCs w:val="22"/>
        </w:rPr>
        <w:t xml:space="preserve">Today, eucalyptus oil is found in </w:t>
      </w:r>
      <w:r>
        <w:rPr>
          <w:rFonts w:ascii="Arial" w:cs="Arial" w:eastAsia="Arial" w:hAnsi="Arial"/>
          <w:b/>
          <w:bCs/>
          <w:sz w:val="22"/>
          <w:szCs w:val="22"/>
        </w:rPr>
        <w:t xml:space="preserve">commercial mouthwash, throat lozenges, cough suppressants</w:t>
      </w:r>
      <w:r>
        <w:rPr>
          <w:rFonts w:ascii="Arial" w:cs="Arial" w:eastAsia="Arial" w:hAnsi="Arial"/>
          <w:sz w:val="22"/>
          <w:szCs w:val="22"/>
        </w:rPr>
        <w:t xml:space="preserve">, and respiratory products — all descended from Aboriginal medicine.</w:t>
      </w:r>
    </w:p>
    <w:p>
      <w:pPr>
        <w:spacing w:after="120" w:line="300"/>
      </w:pPr>
      <w:r>
        <w:rPr>
          <w:rFonts w:ascii="Arial" w:cs="Arial" w:eastAsia="Arial" w:hAnsi="Arial"/>
          <w:b/>
          <w:bCs/>
          <w:sz w:val="22"/>
          <w:szCs w:val="22"/>
        </w:rPr>
        <w:t xml:space="preserve">Pre-Loading Cultural Resonance</w:t>
      </w:r>
      <w:r>
        <w:rPr>
          <w:rFonts w:ascii="Arial" w:cs="Arial" w:eastAsia="Arial" w:hAnsi="Arial"/>
          <w:sz w:val="22"/>
          <w:szCs w:val="22"/>
        </w:rPr>
        <w:t xml:space="preserve">: Utilizing eucalyptus or related plants for pre-loading taps into </w:t>
      </w:r>
      <w:r>
        <w:rPr>
          <w:rFonts w:ascii="Arial" w:cs="Arial" w:eastAsia="Arial" w:hAnsi="Arial"/>
          <w:b/>
          <w:bCs/>
          <w:sz w:val="22"/>
          <w:szCs w:val="22"/>
        </w:rPr>
        <w:t xml:space="preserve">40,000+ years of cross-cultural empirical validation</w:t>
      </w:r>
      <w:r>
        <w:rPr>
          <w:rFonts w:ascii="Arial" w:cs="Arial" w:eastAsia="Arial" w:hAnsi="Arial"/>
          <w:sz w:val="22"/>
          <w:szCs w:val="22"/>
        </w:rPr>
        <w:t xml:space="preserve">. This deep historical precedent may enhance the ritual and psychological framework of pre-loading practice.</w:t>
      </w:r>
    </w:p>
    <w:p>
      <w:pPr>
        <w:spacing w:after="120" w:line="300"/>
      </w:pPr>
      <w:r>
        <w:rPr>
          <w:rFonts w:ascii="Arial" w:cs="Arial" w:eastAsia="Arial" w:hAnsi="Arial"/>
          <w:b/>
          <w:bCs/>
          <w:sz w:val="22"/>
          <w:szCs w:val="22"/>
        </w:rPr>
        <w:t xml:space="preserve">Sources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[Medicinal Plants of the Australian Aboriginal Dharawal People - PMC](https://pmc.ncbi.nlm.nih.gov/articles/PMC5223016/)</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[5 culturally-significant trees - WWF Australia](https://wwf.org.au/blogs/treetment-5-culturally-significant-trees-used-in-aboriginal-and-torres-strait-islander-medicine/)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[Aboriginal Plant Use in SE Australia](https://anbg.gov.au/aborig.s.e.aust/eucalyptus-species.html)</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[Aboriginal Bush Medicine: 60,000 Years of Dreamtime Plant Knowledge](https://mysticryst.com/blogs/the-mystic-journal/aboriginal-bush-medicine-60000-years-dreamtime-plant-knowledge-australian-indigenous-herbalism-sacred-plants)</w:t>
      </w:r>
    </w:p>
    <w:p>
      <w:pPr>
        <w:pStyle w:val="Heading2"/>
        <w:spacing w:after="120" w:before="240"/>
      </w:pPr>
      <w:r>
        <w:rPr>
          <w:rFonts w:ascii="Arial" w:cs="Arial" w:eastAsia="Arial" w:hAnsi="Arial"/>
          <w:b/>
          <w:bCs/>
          <w:color w:val="333333"/>
          <w:sz w:val="26"/>
          <w:szCs w:val="26"/>
        </w:rPr>
        <w:t xml:space="preserve">11.2 Ayurvedic Medicine (Cardamom/Ela)</w:t>
      </w:r>
    </w:p>
    <w:p>
      <w:pPr>
        <w:spacing w:after="100" w:before="200"/>
      </w:pPr>
      <w:r>
        <w:rPr>
          <w:rFonts w:ascii="Arial" w:cs="Arial" w:eastAsia="Arial" w:hAnsi="Arial"/>
          <w:b/>
          <w:bCs/>
          <w:color w:val="444444"/>
          <w:sz w:val="24"/>
          <w:szCs w:val="24"/>
        </w:rPr>
        <w:t xml:space="preserve">Cardamom in Ayurveda</w:t>
      </w:r>
    </w:p>
    <w:p>
      <w:pPr>
        <w:spacing w:after="120" w:line="300"/>
      </w:pPr>
      <w:r>
        <w:rPr>
          <w:rFonts w:ascii="Arial" w:cs="Arial" w:eastAsia="Arial" w:hAnsi="Arial"/>
          <w:b/>
          <w:bCs/>
          <w:sz w:val="22"/>
          <w:szCs w:val="22"/>
        </w:rPr>
        <w:t xml:space="preserve">Sanskrit Name</w:t>
      </w:r>
      <w:r>
        <w:rPr>
          <w:rFonts w:ascii="Arial" w:cs="Arial" w:eastAsia="Arial" w:hAnsi="Arial"/>
          <w:sz w:val="22"/>
          <w:szCs w:val="22"/>
        </w:rPr>
        <w:t xml:space="preserve">: Ela or Truti</w:t>
      </w:r>
    </w:p>
    <w:p>
      <w:pPr>
        <w:spacing w:after="120" w:line="300"/>
      </w:pPr>
      <w:r>
        <w:rPr>
          <w:rFonts w:ascii="Arial" w:cs="Arial" w:eastAsia="Arial" w:hAnsi="Arial"/>
          <w:b/>
          <w:bCs/>
          <w:sz w:val="22"/>
          <w:szCs w:val="22"/>
        </w:rPr>
        <w:t xml:space="preserve">Energetic Classification</w:t>
      </w:r>
      <w:r>
        <w:rPr>
          <w:rFonts w:ascii="Arial" w:cs="Arial" w:eastAsia="Arial" w:hAnsi="Arial"/>
          <w:sz w:val="22"/>
          <w:szCs w:val="22"/>
        </w:rPr>
        <w:t xml:space="preserve"> (Dosha): Warming, stimulating; balances Kapha and Vata; may slightly increase Pitta in excess</w:t>
      </w:r>
    </w:p>
    <w:p>
      <w:pPr>
        <w:spacing w:after="120" w:line="300"/>
      </w:pPr>
      <w:r>
        <w:rPr>
          <w:rFonts w:ascii="Arial" w:cs="Arial" w:eastAsia="Arial" w:hAnsi="Arial"/>
          <w:b/>
          <w:bCs/>
          <w:sz w:val="22"/>
          <w:szCs w:val="22"/>
        </w:rPr>
        <w:t xml:space="preserve">Traditional Indications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Digestive disorders</w:t>
      </w:r>
      <w:r>
        <w:rPr>
          <w:rFonts w:ascii="Arial" w:cs="Arial" w:eastAsia="Arial" w:hAnsi="Arial"/>
          <w:sz w:val="22"/>
          <w:szCs w:val="22"/>
        </w:rPr>
        <w:t xml:space="preserve">: Poor absorption, indigestion, bloating</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Respiratory</w:t>
      </w:r>
      <w:r>
        <w:rPr>
          <w:rFonts w:ascii="Arial" w:cs="Arial" w:eastAsia="Arial" w:hAnsi="Arial"/>
          <w:sz w:val="22"/>
          <w:szCs w:val="22"/>
        </w:rPr>
        <w:t xml:space="preserve">: Asthma, bronchitis, cough, hoarse voice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Genitourinary</w:t>
      </w:r>
      <w:r>
        <w:rPr>
          <w:rFonts w:ascii="Arial" w:cs="Arial" w:eastAsia="Arial" w:hAnsi="Arial"/>
          <w:sz w:val="22"/>
          <w:szCs w:val="22"/>
        </w:rPr>
        <w:t xml:space="preserve">: Impotence, urinary complaints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Metabolic</w:t>
      </w:r>
      <w:r>
        <w:rPr>
          <w:rFonts w:ascii="Arial" w:cs="Arial" w:eastAsia="Arial" w:hAnsi="Arial"/>
          <w:sz w:val="22"/>
          <w:szCs w:val="22"/>
        </w:rPr>
        <w:t xml:space="preserve">: Blood pressure regulation, general vitality</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Nervous System</w:t>
      </w:r>
      <w:r>
        <w:rPr>
          <w:rFonts w:ascii="Arial" w:cs="Arial" w:eastAsia="Arial" w:hAnsi="Arial"/>
          <w:sz w:val="22"/>
          <w:szCs w:val="22"/>
        </w:rPr>
        <w:t xml:space="preserve">: Nervous digestive upset, mood stabilization</w:t>
      </w:r>
    </w:p>
    <w:p>
      <w:pPr>
        <w:spacing w:after="120" w:line="300"/>
      </w:pPr>
      <w:r>
        <w:rPr>
          <w:rFonts w:ascii="Arial" w:cs="Arial" w:eastAsia="Arial" w:hAnsi="Arial"/>
          <w:b/>
          <w:bCs/>
          <w:sz w:val="22"/>
          <w:szCs w:val="22"/>
        </w:rPr>
        <w:t xml:space="preserve">Mechanism in Ayurvedic Theory</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Cardamom's </w:t>
      </w:r>
      <w:r>
        <w:rPr>
          <w:rFonts w:ascii="Arial" w:cs="Arial" w:eastAsia="Arial" w:hAnsi="Arial"/>
          <w:b/>
          <w:bCs/>
          <w:sz w:val="22"/>
          <w:szCs w:val="22"/>
        </w:rPr>
        <w:t xml:space="preserve">warming, diffusive qualities</w:t>
      </w:r>
      <w:r>
        <w:rPr>
          <w:rFonts w:ascii="Arial" w:cs="Arial" w:eastAsia="Arial" w:hAnsi="Arial"/>
          <w:sz w:val="22"/>
          <w:szCs w:val="22"/>
        </w:rPr>
        <w:t xml:space="preserve"> (attributed to volatile oils including 1,8-cineole) stimulate digestion and circulation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Respiratory support</w:t>
      </w:r>
      <w:r>
        <w:rPr>
          <w:rFonts w:ascii="Arial" w:cs="Arial" w:eastAsia="Arial" w:hAnsi="Arial"/>
          <w:sz w:val="22"/>
          <w:szCs w:val="22"/>
        </w:rPr>
        <w:t xml:space="preserve"> via mucolytic and anti-inflammatory 1,8-cineole</w:t>
      </w:r>
    </w:p>
    <w:p>
      <w:pPr>
        <w:spacing w:after="100" w:before="200"/>
      </w:pPr>
      <w:r>
        <w:rPr>
          <w:rFonts w:ascii="Arial" w:cs="Arial" w:eastAsia="Arial" w:hAnsi="Arial"/>
          <w:b/>
          <w:bCs/>
          <w:color w:val="444444"/>
          <w:sz w:val="24"/>
          <w:szCs w:val="24"/>
        </w:rPr>
        <w:t xml:space="preserve">Modern Validation</w:t>
      </w:r>
    </w:p>
    <w:p>
      <w:pPr>
        <w:spacing w:after="120" w:line="300"/>
      </w:pPr>
      <w:r>
        <w:rPr>
          <w:rFonts w:ascii="Arial" w:cs="Arial" w:eastAsia="Arial" w:hAnsi="Arial"/>
          <w:sz w:val="22"/>
          <w:szCs w:val="22"/>
        </w:rPr>
        <w:t xml:space="preserve">Ayurvedic use of cardamom for respiratory and digestive health aligns with modern pharmacology:</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1,8-cineole</w:t>
      </w:r>
      <w:r>
        <w:rPr>
          <w:rFonts w:ascii="Arial" w:cs="Arial" w:eastAsia="Arial" w:hAnsi="Arial"/>
          <w:sz w:val="22"/>
          <w:szCs w:val="22"/>
        </w:rPr>
        <w:t xml:space="preserve"> (40–60%) provides anti-inflammatory, bronchodilator, and mucolytic effects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Digestive warming</w:t>
      </w:r>
      <w:r>
        <w:rPr>
          <w:rFonts w:ascii="Arial" w:cs="Arial" w:eastAsia="Arial" w:hAnsi="Arial"/>
          <w:sz w:val="22"/>
          <w:szCs w:val="22"/>
        </w:rPr>
        <w:t xml:space="preserve"> from cardamom spice profile supports gastrointestinal comfort</w:t>
      </w:r>
    </w:p>
    <w:p>
      <w:pPr>
        <w:spacing w:after="100" w:before="200"/>
      </w:pPr>
      <w:r>
        <w:rPr>
          <w:rFonts w:ascii="Arial" w:cs="Arial" w:eastAsia="Arial" w:hAnsi="Arial"/>
          <w:b/>
          <w:bCs/>
          <w:color w:val="444444"/>
          <w:sz w:val="24"/>
          <w:szCs w:val="24"/>
        </w:rPr>
        <w:t xml:space="preserve">Pre-Loading Integration: Chai Ritual</w:t>
      </w:r>
    </w:p>
    <w:p>
      <w:pPr>
        <w:spacing w:after="120" w:line="300"/>
      </w:pPr>
      <w:r>
        <w:rPr>
          <w:rFonts w:ascii="Arial" w:cs="Arial" w:eastAsia="Arial" w:hAnsi="Arial"/>
          <w:b/>
          <w:bCs/>
          <w:sz w:val="22"/>
          <w:szCs w:val="22"/>
        </w:rPr>
        <w:t xml:space="preserve">Traditional Chai Composition</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Black tea (caffeine, L-theanine)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Cardamom pods (40–60% 1,8-cineole + warming spices)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Ginger, cinnamon, cloves, black pepper</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Milk and sweetener</w:t>
      </w:r>
    </w:p>
    <w:p>
      <w:pPr>
        <w:spacing w:after="120" w:line="300"/>
      </w:pPr>
      <w:r>
        <w:rPr>
          <w:rFonts w:ascii="Arial" w:cs="Arial" w:eastAsia="Arial" w:hAnsi="Arial"/>
          <w:b/>
          <w:bCs/>
          <w:sz w:val="22"/>
          <w:szCs w:val="22"/>
        </w:rPr>
        <w:t xml:space="preserve">Pre-Loading Timing</w:t>
      </w:r>
      <w:r>
        <w:rPr>
          <w:rFonts w:ascii="Arial" w:cs="Arial" w:eastAsia="Arial" w:hAnsi="Arial"/>
          <w:sz w:val="22"/>
          <w:szCs w:val="22"/>
        </w:rPr>
        <w:t xml:space="preserve">: A warm cup of </w:t>
      </w:r>
      <w:r>
        <w:rPr>
          <w:rFonts w:ascii="Arial" w:cs="Arial" w:eastAsia="Arial" w:hAnsi="Arial"/>
          <w:b/>
          <w:bCs/>
          <w:sz w:val="22"/>
          <w:szCs w:val="22"/>
        </w:rPr>
        <w:t xml:space="preserve">cardamom chai 20–30 minutes before cannabis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Delivers 1,8-cineole orally and via aroma inhalation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Provides warming, grounding ritual</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Primes digestive system for post-cannabis meal</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Leverages 5,000+ years of Ayurvedic precedent for efficacy</w:t>
      </w:r>
    </w:p>
    <w:p>
      <w:pPr>
        <w:spacing w:after="120" w:line="300"/>
      </w:pPr>
      <w:r>
        <w:rPr>
          <w:rFonts w:ascii="Arial" w:cs="Arial" w:eastAsia="Arial" w:hAnsi="Arial"/>
          <w:b/>
          <w:bCs/>
          <w:sz w:val="22"/>
          <w:szCs w:val="22"/>
        </w:rPr>
        <w:t xml:space="preserve">Sources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[Amomum subulatum Roxb./ Black Cardamom - Planet Ayurveda](https://www.planetayurveda.com/library/amomum-subulatum-roxb-amomum-nepal-or-greater-cardamom-black-cardamom-badi-elaichi/)</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[Cardamom Remedies: 8 Healing Uses - Ayurved Healing](https://www.ayurvedhealing.com/cardamom-remedies-elaichi-uses/)</w:t>
      </w:r>
    </w:p>
    <w:p>
      <w:pPr>
        <w:pStyle w:val="Heading2"/>
        <w:spacing w:after="120" w:before="240"/>
      </w:pPr>
      <w:r>
        <w:rPr>
          <w:rFonts w:ascii="Arial" w:cs="Arial" w:eastAsia="Arial" w:hAnsi="Arial"/>
          <w:b/>
          <w:bCs/>
          <w:color w:val="333333"/>
          <w:sz w:val="26"/>
          <w:szCs w:val="26"/>
        </w:rPr>
        <w:t xml:space="preserve">11.3 European Herbalism (Rosemary, Sage)</w:t>
      </w:r>
    </w:p>
    <w:p>
      <w:pPr>
        <w:spacing w:after="100" w:before="200"/>
      </w:pPr>
      <w:r>
        <w:rPr>
          <w:rFonts w:ascii="Arial" w:cs="Arial" w:eastAsia="Arial" w:hAnsi="Arial"/>
          <w:b/>
          <w:bCs/>
          <w:color w:val="444444"/>
          <w:sz w:val="24"/>
          <w:szCs w:val="24"/>
        </w:rPr>
        <w:t xml:space="preserve">Rosemary: The Memory Herb</w:t>
      </w:r>
    </w:p>
    <w:p>
      <w:pPr>
        <w:spacing w:after="120" w:line="300"/>
      </w:pPr>
      <w:r>
        <w:rPr>
          <w:rFonts w:ascii="Arial" w:cs="Arial" w:eastAsia="Arial" w:hAnsi="Arial"/>
          <w:b/>
          <w:bCs/>
          <w:sz w:val="22"/>
          <w:szCs w:val="22"/>
        </w:rPr>
        <w:t xml:space="preserve">Historical Use</w:t>
      </w:r>
      <w:r>
        <w:rPr>
          <w:rFonts w:ascii="Arial" w:cs="Arial" w:eastAsia="Arial" w:hAnsi="Arial"/>
          <w:sz w:val="22"/>
          <w:szCs w:val="22"/>
        </w:rPr>
        <w:t xml:space="preserve">: Rosemary has been </w:t>
      </w:r>
      <w:r>
        <w:rPr>
          <w:rFonts w:ascii="Arial" w:cs="Arial" w:eastAsia="Arial" w:hAnsi="Arial"/>
          <w:b/>
          <w:bCs/>
          <w:sz w:val="22"/>
          <w:szCs w:val="22"/>
        </w:rPr>
        <w:t xml:space="preserve">revered in European herbalism for centuries</w:t>
      </w:r>
      <w:r>
        <w:rPr>
          <w:rFonts w:ascii="Arial" w:cs="Arial" w:eastAsia="Arial" w:hAnsi="Arial"/>
          <w:sz w:val="22"/>
          <w:szCs w:val="22"/>
        </w:rPr>
        <w:t xml:space="preserve"> as a symbol and treatment agent for memory, focus, and mental clarity.</w:t>
      </w:r>
    </w:p>
    <w:p>
      <w:pPr>
        <w:spacing w:after="120" w:line="300"/>
      </w:pPr>
      <w:r>
        <w:rPr>
          <w:rFonts w:ascii="Arial" w:cs="Arial" w:eastAsia="Arial" w:hAnsi="Arial"/>
          <w:b/>
          <w:bCs/>
          <w:sz w:val="22"/>
          <w:szCs w:val="22"/>
        </w:rPr>
        <w:t xml:space="preserve">Shakespeare Reference</w:t>
      </w:r>
      <w:r>
        <w:rPr>
          <w:rFonts w:ascii="Arial" w:cs="Arial" w:eastAsia="Arial" w:hAnsi="Arial"/>
          <w:sz w:val="22"/>
          <w:szCs w:val="22"/>
        </w:rPr>
        <w:t xml:space="preserve">: In *Hamlet* (Act IV, Scene 5), Ophelia states: "There's rosemary, that's for remembrance; pray, love, remember."</w:t>
      </w:r>
    </w:p>
    <w:p>
      <w:pPr>
        <w:spacing w:after="120" w:line="300"/>
      </w:pPr>
      <w:r>
        <w:rPr>
          <w:rFonts w:ascii="Arial" w:cs="Arial" w:eastAsia="Arial" w:hAnsi="Arial"/>
          <w:b/>
          <w:bCs/>
          <w:sz w:val="22"/>
          <w:szCs w:val="22"/>
        </w:rPr>
        <w:t xml:space="preserve">Traditional Applications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Memory enhancement (infusions, inhalation, topical oils)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Circulatory support (warming herb)</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Digestive and liver support</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Antiseptic and antimicrobial (wound healing)</w:t>
      </w:r>
    </w:p>
    <w:p>
      <w:pPr>
        <w:spacing w:after="120" w:line="300"/>
      </w:pPr>
      <w:r>
        <w:rPr>
          <w:rFonts w:ascii="Arial" w:cs="Arial" w:eastAsia="Arial" w:hAnsi="Arial"/>
          <w:b/>
          <w:bCs/>
          <w:sz w:val="22"/>
          <w:szCs w:val="22"/>
        </w:rPr>
        <w:t xml:space="preserve">Modern Validation</w:t>
      </w:r>
      <w:r>
        <w:rPr>
          <w:rFonts w:ascii="Arial" w:cs="Arial" w:eastAsia="Arial" w:hAnsi="Arial"/>
          <w:sz w:val="22"/>
          <w:szCs w:val="22"/>
        </w:rPr>
        <w:t xml:space="preserve">: The Moss &amp; Oliver 2012 study provided </w:t>
      </w:r>
      <w:r>
        <w:rPr>
          <w:rFonts w:ascii="Arial" w:cs="Arial" w:eastAsia="Arial" w:hAnsi="Arial"/>
          <w:b/>
          <w:bCs/>
          <w:sz w:val="22"/>
          <w:szCs w:val="22"/>
        </w:rPr>
        <w:t xml:space="preserve">first rigorous human evidence</w:t>
      </w:r>
      <w:r>
        <w:rPr>
          <w:rFonts w:ascii="Arial" w:cs="Arial" w:eastAsia="Arial" w:hAnsi="Arial"/>
          <w:sz w:val="22"/>
          <w:szCs w:val="22"/>
        </w:rPr>
        <w:t xml:space="preserve"> that rosemary's cognitive benefits are real and attributable to 1,8-cineole + α-pinene.</w:t>
      </w:r>
    </w:p>
    <w:p>
      <w:pPr>
        <w:spacing w:after="100" w:before="200"/>
      </w:pPr>
      <w:r>
        <w:rPr>
          <w:rFonts w:ascii="Arial" w:cs="Arial" w:eastAsia="Arial" w:hAnsi="Arial"/>
          <w:b/>
          <w:bCs/>
          <w:color w:val="444444"/>
          <w:sz w:val="24"/>
          <w:szCs w:val="24"/>
        </w:rPr>
        <w:t xml:space="preserve">Sage: Wisdom Herb</w:t>
      </w:r>
    </w:p>
    <w:p>
      <w:pPr>
        <w:spacing w:after="120" w:line="300"/>
      </w:pPr>
      <w:r>
        <w:rPr>
          <w:rFonts w:ascii="Arial" w:cs="Arial" w:eastAsia="Arial" w:hAnsi="Arial"/>
          <w:b/>
          <w:bCs/>
          <w:sz w:val="22"/>
          <w:szCs w:val="22"/>
        </w:rPr>
        <w:t xml:space="preserve">Historical Use</w:t>
      </w:r>
      <w:r>
        <w:rPr>
          <w:rFonts w:ascii="Arial" w:cs="Arial" w:eastAsia="Arial" w:hAnsi="Arial"/>
          <w:sz w:val="22"/>
          <w:szCs w:val="22"/>
        </w:rPr>
        <w:t xml:space="preserve">: Sage (from Latin "salvus" = health) has been used in European herbalism for:</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Sore throat relief (antimicrobial, astringent)</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Memory and mental clarity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Menopausal symptom management</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Digestive support</w:t>
      </w:r>
    </w:p>
    <w:p>
      <w:pPr>
        <w:spacing w:after="120" w:line="300"/>
      </w:pPr>
      <w:r>
        <w:rPr>
          <w:rFonts w:ascii="Arial" w:cs="Arial" w:eastAsia="Arial" w:hAnsi="Arial"/>
          <w:b/>
          <w:bCs/>
          <w:sz w:val="22"/>
          <w:szCs w:val="22"/>
        </w:rPr>
        <w:t xml:space="preserve">Mechanism</w:t>
      </w:r>
      <w:r>
        <w:rPr>
          <w:rFonts w:ascii="Arial" w:cs="Arial" w:eastAsia="Arial" w:hAnsi="Arial"/>
          <w:sz w:val="22"/>
          <w:szCs w:val="22"/>
        </w:rPr>
        <w:t xml:space="preserve">: Sage's variable 1,8-cineole content (4–50% depending on chemotype) plus thujone and other terpenes provide anti-inflammatory and antimicrobial actions.</w:t>
      </w:r>
    </w:p>
    <w:p>
      <w:pPr>
        <w:spacing w:after="100" w:before="200"/>
      </w:pPr>
      <w:r>
        <w:rPr>
          <w:rFonts w:ascii="Arial" w:cs="Arial" w:eastAsia="Arial" w:hAnsi="Arial"/>
          <w:b/>
          <w:bCs/>
          <w:color w:val="444444"/>
          <w:sz w:val="24"/>
          <w:szCs w:val="24"/>
        </w:rPr>
        <w:t xml:space="preserve">Pre-Loading with European Herbs</w:t>
      </w:r>
    </w:p>
    <w:p>
      <w:pPr>
        <w:spacing w:after="120" w:line="300"/>
      </w:pPr>
      <w:r>
        <w:rPr>
          <w:rFonts w:ascii="Arial" w:cs="Arial" w:eastAsia="Arial" w:hAnsi="Arial"/>
          <w:b/>
          <w:bCs/>
          <w:sz w:val="22"/>
          <w:szCs w:val="22"/>
        </w:rPr>
        <w:t xml:space="preserve">Rosemary Pre-Loading</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20–30 min before cannabis, inhale rosemary essential oil (ct. cineole, 40–55% 1,8-cineole)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Or consume rosemary-infused oil/tea</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Taps into centuries of "memory herb" tradition; combines with modern pharmacology</w:t>
      </w:r>
    </w:p>
    <w:p>
      <w:pPr>
        <w:spacing w:after="120" w:line="300"/>
      </w:pPr>
      <w:r>
        <w:rPr>
          <w:rFonts w:ascii="Arial" w:cs="Arial" w:eastAsia="Arial" w:hAnsi="Arial"/>
          <w:b/>
          <w:bCs/>
          <w:sz w:val="22"/>
          <w:szCs w:val="22"/>
        </w:rPr>
        <w:t xml:space="preserve">Sage Pre-Loading</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Select </w:t>
      </w:r>
      <w:r>
        <w:rPr>
          <w:rFonts w:ascii="Arial" w:cs="Arial" w:eastAsia="Arial" w:hAnsi="Arial"/>
          <w:b/>
          <w:bCs/>
          <w:sz w:val="22"/>
          <w:szCs w:val="22"/>
        </w:rPr>
        <w:t xml:space="preserve">high-cineole, low-thujone varieties</w:t>
      </w:r>
      <w:r>
        <w:rPr>
          <w:rFonts w:ascii="Arial" w:cs="Arial" w:eastAsia="Arial" w:hAnsi="Arial"/>
          <w:sz w:val="22"/>
          <w:szCs w:val="22"/>
        </w:rPr>
        <w:t xml:space="preserve"> (to avoid neurotoxicity)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Sage tea or essential oil inhalation 15–30 min before cannabis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Supports cognitive clarity and antiseptic respiratory effects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838F"/>
          <w:sz w:val="30"/>
          <w:szCs w:val="30"/>
        </w:rPr>
        <w:t xml:space="preserve">12. Forest Ecology</w:t>
      </w:r>
    </w:p>
    <w:p>
      <w:pPr>
        <w:pStyle w:val="Heading2"/>
        <w:spacing w:after="120" w:before="240"/>
      </w:pPr>
      <w:r>
        <w:rPr>
          <w:rFonts w:ascii="Arial" w:cs="Arial" w:eastAsia="Arial" w:hAnsi="Arial"/>
          <w:b/>
          <w:bCs/>
          <w:color w:val="333333"/>
          <w:sz w:val="26"/>
          <w:szCs w:val="26"/>
        </w:rPr>
        <w:t xml:space="preserve">12.1 Eucalyptus Allelopathy</w:t>
      </w:r>
    </w:p>
    <w:p>
      <w:pPr>
        <w:spacing w:after="100" w:before="200"/>
      </w:pPr>
      <w:r>
        <w:rPr>
          <w:rFonts w:ascii="Arial" w:cs="Arial" w:eastAsia="Arial" w:hAnsi="Arial"/>
          <w:b/>
          <w:bCs/>
          <w:color w:val="444444"/>
          <w:sz w:val="24"/>
          <w:szCs w:val="24"/>
        </w:rPr>
        <w:t xml:space="preserve">Definition &amp; Function</w:t>
      </w:r>
    </w:p>
    <w:p>
      <w:pPr>
        <w:spacing w:after="120" w:line="300"/>
      </w:pPr>
      <w:r>
        <w:rPr>
          <w:rFonts w:ascii="Arial" w:cs="Arial" w:eastAsia="Arial" w:hAnsi="Arial"/>
          <w:b/>
          <w:bCs/>
          <w:sz w:val="22"/>
          <w:szCs w:val="22"/>
        </w:rPr>
        <w:t xml:space="preserve">Allelopathy</w:t>
      </w:r>
      <w:r>
        <w:rPr>
          <w:rFonts w:ascii="Arial" w:cs="Arial" w:eastAsia="Arial" w:hAnsi="Arial"/>
          <w:sz w:val="22"/>
          <w:szCs w:val="22"/>
        </w:rPr>
        <w:t xml:space="preserve"> is the production of chemical compounds that inhibit the growth or reproduction of neighboring plant species. Eucalyptus trees are </w:t>
      </w:r>
      <w:r>
        <w:rPr>
          <w:rFonts w:ascii="Arial" w:cs="Arial" w:eastAsia="Arial" w:hAnsi="Arial"/>
          <w:b/>
          <w:bCs/>
          <w:sz w:val="22"/>
          <w:szCs w:val="22"/>
        </w:rPr>
        <w:t xml:space="preserve">strong allelopaths</w:t>
      </w:r>
      <w:r>
        <w:rPr>
          <w:rFonts w:ascii="Arial" w:cs="Arial" w:eastAsia="Arial" w:hAnsi="Arial"/>
          <w:sz w:val="22"/>
          <w:szCs w:val="22"/>
        </w:rPr>
        <w:t xml:space="preserve">.</w:t>
      </w:r>
    </w:p>
    <w:p>
      <w:pPr>
        <w:spacing w:after="100" w:before="200"/>
      </w:pPr>
      <w:r>
        <w:rPr>
          <w:rFonts w:ascii="Arial" w:cs="Arial" w:eastAsia="Arial" w:hAnsi="Arial"/>
          <w:b/>
          <w:bCs/>
          <w:color w:val="444444"/>
          <w:sz w:val="24"/>
          <w:szCs w:val="24"/>
        </w:rPr>
        <w:t xml:space="preserve">Mechanisms in Eucalyptus Forests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Leaf Litter Inhibition</w:t>
      </w:r>
      <w:r>
        <w:rPr>
          <w:rFonts w:ascii="Arial" w:cs="Arial" w:eastAsia="Arial" w:hAnsi="Arial"/>
          <w:sz w:val="22"/>
          <w:szCs w:val="22"/>
        </w:rPr>
        <w:t xml:space="preserve">: Eucalyptus leaves contain high concentrations of 1,8-cineole and other terpenes. When leaves fall:</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The terpenes </w:t>
      </w:r>
      <w:r>
        <w:rPr>
          <w:rFonts w:ascii="Arial" w:cs="Arial" w:eastAsia="Arial" w:hAnsi="Arial"/>
          <w:b/>
          <w:bCs/>
          <w:sz w:val="22"/>
          <w:szCs w:val="22"/>
        </w:rPr>
        <w:t xml:space="preserve">inhibit germination</w:t>
      </w:r>
      <w:r>
        <w:rPr>
          <w:rFonts w:ascii="Arial" w:cs="Arial" w:eastAsia="Arial" w:hAnsi="Arial"/>
          <w:sz w:val="22"/>
          <w:szCs w:val="22"/>
        </w:rPr>
        <w:t xml:space="preserve"> of competing plant species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The </w:t>
      </w:r>
      <w:r>
        <w:rPr>
          <w:rFonts w:ascii="Arial" w:cs="Arial" w:eastAsia="Arial" w:hAnsi="Arial"/>
          <w:b/>
          <w:bCs/>
          <w:sz w:val="22"/>
          <w:szCs w:val="22"/>
        </w:rPr>
        <w:t xml:space="preserve">leaf material resists microbial decomposition</w:t>
      </w:r>
      <w:r>
        <w:rPr>
          <w:rFonts w:ascii="Arial" w:cs="Arial" w:eastAsia="Arial" w:hAnsi="Arial"/>
          <w:sz w:val="22"/>
          <w:szCs w:val="22"/>
        </w:rPr>
        <w:t xml:space="preserve"> (due to antimicrobial terpenes)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This creates a </w:t>
      </w:r>
      <w:r>
        <w:rPr>
          <w:rFonts w:ascii="Arial" w:cs="Arial" w:eastAsia="Arial" w:hAnsi="Arial"/>
          <w:b/>
          <w:bCs/>
          <w:sz w:val="22"/>
          <w:szCs w:val="22"/>
        </w:rPr>
        <w:t xml:space="preserve">chemical moat</w:t>
      </w:r>
      <w:r>
        <w:rPr>
          <w:rFonts w:ascii="Arial" w:cs="Arial" w:eastAsia="Arial" w:hAnsi="Arial"/>
          <w:sz w:val="22"/>
          <w:szCs w:val="22"/>
        </w:rPr>
        <w:t xml:space="preserve"> around the parent tree, reducing competition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Root Exudation</w:t>
      </w:r>
      <w:r>
        <w:rPr>
          <w:rFonts w:ascii="Arial" w:cs="Arial" w:eastAsia="Arial" w:hAnsi="Arial"/>
          <w:sz w:val="22"/>
          <w:szCs w:val="22"/>
        </w:rPr>
        <w:t xml:space="preserve">: Eucalyptus roots may exude allelopathic compounds (phenolics, terpenes) into surrounding soil</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Ecological Consequence</w:t>
      </w:r>
      <w:r>
        <w:rPr>
          <w:rFonts w:ascii="Arial" w:cs="Arial" w:eastAsia="Arial" w:hAnsi="Arial"/>
          <w:sz w:val="22"/>
          <w:szCs w:val="22"/>
        </w:rPr>
        <w:t xml:space="preserve">: </w:t>
      </w:r>
      <w:r>
        <w:rPr>
          <w:rFonts w:ascii="Arial" w:cs="Arial" w:eastAsia="Arial" w:hAnsi="Arial"/>
          <w:b/>
          <w:bCs/>
          <w:sz w:val="22"/>
          <w:szCs w:val="22"/>
        </w:rPr>
        <w:t xml:space="preserve">Eucalyptus monocultures</w:t>
      </w:r>
      <w:r>
        <w:rPr>
          <w:rFonts w:ascii="Arial" w:cs="Arial" w:eastAsia="Arial" w:hAnsi="Arial"/>
          <w:sz w:val="22"/>
          <w:szCs w:val="22"/>
        </w:rPr>
        <w:t xml:space="preserve"> often develop with </w:t>
      </w:r>
      <w:r>
        <w:rPr>
          <w:rFonts w:ascii="Arial" w:cs="Arial" w:eastAsia="Arial" w:hAnsi="Arial"/>
          <w:b/>
          <w:bCs/>
          <w:sz w:val="22"/>
          <w:szCs w:val="22"/>
        </w:rPr>
        <w:t xml:space="preserve">minimal understory vegetation</w:t>
      </w:r>
      <w:r>
        <w:rPr>
          <w:rFonts w:ascii="Arial" w:cs="Arial" w:eastAsia="Arial" w:hAnsi="Arial"/>
          <w:sz w:val="22"/>
          <w:szCs w:val="22"/>
        </w:rPr>
        <w:t xml:space="preserve">, reducing biodiversity but enhancing tree dominance</w:t>
      </w:r>
    </w:p>
    <w:p>
      <w:pPr>
        <w:spacing w:after="100" w:before="200"/>
      </w:pPr>
      <w:r>
        <w:rPr>
          <w:rFonts w:ascii="Arial" w:cs="Arial" w:eastAsia="Arial" w:hAnsi="Arial"/>
          <w:b/>
          <w:bCs/>
          <w:color w:val="444444"/>
          <w:sz w:val="24"/>
          <w:szCs w:val="24"/>
        </w:rPr>
        <w:t xml:space="preserve">Forest Structure</w:t>
      </w:r>
    </w:p>
    <w:p>
      <w:pPr>
        <w:spacing w:after="120" w:line="300"/>
      </w:pPr>
      <w:r>
        <w:rPr>
          <w:rFonts w:ascii="Arial" w:cs="Arial" w:eastAsia="Arial" w:hAnsi="Arial"/>
          <w:sz w:val="22"/>
          <w:szCs w:val="22"/>
        </w:rPr>
        <w:t xml:space="preserve">This allelopathic strategy creates characteristic </w:t>
      </w:r>
      <w:r>
        <w:rPr>
          <w:rFonts w:ascii="Arial" w:cs="Arial" w:eastAsia="Arial" w:hAnsi="Arial"/>
          <w:b/>
          <w:bCs/>
          <w:sz w:val="22"/>
          <w:szCs w:val="22"/>
        </w:rPr>
        <w:t xml:space="preserve">Australian eucalyptus forest structure</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Tall eucalyptus canopy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Sparse, herbaceous understory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Minimal shrub layer</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Dense leaf litter carpet (all from eucalyptus)</w:t>
      </w:r>
    </w:p>
    <w:p>
      <w:pPr>
        <w:pStyle w:val="Heading2"/>
        <w:spacing w:after="120" w:before="240"/>
      </w:pPr>
      <w:r>
        <w:rPr>
          <w:rFonts w:ascii="Arial" w:cs="Arial" w:eastAsia="Arial" w:hAnsi="Arial"/>
          <w:b/>
          <w:bCs/>
          <w:color w:val="333333"/>
          <w:sz w:val="26"/>
          <w:szCs w:val="26"/>
        </w:rPr>
        <w:t xml:space="preserve">12.2 Fire Ecology &amp; 1,8-Cineole Volatility</w:t>
      </w:r>
    </w:p>
    <w:p>
      <w:pPr>
        <w:spacing w:after="100" w:before="200"/>
      </w:pPr>
      <w:r>
        <w:rPr>
          <w:rFonts w:ascii="Arial" w:cs="Arial" w:eastAsia="Arial" w:hAnsi="Arial"/>
          <w:b/>
          <w:bCs/>
          <w:color w:val="444444"/>
          <w:sz w:val="24"/>
          <w:szCs w:val="24"/>
        </w:rPr>
        <w:t xml:space="preserve">Eucalyptus Oil Evaporation &amp; Fire Intensity</w:t>
      </w:r>
    </w:p>
    <w:p>
      <w:pPr>
        <w:spacing w:after="120" w:line="300"/>
      </w:pPr>
      <w:r>
        <w:rPr>
          <w:rFonts w:ascii="Arial" w:cs="Arial" w:eastAsia="Arial" w:hAnsi="Arial"/>
          <w:b/>
          <w:bCs/>
          <w:sz w:val="22"/>
          <w:szCs w:val="22"/>
        </w:rPr>
        <w:t xml:space="preserve">The Critical Observation</w:t>
      </w:r>
      <w:r>
        <w:rPr>
          <w:rFonts w:ascii="Arial" w:cs="Arial" w:eastAsia="Arial" w:hAnsi="Arial"/>
          <w:sz w:val="22"/>
          <w:szCs w:val="22"/>
        </w:rPr>
        <w:t xml:space="preserve">: On hot days in eucalyptus regions (especially Australia), the essential oils </w:t>
      </w:r>
      <w:r>
        <w:rPr>
          <w:rFonts w:ascii="Arial" w:cs="Arial" w:eastAsia="Arial" w:hAnsi="Arial"/>
          <w:b/>
          <w:bCs/>
          <w:sz w:val="22"/>
          <w:szCs w:val="22"/>
        </w:rPr>
        <w:t xml:space="preserve">evaporate from leaves into flammable vapors</w:t>
      </w:r>
      <w:r>
        <w:rPr>
          <w:rFonts w:ascii="Arial" w:cs="Arial" w:eastAsia="Arial" w:hAnsi="Arial"/>
          <w:sz w:val="22"/>
          <w:szCs w:val="22"/>
        </w:rPr>
        <w:t xml:space="preserve">.</w:t>
      </w:r>
    </w:p>
    <w:p>
      <w:pPr>
        <w:spacing w:after="120" w:line="300"/>
      </w:pPr>
      <w:r>
        <w:rPr>
          <w:rFonts w:ascii="Arial" w:cs="Arial" w:eastAsia="Arial" w:hAnsi="Arial"/>
          <w:b/>
          <w:bCs/>
          <w:sz w:val="22"/>
          <w:szCs w:val="22"/>
        </w:rPr>
        <w:t xml:space="preserve">Visible Evidence</w:t>
      </w:r>
      <w:r>
        <w:rPr>
          <w:rFonts w:ascii="Arial" w:cs="Arial" w:eastAsia="Arial" w:hAnsi="Arial"/>
          <w:sz w:val="22"/>
          <w:szCs w:val="22"/>
        </w:rPr>
        <w:t xml:space="preserve">: The </w:t>
      </w:r>
      <w:r>
        <w:rPr>
          <w:rFonts w:ascii="Arial" w:cs="Arial" w:eastAsia="Arial" w:hAnsi="Arial"/>
          <w:b/>
          <w:bCs/>
          <w:sz w:val="22"/>
          <w:szCs w:val="22"/>
        </w:rPr>
        <w:t xml:space="preserve">blue haze</w:t>
      </w:r>
      <w:r>
        <w:rPr>
          <w:rFonts w:ascii="Arial" w:cs="Arial" w:eastAsia="Arial" w:hAnsi="Arial"/>
          <w:sz w:val="22"/>
          <w:szCs w:val="22"/>
        </w:rPr>
        <w:t xml:space="preserve"> ("blue mountains") visible over eucalyptus forests is actually </w:t>
      </w:r>
      <w:r>
        <w:rPr>
          <w:rFonts w:ascii="Arial" w:cs="Arial" w:eastAsia="Arial" w:hAnsi="Arial"/>
          <w:b/>
          <w:bCs/>
          <w:sz w:val="22"/>
          <w:szCs w:val="22"/>
        </w:rPr>
        <w:t xml:space="preserve">airborne monoterpene oil vapor</w:t>
      </w:r>
      <w:r>
        <w:rPr>
          <w:rFonts w:ascii="Arial" w:cs="Arial" w:eastAsia="Arial" w:hAnsi="Arial"/>
          <w:sz w:val="22"/>
          <w:szCs w:val="22"/>
        </w:rPr>
        <w:t xml:space="preserve"> (mainly 1,8-cineole and related terpenes).</w:t>
      </w:r>
    </w:p>
    <w:p>
      <w:pPr>
        <w:spacing w:after="100" w:before="200"/>
      </w:pPr>
      <w:r>
        <w:rPr>
          <w:rFonts w:ascii="Arial" w:cs="Arial" w:eastAsia="Arial" w:hAnsi="Arial"/>
          <w:b/>
          <w:bCs/>
          <w:color w:val="444444"/>
          <w:sz w:val="24"/>
          <w:szCs w:val="24"/>
        </w:rPr>
        <w:t xml:space="preserve">Fire Hazard Contribution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Volatile Fuel</w:t>
      </w:r>
      <w:r>
        <w:rPr>
          <w:rFonts w:ascii="Arial" w:cs="Arial" w:eastAsia="Arial" w:hAnsi="Arial"/>
          <w:sz w:val="22"/>
          <w:szCs w:val="22"/>
        </w:rPr>
        <w:t xml:space="preserve">: Evaporated 1,8-cineole and related terpenes form a </w:t>
      </w:r>
      <w:r>
        <w:rPr>
          <w:rFonts w:ascii="Arial" w:cs="Arial" w:eastAsia="Arial" w:hAnsi="Arial"/>
          <w:b/>
          <w:bCs/>
          <w:sz w:val="22"/>
          <w:szCs w:val="22"/>
        </w:rPr>
        <w:t xml:space="preserve">gaseous, highly flammable layer</w:t>
      </w:r>
      <w:r>
        <w:rPr>
          <w:rFonts w:ascii="Arial" w:cs="Arial" w:eastAsia="Arial" w:hAnsi="Arial"/>
          <w:sz w:val="22"/>
          <w:szCs w:val="22"/>
        </w:rPr>
        <w:t xml:space="preserve"> above the forest</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Explosive Ignition</w:t>
      </w:r>
      <w:r>
        <w:rPr>
          <w:rFonts w:ascii="Arial" w:cs="Arial" w:eastAsia="Arial" w:hAnsi="Arial"/>
          <w:sz w:val="22"/>
          <w:szCs w:val="22"/>
        </w:rPr>
        <w:t xml:space="preserve">: When ignited, this vapor burns explosively, intensifying fire spread</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Crown Fire Acceleration</w:t>
      </w:r>
      <w:r>
        <w:rPr>
          <w:rFonts w:ascii="Arial" w:cs="Arial" w:eastAsia="Arial" w:hAnsi="Arial"/>
          <w:sz w:val="22"/>
          <w:szCs w:val="22"/>
        </w:rPr>
        <w:t xml:space="preserve">: Fires spread rapidly through the tree canopy via aerial oil vapor, creating </w:t>
      </w:r>
      <w:r>
        <w:rPr>
          <w:rFonts w:ascii="Arial" w:cs="Arial" w:eastAsia="Arial" w:hAnsi="Arial"/>
          <w:b/>
          <w:bCs/>
          <w:sz w:val="22"/>
          <w:szCs w:val="22"/>
        </w:rPr>
        <w:t xml:space="preserve">massive, fast-moving crown fires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Spot Fires</w:t>
      </w:r>
      <w:r>
        <w:rPr>
          <w:rFonts w:ascii="Arial" w:cs="Arial" w:eastAsia="Arial" w:hAnsi="Arial"/>
          <w:sz w:val="22"/>
          <w:szCs w:val="22"/>
        </w:rPr>
        <w:t xml:space="preserve">: Burning embers can ignite distant eucalyptus forests via vapor ignition</w:t>
      </w:r>
    </w:p>
    <w:p>
      <w:pPr>
        <w:spacing w:after="100" w:before="200"/>
      </w:pPr>
      <w:r>
        <w:rPr>
          <w:rFonts w:ascii="Arial" w:cs="Arial" w:eastAsia="Arial" w:hAnsi="Arial"/>
          <w:b/>
          <w:bCs/>
          <w:color w:val="444444"/>
          <w:sz w:val="24"/>
          <w:szCs w:val="24"/>
        </w:rPr>
        <w:t xml:space="preserve">Fallen Leaf Fuel</w:t>
      </w:r>
    </w:p>
    <w:p>
      <w:pPr>
        <w:spacing w:after="120" w:line="300"/>
      </w:pPr>
      <w:r>
        <w:rPr>
          <w:rFonts w:ascii="Arial" w:cs="Arial" w:eastAsia="Arial" w:hAnsi="Arial"/>
          <w:sz w:val="22"/>
          <w:szCs w:val="22"/>
        </w:rPr>
        <w:t xml:space="preserve">Additionally:</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Eucalyptus bark peels in long streamers</w:t>
      </w:r>
      <w:r>
        <w:rPr>
          <w:rFonts w:ascii="Arial" w:cs="Arial" w:eastAsia="Arial" w:hAnsi="Arial"/>
          <w:sz w:val="22"/>
          <w:szCs w:val="22"/>
        </w:rPr>
        <w:t xml:space="preserve">, accumulating on the forest floor as </w:t>
      </w:r>
      <w:r>
        <w:rPr>
          <w:rFonts w:ascii="Arial" w:cs="Arial" w:eastAsia="Arial" w:hAnsi="Arial"/>
          <w:b/>
          <w:bCs/>
          <w:sz w:val="22"/>
          <w:szCs w:val="22"/>
        </w:rPr>
        <w:t xml:space="preserve">dense, flammable mulch</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The </w:t>
      </w:r>
      <w:r>
        <w:rPr>
          <w:rFonts w:ascii="Arial" w:cs="Arial" w:eastAsia="Arial" w:hAnsi="Arial"/>
          <w:b/>
          <w:bCs/>
          <w:sz w:val="22"/>
          <w:szCs w:val="22"/>
        </w:rPr>
        <w:t xml:space="preserve">terpene-rich leaf litter resists decomposition</w:t>
      </w:r>
      <w:r>
        <w:rPr>
          <w:rFonts w:ascii="Arial" w:cs="Arial" w:eastAsia="Arial" w:hAnsi="Arial"/>
          <w:sz w:val="22"/>
          <w:szCs w:val="22"/>
        </w:rPr>
        <w:t xml:space="preserve"> (same antimicrobial property preventing microbial breakdown)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This creates an </w:t>
      </w:r>
      <w:r>
        <w:rPr>
          <w:rFonts w:ascii="Arial" w:cs="Arial" w:eastAsia="Arial" w:hAnsi="Arial"/>
          <w:b/>
          <w:bCs/>
          <w:sz w:val="22"/>
          <w:szCs w:val="22"/>
        </w:rPr>
        <w:t xml:space="preserve">ideal fire ladder</w:t>
      </w:r>
      <w:r>
        <w:rPr>
          <w:rFonts w:ascii="Arial" w:cs="Arial" w:eastAsia="Arial" w:hAnsi="Arial"/>
          <w:sz w:val="22"/>
          <w:szCs w:val="22"/>
        </w:rPr>
        <w:t xml:space="preserve">: dry, resinous, densely packed fuel on the ground, connecting to canopy</w:t>
      </w:r>
    </w:p>
    <w:p>
      <w:pPr>
        <w:spacing w:after="100" w:before="200"/>
      </w:pPr>
      <w:r>
        <w:rPr>
          <w:rFonts w:ascii="Arial" w:cs="Arial" w:eastAsia="Arial" w:hAnsi="Arial"/>
          <w:b/>
          <w:bCs/>
          <w:color w:val="444444"/>
          <w:sz w:val="24"/>
          <w:szCs w:val="24"/>
        </w:rPr>
        <w:t xml:space="preserve">Australian Fire Adaptation</w:t>
      </w:r>
    </w:p>
    <w:p>
      <w:pPr>
        <w:spacing w:after="120" w:line="300"/>
      </w:pPr>
      <w:r>
        <w:rPr>
          <w:rFonts w:ascii="Arial" w:cs="Arial" w:eastAsia="Arial" w:hAnsi="Arial"/>
          <w:b/>
          <w:bCs/>
          <w:sz w:val="22"/>
          <w:szCs w:val="22"/>
        </w:rPr>
        <w:t xml:space="preserve">Paradoxically</w:t>
      </w:r>
      <w:r>
        <w:rPr>
          <w:rFonts w:ascii="Arial" w:cs="Arial" w:eastAsia="Arial" w:hAnsi="Arial"/>
          <w:sz w:val="22"/>
          <w:szCs w:val="22"/>
        </w:rPr>
        <w:t xml:space="preserve">, most Australian eucalyptus species </w:t>
      </w:r>
      <w:r>
        <w:rPr>
          <w:rFonts w:ascii="Arial" w:cs="Arial" w:eastAsia="Arial" w:hAnsi="Arial"/>
          <w:b/>
          <w:bCs/>
          <w:sz w:val="22"/>
          <w:szCs w:val="22"/>
        </w:rPr>
        <w:t xml:space="preserve">require fire for reproduction</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Heat opens seed pods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Ash provides clear seedbed for germination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Reduced competition post-fire allows rapid regrowth</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Natural fire cycles (every 10–50 years) shaped eucalyptus evolution</w:t>
      </w:r>
    </w:p>
    <w:p>
      <w:pPr>
        <w:spacing w:after="120" w:line="300"/>
      </w:pPr>
      <w:r>
        <w:rPr>
          <w:rFonts w:ascii="Arial" w:cs="Arial" w:eastAsia="Arial" w:hAnsi="Arial"/>
          <w:b/>
          <w:bCs/>
          <w:sz w:val="22"/>
          <w:szCs w:val="22"/>
        </w:rPr>
        <w:t xml:space="preserve">Evolutionary Trade-Off</w:t>
      </w:r>
      <w:r>
        <w:rPr>
          <w:rFonts w:ascii="Arial" w:cs="Arial" w:eastAsia="Arial" w:hAnsi="Arial"/>
          <w:sz w:val="22"/>
          <w:szCs w:val="22"/>
        </w:rPr>
        <w:t xml:space="preserve">: Eucalyptus species invested in </w:t>
      </w:r>
      <w:r>
        <w:rPr>
          <w:rFonts w:ascii="Arial" w:cs="Arial" w:eastAsia="Arial" w:hAnsi="Arial"/>
          <w:b/>
          <w:bCs/>
          <w:sz w:val="22"/>
          <w:szCs w:val="22"/>
        </w:rPr>
        <w:t xml:space="preserve">flammability</w:t>
      </w:r>
      <w:r>
        <w:rPr>
          <w:rFonts w:ascii="Arial" w:cs="Arial" w:eastAsia="Arial" w:hAnsi="Arial"/>
          <w:sz w:val="22"/>
          <w:szCs w:val="22"/>
        </w:rPr>
        <w:t xml:space="preserve"> as a reproductive strategy, winning competition post-fire at the cost of catastrophic modern fire risk when fire suppression policies create fuel buildup.</w:t>
      </w:r>
    </w:p>
    <w:p>
      <w:pPr>
        <w:spacing w:after="100" w:before="200"/>
      </w:pPr>
      <w:r>
        <w:rPr>
          <w:rFonts w:ascii="Arial" w:cs="Arial" w:eastAsia="Arial" w:hAnsi="Arial"/>
          <w:b/>
          <w:bCs/>
          <w:color w:val="444444"/>
          <w:sz w:val="24"/>
          <w:szCs w:val="24"/>
        </w:rPr>
        <w:t xml:space="preserve">Pre-Loading Connection</w:t>
      </w:r>
    </w:p>
    <w:p>
      <w:pPr>
        <w:spacing w:after="120" w:line="300"/>
      </w:pPr>
      <w:r>
        <w:rPr>
          <w:rFonts w:ascii="Arial" w:cs="Arial" w:eastAsia="Arial" w:hAnsi="Arial"/>
          <w:sz w:val="22"/>
          <w:szCs w:val="22"/>
        </w:rPr>
        <w:t xml:space="preserve">While not directly relevant to cannabis pre-loading, understanding </w:t>
      </w:r>
      <w:r>
        <w:rPr>
          <w:rFonts w:ascii="Arial" w:cs="Arial" w:eastAsia="Arial" w:hAnsi="Arial"/>
          <w:b/>
          <w:bCs/>
          <w:sz w:val="22"/>
          <w:szCs w:val="22"/>
        </w:rPr>
        <w:t xml:space="preserve">1,8-cineole's volatility and flammability</w:t>
      </w:r>
      <w:r>
        <w:rPr>
          <w:rFonts w:ascii="Arial" w:cs="Arial" w:eastAsia="Arial" w:hAnsi="Arial"/>
          <w:sz w:val="22"/>
          <w:szCs w:val="22"/>
        </w:rPr>
        <w:t xml:space="preserve"> is important:</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Never inhale pre-loading oils near open flame</w:t>
      </w:r>
      <w:r>
        <w:rPr>
          <w:rFonts w:ascii="Arial" w:cs="Arial" w:eastAsia="Arial" w:hAnsi="Arial"/>
          <w:sz w:val="22"/>
          <w:szCs w:val="22"/>
        </w:rPr>
        <w:t xml:space="preserve"> (high fire risk)</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Essential oils are volatile and flammable</w:t>
      </w:r>
      <w:r>
        <w:rPr>
          <w:rFonts w:ascii="Arial" w:cs="Arial" w:eastAsia="Arial" w:hAnsi="Arial"/>
          <w:sz w:val="22"/>
          <w:szCs w:val="22"/>
        </w:rPr>
        <w:t xml:space="preserve"> — handle with fire-safety awareness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The same vapor pressure that enables </w:t>
      </w:r>
      <w:r>
        <w:rPr>
          <w:rFonts w:ascii="Arial" w:cs="Arial" w:eastAsia="Arial" w:hAnsi="Arial"/>
          <w:b/>
          <w:bCs/>
          <w:sz w:val="22"/>
          <w:szCs w:val="22"/>
        </w:rPr>
        <w:t xml:space="preserve">rapid inhalation bioavailability</w:t>
      </w:r>
      <w:r>
        <w:rPr>
          <w:rFonts w:ascii="Arial" w:cs="Arial" w:eastAsia="Arial" w:hAnsi="Arial"/>
          <w:sz w:val="22"/>
          <w:szCs w:val="22"/>
        </w:rPr>
        <w:t xml:space="preserve"> reflects </w:t>
      </w:r>
      <w:r>
        <w:rPr>
          <w:rFonts w:ascii="Arial" w:cs="Arial" w:eastAsia="Arial" w:hAnsi="Arial"/>
          <w:b/>
          <w:bCs/>
          <w:sz w:val="22"/>
          <w:szCs w:val="22"/>
        </w:rPr>
        <w:t xml:space="preserve">high volatility</w:t>
      </w:r>
    </w:p>
    <w:p>
      <w:pPr>
        <w:spacing w:after="120" w:line="300"/>
      </w:pPr>
      <w:r>
        <w:rPr>
          <w:rFonts w:ascii="Arial" w:cs="Arial" w:eastAsia="Arial" w:hAnsi="Arial"/>
          <w:b/>
          <w:bCs/>
          <w:sz w:val="22"/>
          <w:szCs w:val="22"/>
        </w:rPr>
        <w:t xml:space="preserve">Sources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[Australia's Wildfires: Are Eucalyptus Trees to Blame? - Live Science](https://www.livescience.com/40583-australia-wildfires-eucalyptus-trees-bushfires.html)</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[Wildfires, Flammable Oils, and Eucalyptus Trees - SSRN](https://papers.ssrn.com/sol3/papers.cfm?abstract_id=4120325)</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[Eucalyptus and the ancient kingdom of fire - Australian Geographic](https://www.australiangeographic.com.au/topics/science-environment/2021/11/eucalyptus-and-the-ancient-kingdom-of-fire/)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[How Eucalyptus Trees Stoke Wildfires - JSTOR Daily](https://daily.jstor.org/how-eucalyptus-trees-stoke-wildfires/)</w:t>
      </w:r>
    </w:p>
    <w:p>
      <w:pPr>
        <w:pStyle w:val="Heading2"/>
        <w:spacing w:after="120" w:before="240"/>
      </w:pPr>
      <w:r>
        <w:rPr>
          <w:rFonts w:ascii="Arial" w:cs="Arial" w:eastAsia="Arial" w:hAnsi="Arial"/>
          <w:b/>
          <w:bCs/>
          <w:color w:val="333333"/>
          <w:sz w:val="26"/>
          <w:szCs w:val="26"/>
        </w:rPr>
        <w:t xml:space="preserve">12.3 Koala Diet &amp; Eucalyptus Specialization</w:t>
      </w:r>
    </w:p>
    <w:p>
      <w:pPr>
        <w:spacing w:after="120" w:line="300"/>
      </w:pPr>
      <w:r>
        <w:rPr>
          <w:rFonts w:ascii="Arial" w:cs="Arial" w:eastAsia="Arial" w:hAnsi="Arial"/>
          <w:b/>
          <w:bCs/>
          <w:sz w:val="22"/>
          <w:szCs w:val="22"/>
        </w:rPr>
        <w:t xml:space="preserve">Note</w:t>
      </w:r>
      <w:r>
        <w:rPr>
          <w:rFonts w:ascii="Arial" w:cs="Arial" w:eastAsia="Arial" w:hAnsi="Arial"/>
          <w:sz w:val="22"/>
          <w:szCs w:val="22"/>
        </w:rPr>
        <w:t xml:space="preserve">: While beyond the scope of this monograph, it's worth noting that </w:t>
      </w:r>
      <w:r>
        <w:rPr>
          <w:rFonts w:ascii="Arial" w:cs="Arial" w:eastAsia="Arial" w:hAnsi="Arial"/>
          <w:b/>
          <w:bCs/>
          <w:sz w:val="22"/>
          <w:szCs w:val="22"/>
        </w:rPr>
        <w:t xml:space="preserve">koalas subsist almost exclusively on eucalyptus leaves</w:t>
      </w:r>
      <w:r>
        <w:rPr>
          <w:rFonts w:ascii="Arial" w:cs="Arial" w:eastAsia="Arial" w:hAnsi="Arial"/>
          <w:sz w:val="22"/>
          <w:szCs w:val="22"/>
        </w:rPr>
        <w:t xml:space="preserve"> (despite their toxicity to most animals). Koalas have evolved specialized liver enzymes (cytochrome P450 3A) to metabolize 1,8-cineole and other eucalyptus terpenes.</w:t>
      </w:r>
    </w:p>
    <w:p>
      <w:pPr>
        <w:spacing w:after="120" w:line="300"/>
      </w:pPr>
      <w:r>
        <w:rPr>
          <w:rFonts w:ascii="Arial" w:cs="Arial" w:eastAsia="Arial" w:hAnsi="Arial"/>
          <w:sz w:val="22"/>
          <w:szCs w:val="22"/>
        </w:rPr>
        <w:t xml:space="preserve">This represents an </w:t>
      </w:r>
      <w:r>
        <w:rPr>
          <w:rFonts w:ascii="Arial" w:cs="Arial" w:eastAsia="Arial" w:hAnsi="Arial"/>
          <w:b/>
          <w:bCs/>
          <w:sz w:val="22"/>
          <w:szCs w:val="22"/>
        </w:rPr>
        <w:t xml:space="preserve">extreme case of terpene biochemical specialization</w:t>
      </w:r>
      <w:r>
        <w:rPr>
          <w:rFonts w:ascii="Arial" w:cs="Arial" w:eastAsia="Arial" w:hAnsi="Arial"/>
          <w:sz w:val="22"/>
          <w:szCs w:val="22"/>
        </w:rPr>
        <w:t xml:space="preserve"> — a fascinating counterpoint to the allelopathic and anti-microbial functions of these compounds.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838F"/>
          <w:sz w:val="30"/>
          <w:szCs w:val="30"/>
        </w:rPr>
        <w:t xml:space="preserve">13. Industrial Applications</w:t>
      </w:r>
    </w:p>
    <w:p>
      <w:pPr>
        <w:pStyle w:val="Heading2"/>
        <w:spacing w:after="120" w:before="240"/>
      </w:pPr>
      <w:r>
        <w:rPr>
          <w:rFonts w:ascii="Arial" w:cs="Arial" w:eastAsia="Arial" w:hAnsi="Arial"/>
          <w:b/>
          <w:bCs/>
          <w:color w:val="333333"/>
          <w:sz w:val="26"/>
          <w:szCs w:val="26"/>
        </w:rPr>
        <w:t xml:space="preserve">13.1 Pharmaceutical Applications</w:t>
      </w:r>
    </w:p>
    <w:p>
      <w:pPr>
        <w:spacing w:after="100" w:before="200"/>
      </w:pPr>
      <w:r>
        <w:rPr>
          <w:rFonts w:ascii="Arial" w:cs="Arial" w:eastAsia="Arial" w:hAnsi="Arial"/>
          <w:b/>
          <w:bCs/>
          <w:color w:val="444444"/>
          <w:sz w:val="24"/>
          <w:szCs w:val="24"/>
        </w:rPr>
        <w:t xml:space="preserve">Soledum™ and Licensed Medicines in Germany</w:t>
      </w:r>
    </w:p>
    <w:p>
      <w:pPr>
        <w:spacing w:after="120" w:line="300"/>
      </w:pPr>
      <w:r>
        <w:rPr>
          <w:rFonts w:ascii="Arial" w:cs="Arial" w:eastAsia="Arial" w:hAnsi="Arial"/>
          <w:b/>
          <w:bCs/>
          <w:sz w:val="22"/>
          <w:szCs w:val="22"/>
        </w:rPr>
        <w:t xml:space="preserve">Product Name</w:t>
      </w:r>
      <w:r>
        <w:rPr>
          <w:rFonts w:ascii="Arial" w:cs="Arial" w:eastAsia="Arial" w:hAnsi="Arial"/>
          <w:sz w:val="22"/>
          <w:szCs w:val="22"/>
        </w:rPr>
        <w:t xml:space="preserve">: Soledum™ (enteric-coated capsules)</w:t>
      </w:r>
    </w:p>
    <w:p>
      <w:pPr>
        <w:spacing w:after="120" w:line="300"/>
      </w:pPr>
      <w:r>
        <w:rPr>
          <w:rFonts w:ascii="Arial" w:cs="Arial" w:eastAsia="Arial" w:hAnsi="Arial"/>
          <w:b/>
          <w:bCs/>
          <w:sz w:val="22"/>
          <w:szCs w:val="22"/>
        </w:rPr>
        <w:t xml:space="preserve">Active Ingredient</w:t>
      </w:r>
      <w:r>
        <w:rPr>
          <w:rFonts w:ascii="Arial" w:cs="Arial" w:eastAsia="Arial" w:hAnsi="Arial"/>
          <w:sz w:val="22"/>
          <w:szCs w:val="22"/>
        </w:rPr>
        <w:t xml:space="preserve">: 1,8-cineole (100 mg or 200 mg/capsule)</w:t>
      </w:r>
    </w:p>
    <w:p>
      <w:pPr>
        <w:spacing w:after="120" w:line="300"/>
      </w:pPr>
      <w:r>
        <w:rPr>
          <w:rFonts w:ascii="Arial" w:cs="Arial" w:eastAsia="Arial" w:hAnsi="Arial"/>
          <w:b/>
          <w:bCs/>
          <w:sz w:val="22"/>
          <w:szCs w:val="22"/>
        </w:rPr>
        <w:t xml:space="preserve">Regulatory Status</w:t>
      </w:r>
      <w:r>
        <w:rPr>
          <w:rFonts w:ascii="Arial" w:cs="Arial" w:eastAsia="Arial" w:hAnsi="Arial"/>
          <w:sz w:val="22"/>
          <w:szCs w:val="22"/>
        </w:rPr>
        <w:t xml:space="preserve">: Authorized medicinal product in Germany and several EU countries</w:t>
      </w:r>
    </w:p>
    <w:p>
      <w:pPr>
        <w:spacing w:after="120" w:line="300"/>
      </w:pPr>
      <w:r>
        <w:rPr>
          <w:rFonts w:ascii="Arial" w:cs="Arial" w:eastAsia="Arial" w:hAnsi="Arial"/>
          <w:b/>
          <w:bCs/>
          <w:sz w:val="22"/>
          <w:szCs w:val="22"/>
        </w:rPr>
        <w:t xml:space="preserve">Approved Indications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Common cold</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Acute bronchitis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Sinusitis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COPD (additional therapy)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Asthma (additional therapy)</w:t>
      </w:r>
    </w:p>
    <w:p>
      <w:pPr>
        <w:spacing w:after="120" w:line="300"/>
      </w:pPr>
      <w:r>
        <w:rPr>
          <w:rFonts w:ascii="Arial" w:cs="Arial" w:eastAsia="Arial" w:hAnsi="Arial"/>
          <w:b/>
          <w:bCs/>
          <w:sz w:val="22"/>
          <w:szCs w:val="22"/>
        </w:rPr>
        <w:t xml:space="preserve">Dosing</w:t>
      </w:r>
      <w:r>
        <w:rPr>
          <w:rFonts w:ascii="Arial" w:cs="Arial" w:eastAsia="Arial" w:hAnsi="Arial"/>
          <w:sz w:val="22"/>
          <w:szCs w:val="22"/>
        </w:rPr>
        <w:t xml:space="preserve">: Typically 3 × 200 mg/day (600 mg total) or 3 × 100 mg/day depending on indication</w:t>
      </w:r>
    </w:p>
    <w:p>
      <w:pPr>
        <w:spacing w:after="120" w:line="300"/>
      </w:pPr>
      <w:r>
        <w:rPr>
          <w:rFonts w:ascii="Arial" w:cs="Arial" w:eastAsia="Arial" w:hAnsi="Arial"/>
          <w:b/>
          <w:bCs/>
          <w:sz w:val="22"/>
          <w:szCs w:val="22"/>
        </w:rPr>
        <w:t xml:space="preserve">Mechanism</w:t>
      </w:r>
      <w:r>
        <w:rPr>
          <w:rFonts w:ascii="Arial" w:cs="Arial" w:eastAsia="Arial" w:hAnsi="Arial"/>
          <w:sz w:val="22"/>
          <w:szCs w:val="22"/>
        </w:rPr>
        <w:t xml:space="preserve">: Anti-inflammatory (NF-κB), bronchodilatory, mucolytic, antimicrobial</w:t>
      </w:r>
    </w:p>
    <w:p>
      <w:pPr>
        <w:spacing w:after="120" w:line="300"/>
      </w:pPr>
      <w:r>
        <w:rPr>
          <w:rFonts w:ascii="Arial" w:cs="Arial" w:eastAsia="Arial" w:hAnsi="Arial"/>
          <w:b/>
          <w:bCs/>
          <w:sz w:val="22"/>
          <w:szCs w:val="22"/>
        </w:rPr>
        <w:t xml:space="preserve">Regulatory Recognition</w:t>
      </w:r>
      <w:r>
        <w:rPr>
          <w:rFonts w:ascii="Arial" w:cs="Arial" w:eastAsia="Arial" w:hAnsi="Arial"/>
          <w:sz w:val="22"/>
          <w:szCs w:val="22"/>
        </w:rPr>
        <w:t xml:space="preserve">: The fact that Soledum is </w:t>
      </w:r>
      <w:r>
        <w:rPr>
          <w:rFonts w:ascii="Arial" w:cs="Arial" w:eastAsia="Arial" w:hAnsi="Arial"/>
          <w:b/>
          <w:bCs/>
          <w:sz w:val="22"/>
          <w:szCs w:val="22"/>
        </w:rPr>
        <w:t xml:space="preserve">licensed and approved as a pharmaceutical product</w:t>
      </w:r>
      <w:r>
        <w:rPr>
          <w:rFonts w:ascii="Arial" w:cs="Arial" w:eastAsia="Arial" w:hAnsi="Arial"/>
          <w:sz w:val="22"/>
          <w:szCs w:val="22"/>
        </w:rPr>
        <w:t xml:space="preserve"> in Germany (a country with stringent drug approval standards) provides </w:t>
      </w:r>
      <w:r>
        <w:rPr>
          <w:rFonts w:ascii="Arial" w:cs="Arial" w:eastAsia="Arial" w:hAnsi="Arial"/>
          <w:b/>
          <w:bCs/>
          <w:sz w:val="22"/>
          <w:szCs w:val="22"/>
        </w:rPr>
        <w:t xml:space="preserve">regulatory-grade validation</w:t>
      </w:r>
      <w:r>
        <w:rPr>
          <w:rFonts w:ascii="Arial" w:cs="Arial" w:eastAsia="Arial" w:hAnsi="Arial"/>
          <w:sz w:val="22"/>
          <w:szCs w:val="22"/>
        </w:rPr>
        <w:t xml:space="preserve"> of 1,8-cineole's safety and efficacy.</w:t>
      </w:r>
    </w:p>
    <w:p>
      <w:pPr>
        <w:spacing w:after="120" w:line="300"/>
      </w:pPr>
      <w:r>
        <w:rPr>
          <w:rFonts w:ascii="Arial" w:cs="Arial" w:eastAsia="Arial" w:hAnsi="Arial"/>
          <w:b/>
          <w:bCs/>
          <w:sz w:val="22"/>
          <w:szCs w:val="22"/>
        </w:rPr>
        <w:t xml:space="preserve">Sources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[New Perspectives for Mucolytic, Anti-inflammatory and Adjunctive Therapy - PMC](https://pmc.ncbi.nlm.nih.gov/articles/PMC7467491/)</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[Soledum Kapseln - German Pharmacy](https://www.apo-health.com/)</w:t>
      </w:r>
    </w:p>
    <w:p>
      <w:pPr>
        <w:spacing w:after="100" w:before="200"/>
      </w:pPr>
      <w:r>
        <w:rPr>
          <w:rFonts w:ascii="Arial" w:cs="Arial" w:eastAsia="Arial" w:hAnsi="Arial"/>
          <w:b/>
          <w:bCs/>
          <w:color w:val="444444"/>
          <w:sz w:val="24"/>
          <w:szCs w:val="24"/>
        </w:rPr>
        <w:t xml:space="preserve">Other Pharmaceutical Uses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Throat lozenges and cough drops</w:t>
      </w:r>
      <w:r>
        <w:rPr>
          <w:rFonts w:ascii="Arial" w:cs="Arial" w:eastAsia="Arial" w:hAnsi="Arial"/>
          <w:sz w:val="22"/>
          <w:szCs w:val="22"/>
        </w:rPr>
        <w:t xml:space="preserve">: 1,8-cineole provides antimicrobial and local anesthetic effects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Decongestant inhalants</w:t>
      </w:r>
      <w:r>
        <w:rPr>
          <w:rFonts w:ascii="Arial" w:cs="Arial" w:eastAsia="Arial" w:hAnsi="Arial"/>
          <w:sz w:val="22"/>
          <w:szCs w:val="22"/>
        </w:rPr>
        <w:t xml:space="preserve">: Nasal drops and inhalers for sinus congestion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Toothpaste and mouthwash</w:t>
      </w:r>
      <w:r>
        <w:rPr>
          <w:rFonts w:ascii="Arial" w:cs="Arial" w:eastAsia="Arial" w:hAnsi="Arial"/>
          <w:sz w:val="22"/>
          <w:szCs w:val="22"/>
        </w:rPr>
        <w:t xml:space="preserve">: Antimicrobial, fresh aroma</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Respiratory tinctures and syrups</w:t>
      </w:r>
      <w:r>
        <w:rPr>
          <w:rFonts w:ascii="Arial" w:cs="Arial" w:eastAsia="Arial" w:hAnsi="Arial"/>
          <w:sz w:val="22"/>
          <w:szCs w:val="22"/>
        </w:rPr>
        <w:t xml:space="preserve">: OTC cold and cough products</w:t>
      </w:r>
    </w:p>
    <w:p>
      <w:pPr>
        <w:pStyle w:val="Heading2"/>
        <w:spacing w:after="120" w:before="240"/>
      </w:pPr>
      <w:r>
        <w:rPr>
          <w:rFonts w:ascii="Arial" w:cs="Arial" w:eastAsia="Arial" w:hAnsi="Arial"/>
          <w:b/>
          <w:bCs/>
          <w:color w:val="333333"/>
          <w:sz w:val="26"/>
          <w:szCs w:val="26"/>
        </w:rPr>
        <w:t xml:space="preserve">13.2 Cleaning Products &amp; Solvents</w:t>
      </w:r>
    </w:p>
    <w:p>
      <w:pPr>
        <w:spacing w:after="120" w:line="300"/>
      </w:pPr>
      <w:r>
        <w:rPr>
          <w:rFonts w:ascii="Arial" w:cs="Arial" w:eastAsia="Arial" w:hAnsi="Arial"/>
          <w:sz w:val="22"/>
          <w:szCs w:val="22"/>
        </w:rPr>
        <w:t xml:space="preserve">1,8-cineole is a </w:t>
      </w:r>
      <w:r>
        <w:rPr>
          <w:rFonts w:ascii="Arial" w:cs="Arial" w:eastAsia="Arial" w:hAnsi="Arial"/>
          <w:b/>
          <w:bCs/>
          <w:sz w:val="22"/>
          <w:szCs w:val="22"/>
        </w:rPr>
        <w:t xml:space="preserve">potent organic solvent</w:t>
      </w:r>
      <w:r>
        <w:rPr>
          <w:rFonts w:ascii="Arial" w:cs="Arial" w:eastAsia="Arial" w:hAnsi="Arial"/>
          <w:sz w:val="22"/>
          <w:szCs w:val="22"/>
        </w:rPr>
        <w:t xml:space="preserve"> with industrial applications:</w:t>
      </w:r>
    </w:p>
    <w:p>
      <w:pPr>
        <w:spacing w:after="120" w:line="300"/>
      </w:pPr>
      <w:r>
        <w:rPr>
          <w:rFonts w:ascii="Arial" w:cs="Arial" w:eastAsia="Arial" w:hAnsi="Arial"/>
          <w:b/>
          <w:bCs/>
          <w:sz w:val="22"/>
          <w:szCs w:val="22"/>
        </w:rPr>
        <w:t xml:space="preserve">Properties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Lipophilic</w:t>
      </w:r>
      <w:r>
        <w:rPr>
          <w:rFonts w:ascii="Arial" w:cs="Arial" w:eastAsia="Arial" w:hAnsi="Arial"/>
          <w:sz w:val="22"/>
          <w:szCs w:val="22"/>
        </w:rPr>
        <w:t xml:space="preserve">: Dissolves oils, resins, fats, waxes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Non-toxic to humans</w:t>
      </w:r>
      <w:r>
        <w:rPr>
          <w:rFonts w:ascii="Arial" w:cs="Arial" w:eastAsia="Arial" w:hAnsi="Arial"/>
          <w:sz w:val="22"/>
          <w:szCs w:val="22"/>
        </w:rPr>
        <w:t xml:space="preserve"> at typical exposure levels (in contrast to many synthetic solvents)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Biodegradable</w:t>
      </w:r>
      <w:r>
        <w:rPr>
          <w:rFonts w:ascii="Arial" w:cs="Arial" w:eastAsia="Arial" w:hAnsi="Arial"/>
          <w:sz w:val="22"/>
          <w:szCs w:val="22"/>
        </w:rPr>
        <w:t xml:space="preserve">: Unlike petroleum-based solvents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Aromatic</w:t>
      </w:r>
      <w:r>
        <w:rPr>
          <w:rFonts w:ascii="Arial" w:cs="Arial" w:eastAsia="Arial" w:hAnsi="Arial"/>
          <w:sz w:val="22"/>
          <w:szCs w:val="22"/>
        </w:rPr>
        <w:t xml:space="preserve">: Provides pleasant fresh scent to cleaning products</w:t>
      </w:r>
    </w:p>
    <w:p>
      <w:pPr>
        <w:spacing w:after="120" w:line="300"/>
      </w:pPr>
      <w:r>
        <w:rPr>
          <w:rFonts w:ascii="Arial" w:cs="Arial" w:eastAsia="Arial" w:hAnsi="Arial"/>
          <w:b/>
          <w:bCs/>
          <w:sz w:val="22"/>
          <w:szCs w:val="22"/>
        </w:rPr>
        <w:t xml:space="preserve">Industrial Uses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Degreaser</w:t>
      </w:r>
      <w:r>
        <w:rPr>
          <w:rFonts w:ascii="Arial" w:cs="Arial" w:eastAsia="Arial" w:hAnsi="Arial"/>
          <w:sz w:val="22"/>
          <w:szCs w:val="22"/>
        </w:rPr>
        <w:t xml:space="preserve">: Removes stubborn grease, oil, and tar</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Citrus-based cleaners</w:t>
      </w:r>
      <w:r>
        <w:rPr>
          <w:rFonts w:ascii="Arial" w:cs="Arial" w:eastAsia="Arial" w:hAnsi="Arial"/>
          <w:sz w:val="22"/>
          <w:szCs w:val="22"/>
        </w:rPr>
        <w:t xml:space="preserve">: Often combined with limonene and other citrus terpenes for multi-action cleaning</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Antique restoration</w:t>
      </w:r>
      <w:r>
        <w:rPr>
          <w:rFonts w:ascii="Arial" w:cs="Arial" w:eastAsia="Arial" w:hAnsi="Arial"/>
          <w:sz w:val="22"/>
          <w:szCs w:val="22"/>
        </w:rPr>
        <w:t xml:space="preserve">: Dissolving old waxes and varnishes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Textile and fiber cleaning</w:t>
      </w:r>
      <w:r>
        <w:rPr>
          <w:rFonts w:ascii="Arial" w:cs="Arial" w:eastAsia="Arial" w:hAnsi="Arial"/>
          <w:sz w:val="22"/>
          <w:szCs w:val="22"/>
        </w:rPr>
        <w:t xml:space="preserve">: Gentle enough for delicate materials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Laboratory and pharmaceutical cleaning</w:t>
      </w:r>
      <w:r>
        <w:rPr>
          <w:rFonts w:ascii="Arial" w:cs="Arial" w:eastAsia="Arial" w:hAnsi="Arial"/>
          <w:sz w:val="22"/>
          <w:szCs w:val="22"/>
        </w:rPr>
        <w:t xml:space="preserve">: Complies with pharma-grade cleanliness standards</w:t>
      </w:r>
    </w:p>
    <w:p>
      <w:pPr>
        <w:pStyle w:val="Heading2"/>
        <w:spacing w:after="120" w:before="240"/>
      </w:pPr>
      <w:r>
        <w:rPr>
          <w:rFonts w:ascii="Arial" w:cs="Arial" w:eastAsia="Arial" w:hAnsi="Arial"/>
          <w:b/>
          <w:bCs/>
          <w:color w:val="333333"/>
          <w:sz w:val="26"/>
          <w:szCs w:val="26"/>
        </w:rPr>
        <w:t xml:space="preserve">13.3 Perfumery &amp; Fragrance Industry</w:t>
      </w:r>
    </w:p>
    <w:p>
      <w:pPr>
        <w:spacing w:after="120" w:line="300"/>
      </w:pPr>
      <w:r>
        <w:rPr>
          <w:rFonts w:ascii="Arial" w:cs="Arial" w:eastAsia="Arial" w:hAnsi="Arial"/>
          <w:sz w:val="22"/>
          <w:szCs w:val="22"/>
        </w:rPr>
        <w:t xml:space="preserve">(See §9 for detailed treatment)</w:t>
      </w:r>
    </w:p>
    <w:p>
      <w:pPr>
        <w:spacing w:after="120" w:line="300"/>
      </w:pPr>
      <w:r>
        <w:rPr>
          <w:rFonts w:ascii="Arial" w:cs="Arial" w:eastAsia="Arial" w:hAnsi="Arial"/>
          <w:sz w:val="22"/>
          <w:szCs w:val="22"/>
        </w:rPr>
        <w:t xml:space="preserve">1,8-cineole is a </w:t>
      </w:r>
      <w:r>
        <w:rPr>
          <w:rFonts w:ascii="Arial" w:cs="Arial" w:eastAsia="Arial" w:hAnsi="Arial"/>
          <w:b/>
          <w:bCs/>
          <w:sz w:val="22"/>
          <w:szCs w:val="22"/>
        </w:rPr>
        <w:t xml:space="preserve">high-value fragrance ingredient</w:t>
      </w:r>
      <w:r>
        <w:rPr>
          <w:rFonts w:ascii="Arial" w:cs="Arial" w:eastAsia="Arial" w:hAnsi="Arial"/>
          <w:sz w:val="22"/>
          <w:szCs w:val="22"/>
        </w:rPr>
        <w:t xml:space="preserve"> in perfumery-grade products.</w:t>
      </w:r>
    </w:p>
    <w:p>
      <w:pPr>
        <w:pStyle w:val="Heading2"/>
        <w:spacing w:after="120" w:before="240"/>
      </w:pPr>
      <w:r>
        <w:rPr>
          <w:rFonts w:ascii="Arial" w:cs="Arial" w:eastAsia="Arial" w:hAnsi="Arial"/>
          <w:b/>
          <w:bCs/>
          <w:color w:val="333333"/>
          <w:sz w:val="26"/>
          <w:szCs w:val="26"/>
        </w:rPr>
        <w:t xml:space="preserve">13.4 Cosmetics &amp; Personal Care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Toothpaste</w:t>
      </w:r>
      <w:r>
        <w:rPr>
          <w:rFonts w:ascii="Arial" w:cs="Arial" w:eastAsia="Arial" w:hAnsi="Arial"/>
          <w:sz w:val="22"/>
          <w:szCs w:val="22"/>
        </w:rPr>
        <w:t xml:space="preserve">: Flavoring, antimicrobial, fresh breath</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Skincare products</w:t>
      </w:r>
      <w:r>
        <w:rPr>
          <w:rFonts w:ascii="Arial" w:cs="Arial" w:eastAsia="Arial" w:hAnsi="Arial"/>
          <w:sz w:val="22"/>
          <w:szCs w:val="22"/>
        </w:rPr>
        <w:t xml:space="preserve">: Antiseptic, aromatic, anti-inflammatory</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Hair care</w:t>
      </w:r>
      <w:r>
        <w:rPr>
          <w:rFonts w:ascii="Arial" w:cs="Arial" w:eastAsia="Arial" w:hAnsi="Arial"/>
          <w:sz w:val="22"/>
          <w:szCs w:val="22"/>
        </w:rPr>
        <w:t xml:space="preserve">: Scalp health, antimicrobial shampoos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Lip balms &amp; salves</w:t>
      </w:r>
      <w:r>
        <w:rPr>
          <w:rFonts w:ascii="Arial" w:cs="Arial" w:eastAsia="Arial" w:hAnsi="Arial"/>
          <w:sz w:val="22"/>
          <w:szCs w:val="22"/>
        </w:rPr>
        <w:t xml:space="preserve">: Cooling, medicinal sensation</w:t>
      </w:r>
    </w:p>
    <w:p>
      <w:pPr>
        <w:pStyle w:val="Heading2"/>
        <w:spacing w:after="120" w:before="240"/>
      </w:pPr>
      <w:r>
        <w:rPr>
          <w:rFonts w:ascii="Arial" w:cs="Arial" w:eastAsia="Arial" w:hAnsi="Arial"/>
          <w:b/>
          <w:bCs/>
          <w:color w:val="333333"/>
          <w:sz w:val="26"/>
          <w:szCs w:val="26"/>
        </w:rPr>
        <w:t xml:space="preserve">13.5 Food &amp; Beverage Additives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Flavoring agent</w:t>
      </w:r>
      <w:r>
        <w:rPr>
          <w:rFonts w:ascii="Arial" w:cs="Arial" w:eastAsia="Arial" w:hAnsi="Arial"/>
          <w:sz w:val="22"/>
          <w:szCs w:val="22"/>
        </w:rPr>
        <w:t xml:space="preserve">: GRAS (Generally Recognized as Safe) by FDA in some applications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Beverage additive</w:t>
      </w:r>
      <w:r>
        <w:rPr>
          <w:rFonts w:ascii="Arial" w:cs="Arial" w:eastAsia="Arial" w:hAnsi="Arial"/>
          <w:sz w:val="22"/>
          <w:szCs w:val="22"/>
        </w:rPr>
        <w:t xml:space="preserve">: Herbal teas, infusions, liqueurs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Spice blends</w:t>
      </w:r>
      <w:r>
        <w:rPr>
          <w:rFonts w:ascii="Arial" w:cs="Arial" w:eastAsia="Arial" w:hAnsi="Arial"/>
          <w:sz w:val="22"/>
          <w:szCs w:val="22"/>
        </w:rPr>
        <w:t xml:space="preserve">: Cardamom extract (co-ingredient with 1,8-cineole)</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838F"/>
          <w:sz w:val="30"/>
          <w:szCs w:val="30"/>
        </w:rPr>
        <w:t xml:space="preserve">14. Contrarian Evidence &amp; Toxicity</w:t>
      </w:r>
    </w:p>
    <w:p>
      <w:pPr>
        <w:pStyle w:val="Heading2"/>
        <w:spacing w:after="120" w:before="240"/>
      </w:pPr>
      <w:r>
        <w:rPr>
          <w:rFonts w:ascii="Arial" w:cs="Arial" w:eastAsia="Arial" w:hAnsi="Arial"/>
          <w:b/>
          <w:bCs/>
          <w:color w:val="333333"/>
          <w:sz w:val="26"/>
          <w:szCs w:val="26"/>
        </w:rPr>
        <w:t xml:space="preserve">14.1 Oral Toxicity Data</w:t>
      </w:r>
    </w:p>
    <w:p>
      <w:pPr>
        <w:spacing w:after="120" w:line="300"/>
      </w:pPr>
      <w:r>
        <w:rPr>
          <w:rFonts w:ascii="Arial" w:cs="Arial" w:eastAsia="Arial" w:hAnsi="Arial"/>
          <w:sz w:val="22"/>
          <w:szCs w:val="22"/>
        </w:rPr>
        <w:t xml:space="preserve">While 1,8-cineole is generally regarded as safe in typical dietary and aromatic exposures, </w:t>
      </w:r>
      <w:r>
        <w:rPr>
          <w:rFonts w:ascii="Arial" w:cs="Arial" w:eastAsia="Arial" w:hAnsi="Arial"/>
          <w:b/>
          <w:bCs/>
          <w:sz w:val="22"/>
          <w:szCs w:val="22"/>
        </w:rPr>
        <w:t xml:space="preserve">high oral doses</w:t>
      </w:r>
      <w:r>
        <w:rPr>
          <w:rFonts w:ascii="Arial" w:cs="Arial" w:eastAsia="Arial" w:hAnsi="Arial"/>
          <w:sz w:val="22"/>
          <w:szCs w:val="22"/>
        </w:rPr>
        <w:t xml:space="preserve"> carry toxicity risk.</w:t>
      </w:r>
    </w:p>
    <w:p>
      <w:pPr>
        <w:spacing w:after="100" w:before="200"/>
      </w:pPr>
      <w:r>
        <w:rPr>
          <w:rFonts w:ascii="Arial" w:cs="Arial" w:eastAsia="Arial" w:hAnsi="Arial"/>
          <w:b/>
          <w:bCs/>
          <w:color w:val="444444"/>
          <w:sz w:val="24"/>
          <w:szCs w:val="24"/>
        </w:rPr>
        <w:t xml:space="preserve">LD₅₀ (Lethal Dose, 50% of Population)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Species</w:t>
            </w:r>
          </w:p>
        </w:tc>
        <w:tc>
          <w:tcPr>
            <w:tcW w:type="dxa" w:w="1872"/>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Route</w:t>
            </w:r>
          </w:p>
        </w:tc>
        <w:tc>
          <w:tcPr>
            <w:tcW w:type="dxa" w:w="1872"/>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LD₅₀</w:t>
            </w:r>
          </w:p>
        </w:tc>
        <w:tc>
          <w:tcPr>
            <w:tcW w:type="dxa" w:w="1872"/>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872"/>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Mice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Oral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3,849 mg/kg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[PMC4014229](https://pmc.ncbi.nlm.nih.gov/articles/PMC4014229/)</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Rapid cyanosis, convulsions, respiratory failure</w:t>
            </w:r>
          </w:p>
        </w:tc>
      </w:tr>
      <w:tr>
        <w:tc>
          <w:tcPr>
            <w:tcW w:type="dxa" w:w="1872"/>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Rats</w:t>
            </w:r>
          </w:p>
        </w:tc>
        <w:tc>
          <w:tcPr>
            <w:tcW w:type="dxa" w:w="1872"/>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Oral</w:t>
            </w:r>
          </w:p>
        </w:tc>
        <w:tc>
          <w:tcPr>
            <w:tcW w:type="dxa" w:w="1872"/>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2,480 mg/kg</w:t>
            </w:r>
          </w:p>
        </w:tc>
        <w:tc>
          <w:tcPr>
            <w:tcW w:type="dxa" w:w="1872"/>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[PMC4014229](https://pmc.ncbi.nlm.nih.gov/articles/PMC4014229/)</w:t>
            </w:r>
          </w:p>
        </w:tc>
        <w:tc>
          <w:tcPr>
            <w:tcW w:type="dxa" w:w="1872"/>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Similar presentation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Mice</w:t>
            </w:r>
            <w:r>
              <w:rPr>
                <w:rFonts w:ascii="Arial" w:cs="Arial" w:eastAsia="Arial" w:hAnsi="Arial"/>
                <w:b w:val="false"/>
                <w:bCs w:val="false"/>
                <w:color w:val="333333"/>
                <w:sz w:val="20"/>
                <w:szCs w:val="20"/>
              </w:rPr>
              <w:t xml:space="preserve"> (alternate)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Oral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1,280 mg/kg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[Chemical Book](https://www.chemicalbook.com/article/application-and-toxicity-of-cineole.htm)</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Higher sensitivity in some strains</w:t>
            </w:r>
          </w:p>
        </w:tc>
      </w:tr>
    </w:tbl>
    <w:p>
      <w:pPr>
        <w:spacing w:after="120"/>
      </w:pPr>
    </w:p>
    <w:p>
      <w:pPr>
        <w:spacing w:after="100" w:before="200"/>
      </w:pPr>
      <w:r>
        <w:rPr>
          <w:rFonts w:ascii="Arial" w:cs="Arial" w:eastAsia="Arial" w:hAnsi="Arial"/>
          <w:b/>
          <w:bCs/>
          <w:color w:val="444444"/>
          <w:sz w:val="24"/>
          <w:szCs w:val="24"/>
        </w:rPr>
        <w:t xml:space="preserve">Human Toxicity Reference</w:t>
      </w:r>
    </w:p>
    <w:p>
      <w:pPr>
        <w:spacing w:after="120" w:line="300"/>
      </w:pPr>
      <w:r>
        <w:rPr>
          <w:rFonts w:ascii="Arial" w:cs="Arial" w:eastAsia="Arial" w:hAnsi="Arial"/>
          <w:sz w:val="22"/>
          <w:szCs w:val="22"/>
        </w:rPr>
        <w:t xml:space="preserve">For a </w:t>
      </w:r>
      <w:r>
        <w:rPr>
          <w:rFonts w:ascii="Arial" w:cs="Arial" w:eastAsia="Arial" w:hAnsi="Arial"/>
          <w:b/>
          <w:bCs/>
          <w:sz w:val="22"/>
          <w:szCs w:val="22"/>
        </w:rPr>
        <w:t xml:space="preserve">70 kg adult human</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Lower LD₅₀ estimate</w:t>
      </w:r>
      <w:r>
        <w:rPr>
          <w:rFonts w:ascii="Arial" w:cs="Arial" w:eastAsia="Arial" w:hAnsi="Arial"/>
          <w:sz w:val="22"/>
          <w:szCs w:val="22"/>
        </w:rPr>
        <w:t xml:space="preserve"> (1,280 mg/kg): ~89.6 g (89,600 mg) — lethal dose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Higher estimate</w:t>
      </w:r>
      <w:r>
        <w:rPr>
          <w:rFonts w:ascii="Arial" w:cs="Arial" w:eastAsia="Arial" w:hAnsi="Arial"/>
          <w:sz w:val="22"/>
          <w:szCs w:val="22"/>
        </w:rPr>
        <w:t xml:space="preserve"> (3,849 mg/kg): ~269.4 g (269,400 mg) — lethal dose</w:t>
      </w:r>
    </w:p>
    <w:p>
      <w:pPr>
        <w:spacing w:after="120" w:line="300"/>
      </w:pPr>
      <w:r>
        <w:rPr>
          <w:rFonts w:ascii="Arial" w:cs="Arial" w:eastAsia="Arial" w:hAnsi="Arial"/>
          <w:b/>
          <w:bCs/>
          <w:sz w:val="22"/>
          <w:szCs w:val="22"/>
        </w:rPr>
        <w:t xml:space="preserve">Practical Context</w:t>
      </w:r>
      <w:r>
        <w:rPr>
          <w:rFonts w:ascii="Arial" w:cs="Arial" w:eastAsia="Arial" w:hAnsi="Arial"/>
          <w:sz w:val="22"/>
          <w:szCs w:val="22"/>
        </w:rPr>
        <w:t xml:space="preserve">: A typical 100 mL bottle of eucalyptus essential oil contains ~70–90 g of 1,8-cineole. Ingesting more than one full bottle could approach lethal doses. However, </w:t>
      </w:r>
      <w:r>
        <w:rPr>
          <w:rFonts w:ascii="Arial" w:cs="Arial" w:eastAsia="Arial" w:hAnsi="Arial"/>
          <w:b/>
          <w:bCs/>
          <w:sz w:val="22"/>
          <w:szCs w:val="22"/>
        </w:rPr>
        <w:t xml:space="preserve">accidental overdose from aromatic/inhalational use is extremely unlikely</w:t>
      </w:r>
      <w:r>
        <w:rPr>
          <w:rFonts w:ascii="Arial" w:cs="Arial" w:eastAsia="Arial" w:hAnsi="Arial"/>
          <w:sz w:val="22"/>
          <w:szCs w:val="22"/>
        </w:rPr>
        <w:t xml:space="preserve">.</w:t>
      </w:r>
    </w:p>
    <w:p>
      <w:pPr>
        <w:pStyle w:val="Heading2"/>
        <w:spacing w:after="120" w:before="240"/>
      </w:pPr>
      <w:r>
        <w:rPr>
          <w:rFonts w:ascii="Arial" w:cs="Arial" w:eastAsia="Arial" w:hAnsi="Arial"/>
          <w:b/>
          <w:bCs/>
          <w:color w:val="333333"/>
          <w:sz w:val="26"/>
          <w:szCs w:val="26"/>
        </w:rPr>
        <w:t xml:space="preserve">14.2 Seizure Risk &amp; Neurological Effects</w:t>
      </w:r>
    </w:p>
    <w:p>
      <w:pPr>
        <w:spacing w:after="100" w:before="200"/>
      </w:pPr>
      <w:r>
        <w:rPr>
          <w:rFonts w:ascii="Arial" w:cs="Arial" w:eastAsia="Arial" w:hAnsi="Arial"/>
          <w:b/>
          <w:bCs/>
          <w:color w:val="444444"/>
          <w:sz w:val="24"/>
          <w:szCs w:val="24"/>
        </w:rPr>
        <w:t xml:space="preserve">Animal Studies</w:t>
      </w:r>
    </w:p>
    <w:p>
      <w:pPr>
        <w:spacing w:after="120" w:line="300"/>
      </w:pPr>
      <w:r>
        <w:rPr>
          <w:rFonts w:ascii="Arial" w:cs="Arial" w:eastAsia="Arial" w:hAnsi="Arial"/>
          <w:sz w:val="22"/>
          <w:szCs w:val="22"/>
        </w:rPr>
        <w:t xml:space="preserve">Studies in rats revealed that </w:t>
      </w:r>
      <w:r>
        <w:rPr>
          <w:rFonts w:ascii="Arial" w:cs="Arial" w:eastAsia="Arial" w:hAnsi="Arial"/>
          <w:b/>
          <w:bCs/>
          <w:sz w:val="22"/>
          <w:szCs w:val="22"/>
        </w:rPr>
        <w:t xml:space="preserve">1,8-cineole exhibits excitatory and epileptogenic properties</w:t>
      </w:r>
      <w:r>
        <w:rPr>
          <w:rFonts w:ascii="Arial" w:cs="Arial" w:eastAsia="Arial" w:hAnsi="Arial"/>
          <w:sz w:val="22"/>
          <w:szCs w:val="22"/>
        </w:rPr>
        <w:t xml:space="preserve"> at high doses: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Seizure induction</w:t>
      </w:r>
      <w:r>
        <w:rPr>
          <w:rFonts w:ascii="Arial" w:cs="Arial" w:eastAsia="Arial" w:hAnsi="Arial"/>
          <w:sz w:val="22"/>
          <w:szCs w:val="22"/>
        </w:rPr>
        <w:t xml:space="preserve">: Oral administration of 2,000 mg/kg initially produced sedation and tremors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Progression to seizures</w:t>
      </w:r>
      <w:r>
        <w:rPr>
          <w:rFonts w:ascii="Arial" w:cs="Arial" w:eastAsia="Arial" w:hAnsi="Arial"/>
          <w:sz w:val="22"/>
          <w:szCs w:val="22"/>
        </w:rPr>
        <w:t xml:space="preserve">: After 180 minutes, progressive difficulty breathing and seizures were observed</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Brain activity changes</w:t>
      </w:r>
      <w:r>
        <w:rPr>
          <w:rFonts w:ascii="Arial" w:cs="Arial" w:eastAsia="Arial" w:hAnsi="Arial"/>
          <w:sz w:val="22"/>
          <w:szCs w:val="22"/>
        </w:rPr>
        <w:t xml:space="preserve">: Wavelet and fractal analysis showed altered central neuron activity</w:t>
      </w:r>
    </w:p>
    <w:p>
      <w:pPr>
        <w:spacing w:after="100" w:before="200"/>
      </w:pPr>
      <w:r>
        <w:rPr>
          <w:rFonts w:ascii="Arial" w:cs="Arial" w:eastAsia="Arial" w:hAnsi="Arial"/>
          <w:b/>
          <w:bCs/>
          <w:color w:val="444444"/>
          <w:sz w:val="24"/>
          <w:szCs w:val="24"/>
        </w:rPr>
        <w:t xml:space="preserve">Implication for Pre-Loading</w:t>
      </w:r>
    </w:p>
    <w:p>
      <w:pPr>
        <w:spacing w:after="120" w:line="300"/>
      </w:pPr>
      <w:r>
        <w:rPr>
          <w:rFonts w:ascii="Arial" w:cs="Arial" w:eastAsia="Arial" w:hAnsi="Arial"/>
          <w:b/>
          <w:bCs/>
          <w:sz w:val="22"/>
          <w:szCs w:val="22"/>
        </w:rPr>
        <w:t xml:space="preserve">Risk Level</w:t>
      </w:r>
      <w:r>
        <w:rPr>
          <w:rFonts w:ascii="Arial" w:cs="Arial" w:eastAsia="Arial" w:hAnsi="Arial"/>
          <w:sz w:val="22"/>
          <w:szCs w:val="22"/>
        </w:rPr>
        <w:t xml:space="preserve">: </w:t>
      </w:r>
      <w:r>
        <w:rPr>
          <w:rFonts w:ascii="Arial" w:cs="Arial" w:eastAsia="Arial" w:hAnsi="Arial"/>
          <w:b/>
          <w:bCs/>
          <w:sz w:val="22"/>
          <w:szCs w:val="22"/>
        </w:rPr>
        <w:t xml:space="preserve">Very low for typical pre-loading doses</w:t>
      </w:r>
      <w:r>
        <w:rPr>
          <w:rFonts w:ascii="Arial" w:cs="Arial" w:eastAsia="Arial" w:hAnsi="Arial"/>
          <w:sz w:val="22"/>
          <w:szCs w:val="22"/>
        </w:rPr>
        <w:t xml:space="preserve">. The seizure risk was observed at </w:t>
      </w:r>
      <w:r>
        <w:rPr>
          <w:rFonts w:ascii="Arial" w:cs="Arial" w:eastAsia="Arial" w:hAnsi="Arial"/>
          <w:b/>
          <w:bCs/>
          <w:sz w:val="22"/>
          <w:szCs w:val="22"/>
        </w:rPr>
        <w:t xml:space="preserve">extremely high oral doses</w:t>
      </w:r>
      <w:r>
        <w:rPr>
          <w:rFonts w:ascii="Arial" w:cs="Arial" w:eastAsia="Arial" w:hAnsi="Arial"/>
          <w:sz w:val="22"/>
          <w:szCs w:val="22"/>
        </w:rPr>
        <w:t xml:space="preserve"> (2,000 mg/kg), which would be impractical via inhalation.</w:t>
      </w:r>
    </w:p>
    <w:p>
      <w:pPr>
        <w:spacing w:after="120" w:line="300"/>
      </w:pPr>
      <w:r>
        <w:rPr>
          <w:rFonts w:ascii="Arial" w:cs="Arial" w:eastAsia="Arial" w:hAnsi="Arial"/>
          <w:b/>
          <w:bCs/>
          <w:sz w:val="22"/>
          <w:szCs w:val="22"/>
        </w:rPr>
        <w:t xml:space="preserve">Safe Inhalation Doses</w:t>
      </w:r>
      <w:r>
        <w:rPr>
          <w:rFonts w:ascii="Arial" w:cs="Arial" w:eastAsia="Arial" w:hAnsi="Arial"/>
          <w:sz w:val="22"/>
          <w:szCs w:val="22"/>
        </w:rPr>
        <w:t xml:space="preserve">: The Moss &amp; Oliver 2012 study used </w:t>
      </w:r>
      <w:r>
        <w:rPr>
          <w:rFonts w:ascii="Arial" w:cs="Arial" w:eastAsia="Arial" w:hAnsi="Arial"/>
          <w:b/>
          <w:bCs/>
          <w:sz w:val="22"/>
          <w:szCs w:val="22"/>
        </w:rPr>
        <w:t xml:space="preserve">rosemary aroma inhalation</w:t>
      </w:r>
      <w:r>
        <w:rPr>
          <w:rFonts w:ascii="Arial" w:cs="Arial" w:eastAsia="Arial" w:hAnsi="Arial"/>
          <w:sz w:val="22"/>
          <w:szCs w:val="22"/>
        </w:rPr>
        <w:t xml:space="preserve"> (not pure essential oil) and observed peak plasma levels of 459–1,135 ng/mL — orders of magnitude below toxic thresholds.</w:t>
      </w:r>
    </w:p>
    <w:p>
      <w:pPr>
        <w:spacing w:after="120" w:line="300"/>
      </w:pPr>
      <w:r>
        <w:rPr>
          <w:rFonts w:ascii="Arial" w:cs="Arial" w:eastAsia="Arial" w:hAnsi="Arial"/>
          <w:b/>
          <w:bCs/>
          <w:sz w:val="22"/>
          <w:szCs w:val="22"/>
        </w:rPr>
        <w:t xml:space="preserve">Recommendation</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Avoid </w:t>
      </w:r>
      <w:r>
        <w:rPr>
          <w:rFonts w:ascii="Arial" w:cs="Arial" w:eastAsia="Arial" w:hAnsi="Arial"/>
          <w:b/>
          <w:bCs/>
          <w:sz w:val="22"/>
          <w:szCs w:val="22"/>
        </w:rPr>
        <w:t xml:space="preserve">oral ingestion of concentrated 1,8-cineole</w:t>
      </w:r>
      <w:r>
        <w:rPr>
          <w:rFonts w:ascii="Arial" w:cs="Arial" w:eastAsia="Arial" w:hAnsi="Arial"/>
          <w:sz w:val="22"/>
          <w:szCs w:val="22"/>
        </w:rPr>
        <w:t xml:space="preserve"> (e.g., drinking eucalyptus oil)</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Inhalational pre-loading is safe</w:t>
      </w:r>
      <w:r>
        <w:rPr>
          <w:rFonts w:ascii="Arial" w:cs="Arial" w:eastAsia="Arial" w:hAnsi="Arial"/>
          <w:sz w:val="22"/>
          <w:szCs w:val="22"/>
        </w:rPr>
        <w:t xml:space="preserve"> at typical dosing</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Do not exceed 30 minutes of continuous inhalation</w:t>
      </w:r>
      <w:r>
        <w:rPr>
          <w:rFonts w:ascii="Arial" w:cs="Arial" w:eastAsia="Arial" w:hAnsi="Arial"/>
          <w:sz w:val="22"/>
          <w:szCs w:val="22"/>
        </w:rPr>
        <w:t xml:space="preserve"> per session</w:t>
      </w:r>
    </w:p>
    <w:p>
      <w:pPr>
        <w:spacing w:after="120" w:line="300"/>
      </w:pPr>
      <w:r>
        <w:rPr>
          <w:rFonts w:ascii="Arial" w:cs="Arial" w:eastAsia="Arial" w:hAnsi="Arial"/>
          <w:b/>
          <w:bCs/>
          <w:sz w:val="22"/>
          <w:szCs w:val="22"/>
        </w:rPr>
        <w:t xml:space="preserve">Source</w:t>
      </w:r>
      <w:r>
        <w:rPr>
          <w:rFonts w:ascii="Arial" w:cs="Arial" w:eastAsia="Arial" w:hAnsi="Arial"/>
          <w:sz w:val="22"/>
          <w:szCs w:val="22"/>
        </w:rPr>
        <w:t xml:space="preserve">: [Acute and subacute toxicity study of 1,8-cineole in mice - PMC](https://pmc.ncbi.nlm.nih.gov/articles/PMC4014229/)</w:t>
      </w:r>
    </w:p>
    <w:p>
      <w:pPr>
        <w:pStyle w:val="Heading2"/>
        <w:spacing w:after="120" w:before="240"/>
      </w:pPr>
      <w:r>
        <w:rPr>
          <w:rFonts w:ascii="Arial" w:cs="Arial" w:eastAsia="Arial" w:hAnsi="Arial"/>
          <w:b/>
          <w:bCs/>
          <w:color w:val="333333"/>
          <w:sz w:val="26"/>
          <w:szCs w:val="26"/>
        </w:rPr>
        <w:t xml:space="preserve">14.3 Cytochrome P450 Interactions</w:t>
      </w:r>
    </w:p>
    <w:p>
      <w:pPr>
        <w:spacing w:after="100" w:before="200"/>
      </w:pPr>
      <w:r>
        <w:rPr>
          <w:rFonts w:ascii="Arial" w:cs="Arial" w:eastAsia="Arial" w:hAnsi="Arial"/>
          <w:b/>
          <w:bCs/>
          <w:color w:val="444444"/>
          <w:sz w:val="24"/>
          <w:szCs w:val="24"/>
        </w:rPr>
        <w:t xml:space="preserve">Metabolism &amp; Drug Interactions</w:t>
      </w:r>
    </w:p>
    <w:p>
      <w:pPr>
        <w:spacing w:after="120" w:line="300"/>
      </w:pPr>
      <w:r>
        <w:rPr>
          <w:rFonts w:ascii="Arial" w:cs="Arial" w:eastAsia="Arial" w:hAnsi="Arial"/>
          <w:sz w:val="22"/>
          <w:szCs w:val="22"/>
        </w:rPr>
        <w:t xml:space="preserve">1,8-cineole is </w:t>
      </w:r>
      <w:r>
        <w:rPr>
          <w:rFonts w:ascii="Arial" w:cs="Arial" w:eastAsia="Arial" w:hAnsi="Arial"/>
          <w:b/>
          <w:bCs/>
          <w:sz w:val="22"/>
          <w:szCs w:val="22"/>
        </w:rPr>
        <w:t xml:space="preserve">metabolized in the liver</w:t>
      </w:r>
      <w:r>
        <w:rPr>
          <w:rFonts w:ascii="Arial" w:cs="Arial" w:eastAsia="Arial" w:hAnsi="Arial"/>
          <w:sz w:val="22"/>
          <w:szCs w:val="22"/>
        </w:rPr>
        <w:t xml:space="preserve"> by human cytochrome P450 enzymes, specifically:</w:t>
      </w:r>
    </w:p>
    <w:p>
      <w:pPr>
        <w:spacing w:after="120" w:line="300"/>
      </w:pPr>
      <w:r>
        <w:rPr>
          <w:rFonts w:ascii="Arial" w:cs="Arial" w:eastAsia="Arial" w:hAnsi="Arial"/>
          <w:b/>
          <w:bCs/>
          <w:sz w:val="22"/>
          <w:szCs w:val="22"/>
        </w:rPr>
        <w:t xml:space="preserve">Primary Enzymes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CYP3A4/5</w:t>
      </w:r>
      <w:r>
        <w:rPr>
          <w:rFonts w:ascii="Arial" w:cs="Arial" w:eastAsia="Arial" w:hAnsi="Arial"/>
          <w:sz w:val="22"/>
          <w:szCs w:val="22"/>
        </w:rPr>
        <w:t xml:space="preserve">: Primary metabolizer; catalyzes 2α- and 3α-hydroxylation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CYP2B6</w:t>
      </w:r>
      <w:r>
        <w:rPr>
          <w:rFonts w:ascii="Arial" w:cs="Arial" w:eastAsia="Arial" w:hAnsi="Arial"/>
          <w:sz w:val="22"/>
          <w:szCs w:val="22"/>
        </w:rPr>
        <w:t xml:space="preserve">: Secondary involvement (less studied)</w:t>
      </w:r>
    </w:p>
    <w:p>
      <w:pPr>
        <w:spacing w:after="100" w:before="200"/>
      </w:pPr>
      <w:r>
        <w:rPr>
          <w:rFonts w:ascii="Arial" w:cs="Arial" w:eastAsia="Arial" w:hAnsi="Arial"/>
          <w:b/>
          <w:bCs/>
          <w:color w:val="444444"/>
          <w:sz w:val="24"/>
          <w:szCs w:val="24"/>
        </w:rPr>
        <w:t xml:space="preserve">Potential Drug Interactions</w:t>
      </w:r>
    </w:p>
    <w:p>
      <w:pPr>
        <w:spacing w:after="120" w:line="300"/>
      </w:pPr>
      <w:r>
        <w:rPr>
          <w:rFonts w:ascii="Arial" w:cs="Arial" w:eastAsia="Arial" w:hAnsi="Arial"/>
          <w:sz w:val="22"/>
          <w:szCs w:val="22"/>
        </w:rPr>
        <w:t xml:space="preserve">1,8-cineole </w:t>
      </w:r>
      <w:r>
        <w:rPr>
          <w:rFonts w:ascii="Arial" w:cs="Arial" w:eastAsia="Arial" w:hAnsi="Arial"/>
          <w:b/>
          <w:bCs/>
          <w:sz w:val="22"/>
          <w:szCs w:val="22"/>
        </w:rPr>
        <w:t xml:space="preserve">may induce or inhibit</w:t>
      </w:r>
      <w:r>
        <w:rPr>
          <w:rFonts w:ascii="Arial" w:cs="Arial" w:eastAsia="Arial" w:hAnsi="Arial"/>
          <w:sz w:val="22"/>
          <w:szCs w:val="22"/>
        </w:rPr>
        <w:t xml:space="preserve"> certain P450 enzymes, theoretically affecting metabolism of drugs that use these same enzymes:</w:t>
      </w:r>
    </w:p>
    <w:p>
      <w:pPr>
        <w:spacing w:after="120" w:line="300"/>
      </w:pPr>
      <w:r>
        <w:rPr>
          <w:rFonts w:ascii="Arial" w:cs="Arial" w:eastAsia="Arial" w:hAnsi="Arial"/>
          <w:b/>
          <w:bCs/>
          <w:sz w:val="22"/>
          <w:szCs w:val="22"/>
        </w:rPr>
        <w:t xml:space="preserve">Drugs Metabolized by CYP3A4</w:t>
      </w:r>
      <w:r>
        <w:rPr>
          <w:rFonts w:ascii="Arial" w:cs="Arial" w:eastAsia="Arial" w:hAnsi="Arial"/>
          <w:sz w:val="22"/>
          <w:szCs w:val="22"/>
        </w:rPr>
        <w:t xml:space="preserve"> (potential interaction candidates):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Statins</w:t>
      </w:r>
      <w:r>
        <w:rPr>
          <w:rFonts w:ascii="Arial" w:cs="Arial" w:eastAsia="Arial" w:hAnsi="Arial"/>
          <w:sz w:val="22"/>
          <w:szCs w:val="22"/>
        </w:rPr>
        <w:t xml:space="preserve"> (simvastatin, atorvastatin): Cholesterol-lowering</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Immunosuppressants</w:t>
      </w:r>
      <w:r>
        <w:rPr>
          <w:rFonts w:ascii="Arial" w:cs="Arial" w:eastAsia="Arial" w:hAnsi="Arial"/>
          <w:sz w:val="22"/>
          <w:szCs w:val="22"/>
        </w:rPr>
        <w:t xml:space="preserve"> (tacrolimus, cyclosporine): Post-transplant</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Anticancer agents</w:t>
      </w:r>
      <w:r>
        <w:rPr>
          <w:rFonts w:ascii="Arial" w:cs="Arial" w:eastAsia="Arial" w:hAnsi="Arial"/>
          <w:sz w:val="22"/>
          <w:szCs w:val="22"/>
        </w:rPr>
        <w:t xml:space="preserve"> (taxanes, protease inhibitors): Oncology</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Benzodiazepines</w:t>
      </w:r>
      <w:r>
        <w:rPr>
          <w:rFonts w:ascii="Arial" w:cs="Arial" w:eastAsia="Arial" w:hAnsi="Arial"/>
          <w:sz w:val="22"/>
          <w:szCs w:val="22"/>
        </w:rPr>
        <w:t xml:space="preserve"> (midazolam, triazolam): Sedatives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Antihistamines</w:t>
      </w:r>
      <w:r>
        <w:rPr>
          <w:rFonts w:ascii="Arial" w:cs="Arial" w:eastAsia="Arial" w:hAnsi="Arial"/>
          <w:sz w:val="22"/>
          <w:szCs w:val="22"/>
        </w:rPr>
        <w:t xml:space="preserve"> (terfenadine): Allergy</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Macrolide antibiotics</w:t>
      </w:r>
      <w:r>
        <w:rPr>
          <w:rFonts w:ascii="Arial" w:cs="Arial" w:eastAsia="Arial" w:hAnsi="Arial"/>
          <w:sz w:val="22"/>
          <w:szCs w:val="22"/>
        </w:rPr>
        <w:t xml:space="preserve"> (erythromycin): Infection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Antifungals</w:t>
      </w:r>
      <w:r>
        <w:rPr>
          <w:rFonts w:ascii="Arial" w:cs="Arial" w:eastAsia="Arial" w:hAnsi="Arial"/>
          <w:sz w:val="22"/>
          <w:szCs w:val="22"/>
        </w:rPr>
        <w:t xml:space="preserve"> (ketoconazole, itraconazole): Fungal infection</w:t>
      </w:r>
    </w:p>
    <w:p>
      <w:pPr>
        <w:spacing w:after="100" w:before="200"/>
      </w:pPr>
      <w:r>
        <w:rPr>
          <w:rFonts w:ascii="Arial" w:cs="Arial" w:eastAsia="Arial" w:hAnsi="Arial"/>
          <w:b/>
          <w:bCs/>
          <w:color w:val="444444"/>
          <w:sz w:val="24"/>
          <w:szCs w:val="24"/>
        </w:rPr>
        <w:t xml:space="preserve">Risk Assessment</w:t>
      </w:r>
    </w:p>
    <w:p>
      <w:pPr>
        <w:spacing w:after="120" w:line="300"/>
      </w:pPr>
      <w:r>
        <w:rPr>
          <w:rFonts w:ascii="Arial" w:cs="Arial" w:eastAsia="Arial" w:hAnsi="Arial"/>
          <w:b/>
          <w:bCs/>
          <w:sz w:val="22"/>
          <w:szCs w:val="22"/>
        </w:rPr>
        <w:t xml:space="preserve">Currently Available Data</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Most studies focus on </w:t>
      </w:r>
      <w:r>
        <w:rPr>
          <w:rFonts w:ascii="Arial" w:cs="Arial" w:eastAsia="Arial" w:hAnsi="Arial"/>
          <w:b/>
          <w:bCs/>
          <w:sz w:val="22"/>
          <w:szCs w:val="22"/>
        </w:rPr>
        <w:t xml:space="preserve">1,8-cineole metabolism</w:t>
      </w:r>
      <w:r>
        <w:rPr>
          <w:rFonts w:ascii="Arial" w:cs="Arial" w:eastAsia="Arial" w:hAnsi="Arial"/>
          <w:sz w:val="22"/>
          <w:szCs w:val="22"/>
        </w:rPr>
        <w:t xml:space="preserve">, not its </w:t>
      </w:r>
      <w:r>
        <w:rPr>
          <w:rFonts w:ascii="Arial" w:cs="Arial" w:eastAsia="Arial" w:hAnsi="Arial"/>
          <w:b/>
          <w:bCs/>
          <w:sz w:val="22"/>
          <w:szCs w:val="22"/>
        </w:rPr>
        <w:t xml:space="preserve">effects on P450 enzymes</w:t>
      </w:r>
      <w:r>
        <w:rPr>
          <w:rFonts w:ascii="Arial" w:cs="Arial" w:eastAsia="Arial" w:hAnsi="Arial"/>
          <w:sz w:val="22"/>
          <w:szCs w:val="22"/>
        </w:rPr>
        <w:t xml:space="preserve"> in other drugs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Clinical drug interaction data is </w:t>
      </w:r>
      <w:r>
        <w:rPr>
          <w:rFonts w:ascii="Arial" w:cs="Arial" w:eastAsia="Arial" w:hAnsi="Arial"/>
          <w:b/>
          <w:bCs/>
          <w:sz w:val="22"/>
          <w:szCs w:val="22"/>
        </w:rPr>
        <w:t xml:space="preserve">sparse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In vitro studies suggest potential but lack human confirmation</w:t>
      </w:r>
    </w:p>
    <w:p>
      <w:pPr>
        <w:spacing w:after="100" w:before="200"/>
      </w:pPr>
      <w:r>
        <w:rPr>
          <w:rFonts w:ascii="Arial" w:cs="Arial" w:eastAsia="Arial" w:hAnsi="Arial"/>
          <w:b/>
          <w:bCs/>
          <w:color w:val="444444"/>
          <w:sz w:val="24"/>
          <w:szCs w:val="24"/>
        </w:rPr>
        <w:t xml:space="preserve">Pre-Loading Safety Recommendations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Consult physician</w:t>
      </w:r>
      <w:r>
        <w:rPr>
          <w:rFonts w:ascii="Arial" w:cs="Arial" w:eastAsia="Arial" w:hAnsi="Arial"/>
          <w:sz w:val="22"/>
          <w:szCs w:val="22"/>
        </w:rPr>
        <w:t xml:space="preserve"> if taking any CYP3A4-metabolized medications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Monitor for changes in drug efficacy</w:t>
      </w:r>
      <w:r>
        <w:rPr>
          <w:rFonts w:ascii="Arial" w:cs="Arial" w:eastAsia="Arial" w:hAnsi="Arial"/>
          <w:sz w:val="22"/>
          <w:szCs w:val="22"/>
        </w:rPr>
        <w:t xml:space="preserve"> if using pre-loading consistently</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Space dosing</w:t>
      </w:r>
      <w:r>
        <w:rPr>
          <w:rFonts w:ascii="Arial" w:cs="Arial" w:eastAsia="Arial" w:hAnsi="Arial"/>
          <w:sz w:val="22"/>
          <w:szCs w:val="22"/>
        </w:rPr>
        <w:t xml:space="preserve">: If on medications, separate 1,8-cineole inhalation by </w:t>
      </w:r>
      <w:r>
        <w:rPr>
          <w:rFonts w:ascii="Arial" w:cs="Arial" w:eastAsia="Arial" w:hAnsi="Arial"/>
          <w:b/>
          <w:bCs/>
          <w:sz w:val="22"/>
          <w:szCs w:val="22"/>
        </w:rPr>
        <w:t xml:space="preserve">at least 2 hours</w:t>
      </w:r>
      <w:r>
        <w:rPr>
          <w:rFonts w:ascii="Arial" w:cs="Arial" w:eastAsia="Arial" w:hAnsi="Arial"/>
          <w:sz w:val="22"/>
          <w:szCs w:val="22"/>
        </w:rPr>
        <w:t xml:space="preserve"> from medication times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Start low</w:t>
      </w:r>
      <w:r>
        <w:rPr>
          <w:rFonts w:ascii="Arial" w:cs="Arial" w:eastAsia="Arial" w:hAnsi="Arial"/>
          <w:sz w:val="22"/>
          <w:szCs w:val="22"/>
        </w:rPr>
        <w:t xml:space="preserve">: Begin with brief inhalation (5–10 min) and observe for any adverse interactions</w:t>
      </w:r>
    </w:p>
    <w:p>
      <w:pPr>
        <w:spacing w:after="120" w:line="300"/>
      </w:pPr>
      <w:r>
        <w:rPr>
          <w:rFonts w:ascii="Arial" w:cs="Arial" w:eastAsia="Arial" w:hAnsi="Arial"/>
          <w:b/>
          <w:bCs/>
          <w:sz w:val="22"/>
          <w:szCs w:val="22"/>
        </w:rPr>
        <w:t xml:space="preserve">Sources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[Metabolism of 1,8-cineole by human cytochrome P450 enzymes - ScienceDirect](https://www.sciencedirect.com/science/article/abs/pii/S0304416505000024)</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[Acute and subacute toxicity study - PMC](https://pmc.ncbi.nlm.nih.gov/articles/PMC4014229/)</w:t>
      </w:r>
    </w:p>
    <w:p>
      <w:pPr>
        <w:pStyle w:val="Heading2"/>
        <w:spacing w:after="120" w:before="240"/>
      </w:pPr>
      <w:r>
        <w:rPr>
          <w:rFonts w:ascii="Arial" w:cs="Arial" w:eastAsia="Arial" w:hAnsi="Arial"/>
          <w:b/>
          <w:bCs/>
          <w:color w:val="333333"/>
          <w:sz w:val="26"/>
          <w:szCs w:val="26"/>
        </w:rPr>
        <w:t xml:space="preserve">14.4 Skin &amp; Mucosal Irritation</w:t>
      </w:r>
    </w:p>
    <w:p>
      <w:pPr>
        <w:spacing w:after="100" w:before="200"/>
      </w:pPr>
      <w:r>
        <w:rPr>
          <w:rFonts w:ascii="Arial" w:cs="Arial" w:eastAsia="Arial" w:hAnsi="Arial"/>
          <w:b/>
          <w:bCs/>
          <w:color w:val="444444"/>
          <w:sz w:val="24"/>
          <w:szCs w:val="24"/>
        </w:rPr>
        <w:t xml:space="preserve">Tea Tree Oil &amp; 1,8-Cineole</w:t>
      </w:r>
    </w:p>
    <w:p>
      <w:pPr>
        <w:spacing w:after="120" w:line="300"/>
      </w:pPr>
      <w:r>
        <w:rPr>
          <w:rFonts w:ascii="Arial" w:cs="Arial" w:eastAsia="Arial" w:hAnsi="Arial"/>
          <w:sz w:val="22"/>
          <w:szCs w:val="22"/>
        </w:rPr>
        <w:t xml:space="preserve">While 1,8-cineole at the concentrations found in most herbal oils is </w:t>
      </w:r>
      <w:r>
        <w:rPr>
          <w:rFonts w:ascii="Arial" w:cs="Arial" w:eastAsia="Arial" w:hAnsi="Arial"/>
          <w:b/>
          <w:bCs/>
          <w:sz w:val="22"/>
          <w:szCs w:val="22"/>
        </w:rPr>
        <w:t xml:space="preserve">generally non-irritating</w:t>
      </w:r>
      <w:r>
        <w:rPr>
          <w:rFonts w:ascii="Arial" w:cs="Arial" w:eastAsia="Arial" w:hAnsi="Arial"/>
          <w:sz w:val="22"/>
          <w:szCs w:val="22"/>
        </w:rPr>
        <w:t xml:space="preserve">, </w:t>
      </w:r>
      <w:r>
        <w:rPr>
          <w:rFonts w:ascii="Arial" w:cs="Arial" w:eastAsia="Arial" w:hAnsi="Arial"/>
          <w:b/>
          <w:bCs/>
          <w:sz w:val="22"/>
          <w:szCs w:val="22"/>
        </w:rPr>
        <w:t xml:space="preserve">pure concentrated 1,8-cineole</w:t>
      </w:r>
      <w:r>
        <w:rPr>
          <w:rFonts w:ascii="Arial" w:cs="Arial" w:eastAsia="Arial" w:hAnsi="Arial"/>
          <w:sz w:val="22"/>
          <w:szCs w:val="22"/>
        </w:rPr>
        <w:t xml:space="preserve"> can cause: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Skin irritation</w:t>
      </w:r>
      <w:r>
        <w:rPr>
          <w:rFonts w:ascii="Arial" w:cs="Arial" w:eastAsia="Arial" w:hAnsi="Arial"/>
          <w:sz w:val="22"/>
          <w:szCs w:val="22"/>
        </w:rPr>
        <w:t xml:space="preserve"> (erythema, burning sensation)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Mucosal irritation</w:t>
      </w:r>
      <w:r>
        <w:rPr>
          <w:rFonts w:ascii="Arial" w:cs="Arial" w:eastAsia="Arial" w:hAnsi="Arial"/>
          <w:sz w:val="22"/>
          <w:szCs w:val="22"/>
        </w:rPr>
        <w:t xml:space="preserve"> (mouth, throat, nasal passages)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Allergic contact dermatitis</w:t>
      </w:r>
      <w:r>
        <w:rPr>
          <w:rFonts w:ascii="Arial" w:cs="Arial" w:eastAsia="Arial" w:hAnsi="Arial"/>
          <w:sz w:val="22"/>
          <w:szCs w:val="22"/>
        </w:rPr>
        <w:t xml:space="preserve"> (rare; in sensitized individuals)</w:t>
      </w:r>
    </w:p>
    <w:p>
      <w:pPr>
        <w:spacing w:after="100" w:before="200"/>
      </w:pPr>
      <w:r>
        <w:rPr>
          <w:rFonts w:ascii="Arial" w:cs="Arial" w:eastAsia="Arial" w:hAnsi="Arial"/>
          <w:b/>
          <w:bCs/>
          <w:color w:val="444444"/>
          <w:sz w:val="24"/>
          <w:szCs w:val="24"/>
        </w:rPr>
        <w:t xml:space="preserve">Typical Safe Exposure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Diluted essential oils</w:t>
      </w:r>
      <w:r>
        <w:rPr>
          <w:rFonts w:ascii="Arial" w:cs="Arial" w:eastAsia="Arial" w:hAnsi="Arial"/>
          <w:sz w:val="22"/>
          <w:szCs w:val="22"/>
        </w:rPr>
        <w:t xml:space="preserve"> (1–3% in carrier oil): Safe for skin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Aroma inhalation</w:t>
      </w:r>
      <w:r>
        <w:rPr>
          <w:rFonts w:ascii="Arial" w:cs="Arial" w:eastAsia="Arial" w:hAnsi="Arial"/>
          <w:sz w:val="22"/>
          <w:szCs w:val="22"/>
        </w:rPr>
        <w:t xml:space="preserve"> (via diffuser or tissue): Safe at typical concentrations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Pure 1,8-cineole liquid on skin</w:t>
      </w:r>
      <w:r>
        <w:rPr>
          <w:rFonts w:ascii="Arial" w:cs="Arial" w:eastAsia="Arial" w:hAnsi="Arial"/>
          <w:sz w:val="22"/>
          <w:szCs w:val="22"/>
        </w:rPr>
        <w:t xml:space="preserve">: Risk of irritation — avoid direct contact</w:t>
      </w:r>
    </w:p>
    <w:p>
      <w:pPr>
        <w:spacing w:after="100" w:before="200"/>
      </w:pPr>
      <w:r>
        <w:rPr>
          <w:rFonts w:ascii="Arial" w:cs="Arial" w:eastAsia="Arial" w:hAnsi="Arial"/>
          <w:b/>
          <w:bCs/>
          <w:color w:val="444444"/>
          <w:sz w:val="24"/>
          <w:szCs w:val="24"/>
        </w:rPr>
        <w:t xml:space="preserve">Pre-Loading Safety</w:t>
      </w:r>
    </w:p>
    <w:p>
      <w:pPr>
        <w:spacing w:after="120" w:line="300"/>
      </w:pPr>
      <w:r>
        <w:rPr>
          <w:rFonts w:ascii="Arial" w:cs="Arial" w:eastAsia="Arial" w:hAnsi="Arial"/>
          <w:sz w:val="22"/>
          <w:szCs w:val="22"/>
        </w:rPr>
        <w:t xml:space="preserve">For inhalational pre-loading:</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Use essential oils, not pure 1,8-cineole</w:t>
      </w:r>
      <w:r>
        <w:rPr>
          <w:rFonts w:ascii="Arial" w:cs="Arial" w:eastAsia="Arial" w:hAnsi="Arial"/>
          <w:sz w:val="22"/>
          <w:szCs w:val="22"/>
        </w:rPr>
        <w:t xml:space="preserve"> (always diluted in botanicals)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Avoid inhaling directly over neat oil</w:t>
      </w:r>
      <w:r>
        <w:rPr>
          <w:rFonts w:ascii="Arial" w:cs="Arial" w:eastAsia="Arial" w:hAnsi="Arial"/>
          <w:sz w:val="22"/>
          <w:szCs w:val="22"/>
        </w:rPr>
        <w:t xml:space="preserve"> — this can irritate airways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Use diffuser or tissue-based method</w:t>
      </w:r>
      <w:r>
        <w:rPr>
          <w:rFonts w:ascii="Arial" w:cs="Arial" w:eastAsia="Arial" w:hAnsi="Arial"/>
          <w:sz w:val="22"/>
          <w:szCs w:val="22"/>
        </w:rPr>
        <w:t xml:space="preserve"> for safer, moderated exposure</w:t>
      </w:r>
    </w:p>
    <w:p>
      <w:pPr>
        <w:pStyle w:val="Heading2"/>
        <w:spacing w:after="120" w:before="240"/>
      </w:pPr>
      <w:r>
        <w:rPr>
          <w:rFonts w:ascii="Arial" w:cs="Arial" w:eastAsia="Arial" w:hAnsi="Arial"/>
          <w:b/>
          <w:bCs/>
          <w:color w:val="333333"/>
          <w:sz w:val="26"/>
          <w:szCs w:val="26"/>
        </w:rPr>
        <w:t xml:space="preserve">14.5 Contraindications &amp; Cautions</w:t>
      </w:r>
    </w:p>
    <w:p>
      <w:pPr>
        <w:spacing w:after="100" w:before="200"/>
      </w:pPr>
      <w:r>
        <w:rPr>
          <w:rFonts w:ascii="Arial" w:cs="Arial" w:eastAsia="Arial" w:hAnsi="Arial"/>
          <w:b/>
          <w:bCs/>
          <w:color w:val="444444"/>
          <w:sz w:val="24"/>
          <w:szCs w:val="24"/>
        </w:rPr>
        <w:t xml:space="preserve">Absolute Contraindications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Pregnancy</w:t>
      </w:r>
      <w:r>
        <w:rPr>
          <w:rFonts w:ascii="Arial" w:cs="Arial" w:eastAsia="Arial" w:hAnsi="Arial"/>
          <w:sz w:val="22"/>
          <w:szCs w:val="22"/>
        </w:rPr>
        <w:t xml:space="preserve">: Limited safety data; erring on the side of caution recommended</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Epilepsy or seizure disorder</w:t>
      </w:r>
      <w:r>
        <w:rPr>
          <w:rFonts w:ascii="Arial" w:cs="Arial" w:eastAsia="Arial" w:hAnsi="Arial"/>
          <w:sz w:val="22"/>
          <w:szCs w:val="22"/>
        </w:rPr>
        <w:t xml:space="preserve">: High-dose oral risk; avoid</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Severe liver disease</w:t>
      </w:r>
      <w:r>
        <w:rPr>
          <w:rFonts w:ascii="Arial" w:cs="Arial" w:eastAsia="Arial" w:hAnsi="Arial"/>
          <w:sz w:val="22"/>
          <w:szCs w:val="22"/>
        </w:rPr>
        <w:t xml:space="preserve">: Metabolic impairment</w:t>
      </w:r>
    </w:p>
    <w:p>
      <w:pPr>
        <w:spacing w:after="100" w:before="200"/>
      </w:pPr>
      <w:r>
        <w:rPr>
          <w:rFonts w:ascii="Arial" w:cs="Arial" w:eastAsia="Arial" w:hAnsi="Arial"/>
          <w:b/>
          <w:bCs/>
          <w:color w:val="444444"/>
          <w:sz w:val="24"/>
          <w:szCs w:val="24"/>
        </w:rPr>
        <w:t xml:space="preserve">Relative Contraindications / Cautions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Asthma or reactive airway disease</w:t>
      </w:r>
      <w:r>
        <w:rPr>
          <w:rFonts w:ascii="Arial" w:cs="Arial" w:eastAsia="Arial" w:hAnsi="Arial"/>
          <w:sz w:val="22"/>
          <w:szCs w:val="22"/>
        </w:rPr>
        <w:t xml:space="preserve">: Inhalation could trigger bronchospasm in sensitive individuals (though 1,8-cineole is also used therapeutically for asthma — individual response varies)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Concurrent CYP3A4 medications</w:t>
      </w:r>
      <w:r>
        <w:rPr>
          <w:rFonts w:ascii="Arial" w:cs="Arial" w:eastAsia="Arial" w:hAnsi="Arial"/>
          <w:sz w:val="22"/>
          <w:szCs w:val="22"/>
        </w:rPr>
        <w:t xml:space="preserve">: Monitor for interactions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Age &lt;12 years</w:t>
      </w:r>
      <w:r>
        <w:rPr>
          <w:rFonts w:ascii="Arial" w:cs="Arial" w:eastAsia="Arial" w:hAnsi="Arial"/>
          <w:sz w:val="22"/>
          <w:szCs w:val="22"/>
        </w:rPr>
        <w:t xml:space="preserve">: Limited pediatric data; use cautiously</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High-thujone containing botanicals</w:t>
      </w:r>
      <w:r>
        <w:rPr>
          <w:rFonts w:ascii="Arial" w:cs="Arial" w:eastAsia="Arial" w:hAnsi="Arial"/>
          <w:sz w:val="22"/>
          <w:szCs w:val="22"/>
        </w:rPr>
        <w:t xml:space="preserve"> (some sage chemotypes): Ensure low thujone content (neurotoxic)</w:t>
      </w:r>
    </w:p>
    <w:p>
      <w:pPr>
        <w:spacing w:after="100" w:before="200"/>
      </w:pPr>
      <w:r>
        <w:rPr>
          <w:rFonts w:ascii="Arial" w:cs="Arial" w:eastAsia="Arial" w:hAnsi="Arial"/>
          <w:b/>
          <w:bCs/>
          <w:color w:val="444444"/>
          <w:sz w:val="24"/>
          <w:szCs w:val="24"/>
        </w:rPr>
        <w:t xml:space="preserve">Safe Use Recommendations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Population</w:t>
            </w:r>
          </w:p>
        </w:tc>
        <w:tc>
          <w:tcPr>
            <w:tcW w:type="dxa" w:w="468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Recommendation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Healthy adults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Inhalational pre-loading safe at 15–30 min</w:t>
            </w:r>
          </w:p>
        </w:tc>
      </w:tr>
      <w:tr>
        <w:tc>
          <w:tcPr>
            <w:tcW w:type="dxa" w:w="468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Pregnant/nursing</w:t>
            </w:r>
          </w:p>
        </w:tc>
        <w:tc>
          <w:tcPr>
            <w:tcW w:type="dxa" w:w="468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Avoid or consult herbalist/physician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Epileptic</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Avoid</w:t>
            </w:r>
          </w:p>
        </w:tc>
      </w:tr>
      <w:tr>
        <w:tc>
          <w:tcPr>
            <w:tcW w:type="dxa" w:w="468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Liver disease</w:t>
            </w:r>
          </w:p>
        </w:tc>
        <w:tc>
          <w:tcPr>
            <w:tcW w:type="dxa" w:w="468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Use cautiously; consult physician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On medications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Screen for CYP3A4 interactions</w:t>
            </w:r>
          </w:p>
        </w:tc>
      </w:tr>
      <w:tr>
        <w:tc>
          <w:tcPr>
            <w:tcW w:type="dxa" w:w="468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Asthma/reactive airways</w:t>
            </w:r>
          </w:p>
        </w:tc>
        <w:tc>
          <w:tcPr>
            <w:tcW w:type="dxa" w:w="468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Start with short duration (5 min); monitor response</w:t>
            </w:r>
          </w:p>
        </w:tc>
      </w:tr>
    </w:tbl>
    <w:p>
      <w:pPr>
        <w:spacing w:after="120"/>
      </w:pP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838F"/>
          <w:sz w:val="30"/>
          <w:szCs w:val="30"/>
        </w:rPr>
        <w:t xml:space="preserve">15. Pre-Loading Implications</w:t>
      </w:r>
    </w:p>
    <w:p>
      <w:pPr>
        <w:pStyle w:val="Heading2"/>
        <w:spacing w:after="120" w:before="240"/>
      </w:pPr>
      <w:r>
        <w:rPr>
          <w:rFonts w:ascii="Arial" w:cs="Arial" w:eastAsia="Arial" w:hAnsi="Arial"/>
          <w:b/>
          <w:bCs/>
          <w:color w:val="333333"/>
          <w:sz w:val="26"/>
          <w:szCs w:val="26"/>
        </w:rPr>
        <w:t xml:space="preserve">15.1 Rationale: Why 1,8-Cineole is the Pre-Loading Gold Standard</w:t>
      </w:r>
    </w:p>
    <w:p>
      <w:pPr>
        <w:spacing w:after="120" w:line="300"/>
      </w:pPr>
      <w:r>
        <w:rPr>
          <w:rFonts w:ascii="Arial" w:cs="Arial" w:eastAsia="Arial" w:hAnsi="Arial"/>
          <w:sz w:val="22"/>
          <w:szCs w:val="22"/>
        </w:rPr>
        <w:t xml:space="preserve">1,8-cineole emerges as </w:t>
      </w:r>
      <w:r>
        <w:rPr>
          <w:rFonts w:ascii="Arial" w:cs="Arial" w:eastAsia="Arial" w:hAnsi="Arial"/>
          <w:b/>
          <w:bCs/>
          <w:sz w:val="22"/>
          <w:szCs w:val="22"/>
        </w:rPr>
        <w:t xml:space="preserve">THE STRONGEST candidate</w:t>
      </w:r>
      <w:r>
        <w:rPr>
          <w:rFonts w:ascii="Arial" w:cs="Arial" w:eastAsia="Arial" w:hAnsi="Arial"/>
          <w:sz w:val="22"/>
          <w:szCs w:val="22"/>
        </w:rPr>
        <w:t xml:space="preserve"> for cannabis pre-loading based on convergent evidence:</w:t>
      </w:r>
    </w:p>
    <w:p>
      <w:pPr>
        <w:spacing w:after="100" w:before="200"/>
      </w:pPr>
      <w:r>
        <w:rPr>
          <w:rFonts w:ascii="Arial" w:cs="Arial" w:eastAsia="Arial" w:hAnsi="Arial"/>
          <w:b/>
          <w:bCs/>
          <w:color w:val="444444"/>
          <w:sz w:val="24"/>
          <w:szCs w:val="24"/>
        </w:rPr>
        <w:t xml:space="preserve">1. Proven CNS Penetration (Moss &amp; Oliver 2012)</w:t>
      </w:r>
    </w:p>
    <w:p>
      <w:pPr>
        <w:spacing w:after="120" w:line="300"/>
      </w:pPr>
      <w:r>
        <w:rPr>
          <w:rFonts w:ascii="Arial" w:cs="Arial" w:eastAsia="Arial" w:hAnsi="Arial"/>
          <w:b/>
          <w:bCs/>
          <w:sz w:val="22"/>
          <w:szCs w:val="22"/>
        </w:rPr>
        <w:t xml:space="preserve">Breakthrough Evidence</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Inhalation of rosemary essential oil (40–55% 1,8-cineole) </w:t>
      </w:r>
      <w:r>
        <w:rPr>
          <w:rFonts w:ascii="Arial" w:cs="Arial" w:eastAsia="Arial" w:hAnsi="Arial"/>
          <w:b/>
          <w:bCs/>
          <w:sz w:val="22"/>
          <w:szCs w:val="22"/>
        </w:rPr>
        <w:t xml:space="preserve">directly correlated plasma 1,8-cineole levels with improved cognitive task performance</w:t>
      </w:r>
      <w:r>
        <w:rPr>
          <w:rFonts w:ascii="Arial" w:cs="Arial" w:eastAsia="Arial" w:hAnsi="Arial"/>
          <w:sz w:val="22"/>
          <w:szCs w:val="22"/>
        </w:rPr>
        <w:t xml:space="preserve"> in humans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This </w:t>
      </w:r>
      <w:r>
        <w:rPr>
          <w:rFonts w:ascii="Arial" w:cs="Arial" w:eastAsia="Arial" w:hAnsi="Arial"/>
          <w:b/>
          <w:bCs/>
          <w:sz w:val="22"/>
          <w:szCs w:val="22"/>
        </w:rPr>
        <w:t xml:space="preserve">directly proves BBB crossing</w:t>
      </w:r>
      <w:r>
        <w:rPr>
          <w:rFonts w:ascii="Arial" w:cs="Arial" w:eastAsia="Arial" w:hAnsi="Arial"/>
          <w:sz w:val="22"/>
          <w:szCs w:val="22"/>
        </w:rPr>
        <w:t xml:space="preserve"> — cognition requires brain tissue exposure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No other single terpene has this level of human pharmacological validation</w:t>
      </w:r>
    </w:p>
    <w:p>
      <w:pPr>
        <w:spacing w:after="100" w:before="200"/>
      </w:pPr>
      <w:r>
        <w:rPr>
          <w:rFonts w:ascii="Arial" w:cs="Arial" w:eastAsia="Arial" w:hAnsi="Arial"/>
          <w:b/>
          <w:bCs/>
          <w:color w:val="444444"/>
          <w:sz w:val="24"/>
          <w:szCs w:val="24"/>
        </w:rPr>
        <w:t xml:space="preserve">2. Rapid Plasma Peak (14–19 Minutes)</w:t>
      </w:r>
    </w:p>
    <w:p>
      <w:pPr>
        <w:spacing w:after="120" w:line="300"/>
      </w:pPr>
      <w:r>
        <w:rPr>
          <w:rFonts w:ascii="Arial" w:cs="Arial" w:eastAsia="Arial" w:hAnsi="Arial"/>
          <w:b/>
          <w:bCs/>
          <w:sz w:val="22"/>
          <w:szCs w:val="22"/>
        </w:rPr>
        <w:t xml:space="preserve">Kinetic Advantage</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Peak plasma concentrations achieved in </w:t>
      </w:r>
      <w:r>
        <w:rPr>
          <w:rFonts w:ascii="Arial" w:cs="Arial" w:eastAsia="Arial" w:hAnsi="Arial"/>
          <w:b/>
          <w:bCs/>
          <w:sz w:val="22"/>
          <w:szCs w:val="22"/>
        </w:rPr>
        <w:t xml:space="preserve">14–19 minutes</w:t>
      </w:r>
      <w:r>
        <w:rPr>
          <w:rFonts w:ascii="Arial" w:cs="Arial" w:eastAsia="Arial" w:hAnsi="Arial"/>
          <w:sz w:val="22"/>
          <w:szCs w:val="22"/>
        </w:rPr>
        <w:t xml:space="preserve"> (average ~18 min)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This aligns </w:t>
      </w:r>
      <w:r>
        <w:rPr>
          <w:rFonts w:ascii="Arial" w:cs="Arial" w:eastAsia="Arial" w:hAnsi="Arial"/>
          <w:b/>
          <w:bCs/>
          <w:sz w:val="22"/>
          <w:szCs w:val="22"/>
        </w:rPr>
        <w:t xml:space="preserve">perfectly with the 15–30 minute pre-loading window</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Compound reaches peak CNS availability just as cannabis is consumed, priming receptors</w:t>
      </w:r>
    </w:p>
    <w:p>
      <w:pPr>
        <w:spacing w:after="100" w:before="200"/>
      </w:pPr>
      <w:r>
        <w:rPr>
          <w:rFonts w:ascii="Arial" w:cs="Arial" w:eastAsia="Arial" w:hAnsi="Arial"/>
          <w:b/>
          <w:bCs/>
          <w:color w:val="444444"/>
          <w:sz w:val="24"/>
          <w:szCs w:val="24"/>
        </w:rPr>
        <w:t xml:space="preserve">3. Sustained CNS Residence (104.6 min elimination half-life)</w:t>
      </w:r>
    </w:p>
    <w:p>
      <w:pPr>
        <w:spacing w:after="120" w:line="300"/>
      </w:pPr>
      <w:r>
        <w:rPr>
          <w:rFonts w:ascii="Arial" w:cs="Arial" w:eastAsia="Arial" w:hAnsi="Arial"/>
          <w:b/>
          <w:bCs/>
          <w:sz w:val="22"/>
          <w:szCs w:val="22"/>
        </w:rPr>
        <w:t xml:space="preserve">Extended Effect Duration</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Distribution half-life: 6.7 minutes (rapid CNS entry)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Elimination half-life: 104.6 minutes (sustained action)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Remains bioavailable in brain tissue for </w:t>
      </w:r>
      <w:r>
        <w:rPr>
          <w:rFonts w:ascii="Arial" w:cs="Arial" w:eastAsia="Arial" w:hAnsi="Arial"/>
          <w:b/>
          <w:bCs/>
          <w:sz w:val="22"/>
          <w:szCs w:val="22"/>
        </w:rPr>
        <w:t xml:space="preserve">entire duration of cannabis high</w:t>
      </w:r>
      <w:r>
        <w:rPr>
          <w:rFonts w:ascii="Arial" w:cs="Arial" w:eastAsia="Arial" w:hAnsi="Arial"/>
          <w:sz w:val="22"/>
          <w:szCs w:val="22"/>
        </w:rPr>
        <w:t xml:space="preserve"> (typically 2–4 hours in typical use)</w:t>
      </w:r>
    </w:p>
    <w:p>
      <w:pPr>
        <w:spacing w:after="100" w:before="200"/>
      </w:pPr>
      <w:r>
        <w:rPr>
          <w:rFonts w:ascii="Arial" w:cs="Arial" w:eastAsia="Arial" w:hAnsi="Arial"/>
          <w:b/>
          <w:bCs/>
          <w:color w:val="444444"/>
          <w:sz w:val="24"/>
          <w:szCs w:val="24"/>
        </w:rPr>
        <w:t xml:space="preserve">4. Bronchodilation &amp; Enhanced THC Bioavailability</w:t>
      </w:r>
    </w:p>
    <w:p>
      <w:pPr>
        <w:spacing w:after="120" w:line="300"/>
      </w:pPr>
      <w:r>
        <w:rPr>
          <w:rFonts w:ascii="Arial" w:cs="Arial" w:eastAsia="Arial" w:hAnsi="Arial"/>
          <w:b/>
          <w:bCs/>
          <w:sz w:val="22"/>
          <w:szCs w:val="22"/>
        </w:rPr>
        <w:t xml:space="preserve">Mechanism</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w:t>
      </w:r>
      <w:r>
        <w:rPr>
          <w:rFonts w:ascii="Arial" w:cs="Arial" w:eastAsia="Arial" w:hAnsi="Arial"/>
          <w:b/>
          <w:bCs/>
          <w:sz w:val="22"/>
          <w:szCs w:val="22"/>
        </w:rPr>
        <w:t xml:space="preserve">relaxes airway smooth muscle</w:t>
      </w:r>
      <w:r>
        <w:rPr>
          <w:rFonts w:ascii="Arial" w:cs="Arial" w:eastAsia="Arial" w:hAnsi="Arial"/>
          <w:sz w:val="22"/>
          <w:szCs w:val="22"/>
        </w:rPr>
        <w:t xml:space="preserve"> directly</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Increases ciliary beat frequency</w:t>
      </w:r>
      <w:r>
        <w:rPr>
          <w:rFonts w:ascii="Arial" w:cs="Arial" w:eastAsia="Arial" w:hAnsi="Arial"/>
          <w:sz w:val="22"/>
          <w:szCs w:val="22"/>
        </w:rPr>
        <w:t xml:space="preserve"> and mucociliary clearance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Reduces baseline mucus production</w:t>
      </w:r>
      <w:r>
        <w:rPr>
          <w:rFonts w:ascii="Arial" w:cs="Arial" w:eastAsia="Arial" w:hAnsi="Arial"/>
          <w:sz w:val="22"/>
          <w:szCs w:val="22"/>
        </w:rPr>
        <w:t xml:space="preserve"> (NF-κB suppression of MUC2/MUC19)</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Net effect</w:t>
      </w:r>
      <w:r>
        <w:rPr>
          <w:rFonts w:ascii="Arial" w:cs="Arial" w:eastAsia="Arial" w:hAnsi="Arial"/>
          <w:sz w:val="22"/>
          <w:szCs w:val="22"/>
        </w:rPr>
        <w:t xml:space="preserve">: Less mucus obstruction, deeper vapor/smoke penetration, enhanced THC absorption</w:t>
      </w:r>
    </w:p>
    <w:p>
      <w:pPr>
        <w:spacing w:after="120" w:line="300"/>
      </w:pPr>
      <w:r>
        <w:rPr>
          <w:rFonts w:ascii="Arial" w:cs="Arial" w:eastAsia="Arial" w:hAnsi="Arial"/>
          <w:b/>
          <w:bCs/>
          <w:sz w:val="22"/>
          <w:szCs w:val="22"/>
        </w:rPr>
        <w:t xml:space="preserve">Pre-Loading Synergy</w:t>
      </w:r>
      <w:r>
        <w:rPr>
          <w:rFonts w:ascii="Arial" w:cs="Arial" w:eastAsia="Arial" w:hAnsi="Arial"/>
          <w:sz w:val="22"/>
          <w:szCs w:val="22"/>
        </w:rPr>
        <w:t xml:space="preserve">: Cannabis consumed in a </w:t>
      </w:r>
      <w:r>
        <w:rPr>
          <w:rFonts w:ascii="Arial" w:cs="Arial" w:eastAsia="Arial" w:hAnsi="Arial"/>
          <w:b/>
          <w:bCs/>
          <w:sz w:val="22"/>
          <w:szCs w:val="22"/>
        </w:rPr>
        <w:t xml:space="preserve">pre-opened, mucosal-cleared respiratory tract</w:t>
      </w:r>
      <w:r>
        <w:rPr>
          <w:rFonts w:ascii="Arial" w:cs="Arial" w:eastAsia="Arial" w:hAnsi="Arial"/>
          <w:sz w:val="22"/>
          <w:szCs w:val="22"/>
        </w:rPr>
        <w:t xml:space="preserve"> enjoys higher bioavailability</w:t>
      </w:r>
    </w:p>
    <w:p>
      <w:pPr>
        <w:spacing w:after="100" w:before="200"/>
      </w:pPr>
      <w:r>
        <w:rPr>
          <w:rFonts w:ascii="Arial" w:cs="Arial" w:eastAsia="Arial" w:hAnsi="Arial"/>
          <w:b/>
          <w:bCs/>
          <w:color w:val="444444"/>
          <w:sz w:val="24"/>
          <w:szCs w:val="24"/>
        </w:rPr>
        <w:t xml:space="preserve">5. NF-κB Suppression (Anti-inflammatory Priming)</w:t>
      </w:r>
    </w:p>
    <w:p>
      <w:pPr>
        <w:spacing w:after="120" w:line="300"/>
      </w:pPr>
      <w:r>
        <w:rPr>
          <w:rFonts w:ascii="Arial" w:cs="Arial" w:eastAsia="Arial" w:hAnsi="Arial"/>
          <w:b/>
          <w:bCs/>
          <w:sz w:val="22"/>
          <w:szCs w:val="22"/>
        </w:rPr>
        <w:t xml:space="preserve">Receptor Priming Mechanism</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w:t>
      </w:r>
      <w:r>
        <w:rPr>
          <w:rFonts w:ascii="Arial" w:cs="Arial" w:eastAsia="Arial" w:hAnsi="Arial"/>
          <w:b/>
          <w:bCs/>
          <w:sz w:val="22"/>
          <w:szCs w:val="22"/>
        </w:rPr>
        <w:t xml:space="preserve">suppresses NF-κB p65 translocation</w:t>
      </w:r>
      <w:r>
        <w:rPr>
          <w:rFonts w:ascii="Arial" w:cs="Arial" w:eastAsia="Arial" w:hAnsi="Arial"/>
          <w:sz w:val="22"/>
          <w:szCs w:val="22"/>
        </w:rPr>
        <w:t xml:space="preserve"> and maintains IκBα sequestration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This </w:t>
      </w:r>
      <w:r>
        <w:rPr>
          <w:rFonts w:ascii="Arial" w:cs="Arial" w:eastAsia="Arial" w:hAnsi="Arial"/>
          <w:b/>
          <w:bCs/>
          <w:sz w:val="22"/>
          <w:szCs w:val="22"/>
        </w:rPr>
        <w:t xml:space="preserve">pre-dampens inflammatory signaling</w:t>
      </w:r>
      <w:r>
        <w:rPr>
          <w:rFonts w:ascii="Arial" w:cs="Arial" w:eastAsia="Arial" w:hAnsi="Arial"/>
          <w:sz w:val="22"/>
          <w:szCs w:val="22"/>
        </w:rPr>
        <w:t xml:space="preserve"> in the CNS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Cannabis typically </w:t>
      </w:r>
      <w:r>
        <w:rPr>
          <w:rFonts w:ascii="Arial" w:cs="Arial" w:eastAsia="Arial" w:hAnsi="Arial"/>
          <w:b/>
          <w:bCs/>
          <w:sz w:val="22"/>
          <w:szCs w:val="22"/>
        </w:rPr>
        <w:t xml:space="preserve">promotes pro-inflammatory signaling</w:t>
      </w:r>
      <w:r>
        <w:rPr>
          <w:rFonts w:ascii="Arial" w:cs="Arial" w:eastAsia="Arial" w:hAnsi="Arial"/>
          <w:sz w:val="22"/>
          <w:szCs w:val="22"/>
        </w:rPr>
        <w:t xml:space="preserve"> (TNFα, IL-1β increase in some contexts)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Pre-loading with 1,8-cineole may buffer this effect</w:t>
      </w:r>
      <w:r>
        <w:rPr>
          <w:rFonts w:ascii="Arial" w:cs="Arial" w:eastAsia="Arial" w:hAnsi="Arial"/>
          <w:sz w:val="22"/>
          <w:szCs w:val="22"/>
        </w:rPr>
        <w:t xml:space="preserve">, reducing anxiety or discomfort in sensitive individuals</w:t>
      </w:r>
    </w:p>
    <w:p>
      <w:pPr>
        <w:spacing w:after="100" w:before="200"/>
      </w:pPr>
      <w:r>
        <w:rPr>
          <w:rFonts w:ascii="Arial" w:cs="Arial" w:eastAsia="Arial" w:hAnsi="Arial"/>
          <w:b/>
          <w:bCs/>
          <w:color w:val="444444"/>
          <w:sz w:val="24"/>
          <w:szCs w:val="24"/>
        </w:rPr>
        <w:t xml:space="preserve">6. AChE Inhibition (Memory Protection)</w:t>
      </w:r>
    </w:p>
    <w:p>
      <w:pPr>
        <w:spacing w:after="120" w:line="300"/>
      </w:pPr>
      <w:r>
        <w:rPr>
          <w:rFonts w:ascii="Arial" w:cs="Arial" w:eastAsia="Arial" w:hAnsi="Arial"/>
          <w:b/>
          <w:bCs/>
          <w:sz w:val="22"/>
          <w:szCs w:val="22"/>
        </w:rPr>
        <w:t xml:space="preserve">Synergy with Cannabis Use</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likely inhibits acetylcholinesterase, </w:t>
      </w:r>
      <w:r>
        <w:rPr>
          <w:rFonts w:ascii="Arial" w:cs="Arial" w:eastAsia="Arial" w:hAnsi="Arial"/>
          <w:b/>
          <w:bCs/>
          <w:sz w:val="22"/>
          <w:szCs w:val="22"/>
        </w:rPr>
        <w:t xml:space="preserve">increasing synaptic acetylcholine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Acetylcholine is critical for memory consolidation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Cannabis (especially THC in high doses) can impair short-term memory via CB1R suppression of cholinergic signaling</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Pre-loading with 1,8-cineole may mitigate this impairment</w:t>
      </w:r>
      <w:r>
        <w:rPr>
          <w:rFonts w:ascii="Arial" w:cs="Arial" w:eastAsia="Arial" w:hAnsi="Arial"/>
          <w:sz w:val="22"/>
          <w:szCs w:val="22"/>
        </w:rPr>
        <w:t xml:space="preserve"> by boosting baseline acetylcholine</w:t>
      </w:r>
    </w:p>
    <w:p>
      <w:pPr>
        <w:spacing w:after="100" w:before="200"/>
      </w:pPr>
      <w:r>
        <w:rPr>
          <w:rFonts w:ascii="Arial" w:cs="Arial" w:eastAsia="Arial" w:hAnsi="Arial"/>
          <w:b/>
          <w:bCs/>
          <w:color w:val="444444"/>
          <w:sz w:val="24"/>
          <w:szCs w:val="24"/>
        </w:rPr>
        <w:t xml:space="preserve">7. Synergy with α-Pinene (Rosemary Pre-Loading)</w:t>
      </w:r>
    </w:p>
    <w:p>
      <w:pPr>
        <w:spacing w:after="120" w:line="300"/>
      </w:pPr>
      <w:r>
        <w:rPr>
          <w:rFonts w:ascii="Arial" w:cs="Arial" w:eastAsia="Arial" w:hAnsi="Arial"/>
          <w:b/>
          <w:bCs/>
          <w:sz w:val="22"/>
          <w:szCs w:val="22"/>
        </w:rPr>
        <w:t xml:space="preserve">Dual-Terpene Effect</w:t>
      </w:r>
      <w:r>
        <w:rPr>
          <w:rFonts w:ascii="Arial" w:cs="Arial" w:eastAsia="Arial" w:hAnsi="Arial"/>
          <w:sz w:val="22"/>
          <w:szCs w:val="22"/>
        </w:rPr>
        <w:t xml:space="preserve"> (if using rosemary ct. cineole):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Rosemary contains </w:t>
      </w:r>
      <w:r>
        <w:rPr>
          <w:rFonts w:ascii="Arial" w:cs="Arial" w:eastAsia="Arial" w:hAnsi="Arial"/>
          <w:b/>
          <w:bCs/>
          <w:sz w:val="22"/>
          <w:szCs w:val="22"/>
        </w:rPr>
        <w:t xml:space="preserve">40–55% 1,8-cineole + 15–25% α-pinene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Cognitive enhancement, NF-κB suppression, bronchodilation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α-pinene: Independent memory enhancement (via Nrf2), THC-impairment mitigation, anti-inflammatory</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Combined effect &gt; sum of individual effects</w:t>
      </w:r>
      <w:r>
        <w:rPr>
          <w:rFonts w:ascii="Arial" w:cs="Arial" w:eastAsia="Arial" w:hAnsi="Arial"/>
          <w:sz w:val="22"/>
          <w:szCs w:val="22"/>
        </w:rPr>
        <w:t xml:space="preserve"> (potential synergy)</w:t>
      </w:r>
    </w:p>
    <w:p>
      <w:pPr>
        <w:spacing w:after="100" w:before="200"/>
      </w:pPr>
      <w:r>
        <w:rPr>
          <w:rFonts w:ascii="Arial" w:cs="Arial" w:eastAsia="Arial" w:hAnsi="Arial"/>
          <w:b/>
          <w:bCs/>
          <w:color w:val="444444"/>
          <w:sz w:val="24"/>
          <w:szCs w:val="24"/>
        </w:rPr>
        <w:t xml:space="preserve">8. Antimicrobial Pre-Dosing</w:t>
      </w:r>
    </w:p>
    <w:p>
      <w:pPr>
        <w:spacing w:after="120" w:line="300"/>
      </w:pPr>
      <w:r>
        <w:rPr>
          <w:rFonts w:ascii="Arial" w:cs="Arial" w:eastAsia="Arial" w:hAnsi="Arial"/>
          <w:b/>
          <w:bCs/>
          <w:sz w:val="22"/>
          <w:szCs w:val="22"/>
        </w:rPr>
        <w:t xml:space="preserve">Respiratory Health</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Pre-loading inhalation of 1,8-cineole coats respiratory mucosa with antimicrobial monoterpene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Broad-spectrum activity</w:t>
      </w:r>
      <w:r>
        <w:rPr>
          <w:rFonts w:ascii="Arial" w:cs="Arial" w:eastAsia="Arial" w:hAnsi="Arial"/>
          <w:sz w:val="22"/>
          <w:szCs w:val="22"/>
        </w:rPr>
        <w:t xml:space="preserve"> (gram-positive and gram-negative bacteria; fungi)</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May reduce risk of pathogenic colonization during cannabis inhalation (which involves exposure to oral flora)</w:t>
      </w:r>
    </w:p>
    <w:p>
      <w:pPr>
        <w:spacing w:after="100" w:before="200"/>
      </w:pPr>
      <w:r>
        <w:rPr>
          <w:rFonts w:ascii="Arial" w:cs="Arial" w:eastAsia="Arial" w:hAnsi="Arial"/>
          <w:b/>
          <w:bCs/>
          <w:color w:val="444444"/>
          <w:sz w:val="24"/>
          <w:szCs w:val="24"/>
        </w:rPr>
        <w:t xml:space="preserve">9. Historical &amp; Traditional Validation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40,000+ years</w:t>
      </w:r>
      <w:r>
        <w:rPr>
          <w:rFonts w:ascii="Arial" w:cs="Arial" w:eastAsia="Arial" w:hAnsi="Arial"/>
          <w:sz w:val="22"/>
          <w:szCs w:val="22"/>
        </w:rPr>
        <w:t xml:space="preserve"> of Aboriginal Australian eucalyptus use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5,000+ years</w:t>
      </w:r>
      <w:r>
        <w:rPr>
          <w:rFonts w:ascii="Arial" w:cs="Arial" w:eastAsia="Arial" w:hAnsi="Arial"/>
          <w:sz w:val="22"/>
          <w:szCs w:val="22"/>
        </w:rPr>
        <w:t xml:space="preserve"> of Ayurvedic cardamom (Ela) use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Centuries</w:t>
      </w:r>
      <w:r>
        <w:rPr>
          <w:rFonts w:ascii="Arial" w:cs="Arial" w:eastAsia="Arial" w:hAnsi="Arial"/>
          <w:sz w:val="22"/>
          <w:szCs w:val="22"/>
        </w:rPr>
        <w:t xml:space="preserve"> of European rosemary &amp; sage herbalism</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Modern clinical licensing</w:t>
      </w:r>
      <w:r>
        <w:rPr>
          <w:rFonts w:ascii="Arial" w:cs="Arial" w:eastAsia="Arial" w:hAnsi="Arial"/>
          <w:sz w:val="22"/>
          <w:szCs w:val="22"/>
        </w:rPr>
        <w:t xml:space="preserve"> (Soledum approved in Germany)</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Cross-cultural convergence</w:t>
      </w:r>
      <w:r>
        <w:rPr>
          <w:rFonts w:ascii="Arial" w:cs="Arial" w:eastAsia="Arial" w:hAnsi="Arial"/>
          <w:sz w:val="22"/>
          <w:szCs w:val="22"/>
        </w:rPr>
        <w:t xml:space="preserve"> on these botanicals suggests robust empirical foundation</w:t>
      </w:r>
    </w:p>
    <w:p>
      <w:pPr>
        <w:spacing w:after="100" w:before="200"/>
      </w:pPr>
      <w:r>
        <w:rPr>
          <w:rFonts w:ascii="Arial" w:cs="Arial" w:eastAsia="Arial" w:hAnsi="Arial"/>
          <w:b/>
          <w:bCs/>
          <w:color w:val="444444"/>
          <w:sz w:val="24"/>
          <w:szCs w:val="24"/>
        </w:rPr>
        <w:t xml:space="preserve">10. Safety Profile in Pre-Loading Context</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No oral dose in typical pre-loading</w:t>
      </w:r>
      <w:r>
        <w:rPr>
          <w:rFonts w:ascii="Arial" w:cs="Arial" w:eastAsia="Arial" w:hAnsi="Arial"/>
          <w:sz w:val="22"/>
          <w:szCs w:val="22"/>
        </w:rPr>
        <w:t xml:space="preserve"> (inhalational only)</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Peak plasma levels</w:t>
      </w:r>
      <w:r>
        <w:rPr>
          <w:rFonts w:ascii="Arial" w:cs="Arial" w:eastAsia="Arial" w:hAnsi="Arial"/>
          <w:sz w:val="22"/>
          <w:szCs w:val="22"/>
        </w:rPr>
        <w:t xml:space="preserve"> (459–1,135 ng/mL) </w:t>
      </w:r>
      <w:r>
        <w:rPr>
          <w:rFonts w:ascii="Arial" w:cs="Arial" w:eastAsia="Arial" w:hAnsi="Arial"/>
          <w:b/>
          <w:bCs/>
          <w:sz w:val="22"/>
          <w:szCs w:val="22"/>
        </w:rPr>
        <w:t xml:space="preserve">far below toxic thresholds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GRAS status</w:t>
      </w:r>
      <w:r>
        <w:rPr>
          <w:rFonts w:ascii="Arial" w:cs="Arial" w:eastAsia="Arial" w:hAnsi="Arial"/>
          <w:sz w:val="22"/>
          <w:szCs w:val="22"/>
        </w:rPr>
        <w:t xml:space="preserve"> (Generally Recognized as Safe) for fragrance/flavor in many jurisdictions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Licensed pharmaceutical products</w:t>
      </w:r>
      <w:r>
        <w:rPr>
          <w:rFonts w:ascii="Arial" w:cs="Arial" w:eastAsia="Arial" w:hAnsi="Arial"/>
          <w:sz w:val="22"/>
          <w:szCs w:val="22"/>
        </w:rPr>
        <w:t xml:space="preserve"> (Soledum) in strict regulatory environment</w:t>
      </w:r>
    </w:p>
    <w:p>
      <w:pPr>
        <w:pStyle w:val="Heading2"/>
        <w:spacing w:after="120" w:before="240"/>
      </w:pPr>
      <w:r>
        <w:rPr>
          <w:rFonts w:ascii="Arial" w:cs="Arial" w:eastAsia="Arial" w:hAnsi="Arial"/>
          <w:b/>
          <w:bCs/>
          <w:color w:val="333333"/>
          <w:sz w:val="26"/>
          <w:szCs w:val="26"/>
        </w:rPr>
        <w:t xml:space="preserve">15.2 Optimal Pre-Loading Protocol</w:t>
      </w:r>
    </w:p>
    <w:p>
      <w:pPr>
        <w:spacing w:after="100" w:before="200"/>
      </w:pPr>
      <w:r>
        <w:rPr>
          <w:rFonts w:ascii="Arial" w:cs="Arial" w:eastAsia="Arial" w:hAnsi="Arial"/>
          <w:b/>
          <w:bCs/>
          <w:color w:val="444444"/>
          <w:sz w:val="24"/>
          <w:szCs w:val="24"/>
        </w:rPr>
        <w:t xml:space="preserve">Timing</w:t>
      </w:r>
    </w:p>
    <w:p>
      <w:pPr>
        <w:spacing w:after="120" w:line="300"/>
      </w:pPr>
      <w:r>
        <w:rPr>
          <w:rFonts w:ascii="Arial" w:cs="Arial" w:eastAsia="Arial" w:hAnsi="Arial"/>
          <w:b/>
          <w:bCs/>
          <w:sz w:val="22"/>
          <w:szCs w:val="22"/>
        </w:rPr>
        <w:t xml:space="preserve">Window</w:t>
      </w:r>
      <w:r>
        <w:rPr>
          <w:rFonts w:ascii="Arial" w:cs="Arial" w:eastAsia="Arial" w:hAnsi="Arial"/>
          <w:sz w:val="22"/>
          <w:szCs w:val="22"/>
        </w:rPr>
        <w:t xml:space="preserve">: </w:t>
      </w:r>
      <w:r>
        <w:rPr>
          <w:rFonts w:ascii="Arial" w:cs="Arial" w:eastAsia="Arial" w:hAnsi="Arial"/>
          <w:b/>
          <w:bCs/>
          <w:sz w:val="22"/>
          <w:szCs w:val="22"/>
        </w:rPr>
        <w:t xml:space="preserve">15–30 minutes before cannabis consumption</w:t>
      </w:r>
    </w:p>
    <w:p>
      <w:pPr>
        <w:spacing w:after="120" w:line="300"/>
      </w:pPr>
      <w:r>
        <w:rPr>
          <w:rFonts w:ascii="Arial" w:cs="Arial" w:eastAsia="Arial" w:hAnsi="Arial"/>
          <w:b/>
          <w:bCs/>
          <w:sz w:val="22"/>
          <w:szCs w:val="22"/>
        </w:rPr>
        <w:t xml:space="preserve">Rationale</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peak plasma: 14–19 minutes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Peak CNS concentration: ~20–25 minutes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Bronchodilation onset: 5–10 minutes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Consume cannabis at minute 15–30 to maximize receptor priming</w:t>
      </w:r>
    </w:p>
    <w:p>
      <w:pPr>
        <w:spacing w:after="100" w:before="200"/>
      </w:pPr>
      <w:r>
        <w:rPr>
          <w:rFonts w:ascii="Arial" w:cs="Arial" w:eastAsia="Arial" w:hAnsi="Arial"/>
          <w:b/>
          <w:bCs/>
          <w:color w:val="444444"/>
          <w:sz w:val="24"/>
          <w:szCs w:val="24"/>
        </w:rPr>
        <w:t xml:space="preserve">Botanical Oil Selection (Ranked by Suitability)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Rank</w:t>
            </w:r>
          </w:p>
        </w:tc>
        <w:tc>
          <w:tcPr>
            <w:tcW w:type="dxa" w:w="156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Botanical</w:t>
            </w:r>
          </w:p>
        </w:tc>
        <w:tc>
          <w:tcPr>
            <w:tcW w:type="dxa" w:w="156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1,8-Cineole %</w:t>
            </w:r>
          </w:p>
        </w:tc>
        <w:tc>
          <w:tcPr>
            <w:tcW w:type="dxa" w:w="156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Pre-Loading Score</w:t>
            </w:r>
          </w:p>
        </w:tc>
        <w:tc>
          <w:tcPr>
            <w:tcW w:type="dxa" w:w="156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Advantages</w:t>
            </w:r>
          </w:p>
        </w:tc>
        <w:tc>
          <w:tcPr>
            <w:tcW w:type="dxa" w:w="156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Considerations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Rosemary ct. cineole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40–55%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α-pinene (dual cognitive), proven Moss &amp; Oliver data, familiar aroma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Select ct. cineole (not camphor); may be less "medicinal" than pure eucalyptus</w:t>
            </w:r>
          </w:p>
        </w:tc>
      </w:tr>
      <w:tr>
        <w:tc>
          <w:tcPr>
            <w:tcW w:type="dxa" w:w="156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156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Eucalyptus globulus</w:t>
            </w:r>
          </w:p>
        </w:tc>
        <w:tc>
          <w:tcPr>
            <w:tcW w:type="dxa" w:w="156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70–90%</w:t>
            </w:r>
          </w:p>
        </w:tc>
        <w:tc>
          <w:tcPr>
            <w:tcW w:type="dxa" w:w="156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Highest cineole %, archetypal source, proven efficacy</w:t>
            </w:r>
          </w:p>
        </w:tc>
        <w:tc>
          <w:tcPr>
            <w:tcW w:type="dxa" w:w="156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Strong medicinal aroma (not to everyone's taste); pure rather than blended</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Cardamom (green/black)</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40–73%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Culinary appeal, Ayurvedic precedent, warm spice notes, gourmet ritual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Less "respiratory focus" than eucalyptus; warming rather than cooling</w:t>
            </w:r>
          </w:p>
        </w:tc>
      </w:tr>
      <w:tr>
        <w:tc>
          <w:tcPr>
            <w:tcW w:type="dxa" w:w="156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56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Bay Laurel</w:t>
            </w:r>
          </w:p>
        </w:tc>
        <w:tc>
          <w:tcPr>
            <w:tcW w:type="dxa" w:w="156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30–50%</w:t>
            </w:r>
          </w:p>
        </w:tc>
        <w:tc>
          <w:tcPr>
            <w:tcW w:type="dxa" w:w="156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Mediterranean culinary familiarity, moderate cineole, herbaceous</w:t>
            </w:r>
          </w:p>
        </w:tc>
        <w:tc>
          <w:tcPr>
            <w:tcW w:type="dxa" w:w="156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Lower cineole % than top choices; less cognitive focus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Sage (high-cineole)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39–50%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European herbalism precedent, diverse chemotypes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Variable composition; must select low-thujone variety for safety</w:t>
            </w:r>
          </w:p>
        </w:tc>
      </w:tr>
      <w:tr>
        <w:tc>
          <w:tcPr>
            <w:tcW w:type="dxa" w:w="156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156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Mugwort</w:t>
            </w:r>
          </w:p>
        </w:tc>
        <w:tc>
          <w:tcPr>
            <w:tcW w:type="dxa" w:w="156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7–29%</w:t>
            </w:r>
          </w:p>
        </w:tc>
        <w:tc>
          <w:tcPr>
            <w:tcW w:type="dxa" w:w="156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Dream-enhancement lore, herbal tradition, antimicrobial</w:t>
            </w:r>
          </w:p>
        </w:tc>
        <w:tc>
          <w:tcPr>
            <w:tcW w:type="dxa" w:w="156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 geographic variation; moderate cineole; less suitable</w:t>
            </w:r>
          </w:p>
        </w:tc>
      </w:tr>
    </w:tbl>
    <w:p>
      <w:pPr>
        <w:spacing w:after="120"/>
      </w:pPr>
    </w:p>
    <w:p>
      <w:pPr>
        <w:spacing w:after="100" w:before="200"/>
      </w:pPr>
      <w:r>
        <w:rPr>
          <w:rFonts w:ascii="Arial" w:cs="Arial" w:eastAsia="Arial" w:hAnsi="Arial"/>
          <w:b/>
          <w:bCs/>
          <w:color w:val="444444"/>
          <w:sz w:val="24"/>
          <w:szCs w:val="24"/>
        </w:rPr>
        <w:t xml:space="preserve">Inhalation Method</w:t>
      </w:r>
    </w:p>
    <w:p>
      <w:pPr>
        <w:spacing w:after="120" w:line="300"/>
      </w:pPr>
      <w:r>
        <w:rPr>
          <w:rFonts w:ascii="Arial" w:cs="Arial" w:eastAsia="Arial" w:hAnsi="Arial"/>
          <w:b/>
          <w:bCs/>
          <w:sz w:val="22"/>
          <w:szCs w:val="22"/>
        </w:rPr>
        <w:t xml:space="preserve">Option A: Essential Oil Diffuser</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Use </w:t>
      </w:r>
      <w:r>
        <w:rPr>
          <w:rFonts w:ascii="Arial" w:cs="Arial" w:eastAsia="Arial" w:hAnsi="Arial"/>
          <w:b/>
          <w:bCs/>
          <w:sz w:val="22"/>
          <w:szCs w:val="22"/>
        </w:rPr>
        <w:t xml:space="preserve">ultrasonic or nebulizing diffuser</w:t>
      </w:r>
      <w:r>
        <w:rPr>
          <w:rFonts w:ascii="Arial" w:cs="Arial" w:eastAsia="Arial" w:hAnsi="Arial"/>
          <w:sz w:val="22"/>
          <w:szCs w:val="22"/>
        </w:rPr>
        <w:t xml:space="preserve"> (not heat-based, which can damage terpenes)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Add </w:t>
      </w:r>
      <w:r>
        <w:rPr>
          <w:rFonts w:ascii="Arial" w:cs="Arial" w:eastAsia="Arial" w:hAnsi="Arial"/>
          <w:b/>
          <w:bCs/>
          <w:sz w:val="22"/>
          <w:szCs w:val="22"/>
        </w:rPr>
        <w:t xml:space="preserve">3–5 drops</w:t>
      </w:r>
      <w:r>
        <w:rPr>
          <w:rFonts w:ascii="Arial" w:cs="Arial" w:eastAsia="Arial" w:hAnsi="Arial"/>
          <w:sz w:val="22"/>
          <w:szCs w:val="22"/>
        </w:rPr>
        <w:t xml:space="preserve"> of selected essential oil</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Run diffuser for </w:t>
      </w:r>
      <w:r>
        <w:rPr>
          <w:rFonts w:ascii="Arial" w:cs="Arial" w:eastAsia="Arial" w:hAnsi="Arial"/>
          <w:b/>
          <w:bCs/>
          <w:sz w:val="22"/>
          <w:szCs w:val="22"/>
        </w:rPr>
        <w:t xml:space="preserve">15–20 minutes</w:t>
      </w:r>
      <w:r>
        <w:rPr>
          <w:rFonts w:ascii="Arial" w:cs="Arial" w:eastAsia="Arial" w:hAnsi="Arial"/>
          <w:sz w:val="22"/>
          <w:szCs w:val="22"/>
        </w:rPr>
        <w:t xml:space="preserve"> in enclosed space (small room, closet)</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Inhale naturally during this period</w:t>
      </w:r>
    </w:p>
    <w:p>
      <w:pPr>
        <w:spacing w:after="120" w:line="300"/>
      </w:pPr>
      <w:r>
        <w:rPr>
          <w:rFonts w:ascii="Arial" w:cs="Arial" w:eastAsia="Arial" w:hAnsi="Arial"/>
          <w:b/>
          <w:bCs/>
          <w:sz w:val="22"/>
          <w:szCs w:val="22"/>
        </w:rPr>
        <w:t xml:space="preserve">Option B: Tissue or Cotton Ball Method</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Place </w:t>
      </w:r>
      <w:r>
        <w:rPr>
          <w:rFonts w:ascii="Arial" w:cs="Arial" w:eastAsia="Arial" w:hAnsi="Arial"/>
          <w:b/>
          <w:bCs/>
          <w:sz w:val="22"/>
          <w:szCs w:val="22"/>
        </w:rPr>
        <w:t xml:space="preserve">2–3 drops</w:t>
      </w:r>
      <w:r>
        <w:rPr>
          <w:rFonts w:ascii="Arial" w:cs="Arial" w:eastAsia="Arial" w:hAnsi="Arial"/>
          <w:sz w:val="22"/>
          <w:szCs w:val="22"/>
        </w:rPr>
        <w:t xml:space="preserve"> of essential oil on tissue or cotton ball</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Hold </w:t>
      </w:r>
      <w:r>
        <w:rPr>
          <w:rFonts w:ascii="Arial" w:cs="Arial" w:eastAsia="Arial" w:hAnsi="Arial"/>
          <w:b/>
          <w:bCs/>
          <w:sz w:val="22"/>
          <w:szCs w:val="22"/>
        </w:rPr>
        <w:t xml:space="preserve">6–12 inches from nose</w:t>
      </w:r>
      <w:r>
        <w:rPr>
          <w:rFonts w:ascii="Arial" w:cs="Arial" w:eastAsia="Arial" w:hAnsi="Arial"/>
          <w:sz w:val="22"/>
          <w:szCs w:val="22"/>
        </w:rPr>
        <w:t xml:space="preserve">; inhale gently for </w:t>
      </w:r>
      <w:r>
        <w:rPr>
          <w:rFonts w:ascii="Arial" w:cs="Arial" w:eastAsia="Arial" w:hAnsi="Arial"/>
          <w:b/>
          <w:bCs/>
          <w:sz w:val="22"/>
          <w:szCs w:val="22"/>
        </w:rPr>
        <w:t xml:space="preserve">10–15 minutes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Avoid direct inhalation over neat oil (risk of irritation)</w:t>
      </w:r>
    </w:p>
    <w:p>
      <w:pPr>
        <w:spacing w:after="120" w:line="300"/>
      </w:pPr>
      <w:r>
        <w:rPr>
          <w:rFonts w:ascii="Arial" w:cs="Arial" w:eastAsia="Arial" w:hAnsi="Arial"/>
          <w:b/>
          <w:bCs/>
          <w:sz w:val="22"/>
          <w:szCs w:val="22"/>
        </w:rPr>
        <w:t xml:space="preserve">Option C: Steam Inhalation</w:t>
      </w:r>
      <w:r>
        <w:rPr>
          <w:rFonts w:ascii="Arial" w:cs="Arial" w:eastAsia="Arial" w:hAnsi="Arial"/>
          <w:sz w:val="22"/>
          <w:szCs w:val="22"/>
        </w:rPr>
        <w:t xml:space="preserve"> (Traditional method)</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Add </w:t>
      </w:r>
      <w:r>
        <w:rPr>
          <w:rFonts w:ascii="Arial" w:cs="Arial" w:eastAsia="Arial" w:hAnsi="Arial"/>
          <w:b/>
          <w:bCs/>
          <w:sz w:val="22"/>
          <w:szCs w:val="22"/>
        </w:rPr>
        <w:t xml:space="preserve">3–5 drops</w:t>
      </w:r>
      <w:r>
        <w:rPr>
          <w:rFonts w:ascii="Arial" w:cs="Arial" w:eastAsia="Arial" w:hAnsi="Arial"/>
          <w:sz w:val="22"/>
          <w:szCs w:val="22"/>
        </w:rPr>
        <w:t xml:space="preserve"> of essential oil to bowl of hot water (not boiling)</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Drape cloth over head and bowl</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Inhale steam for </w:t>
      </w:r>
      <w:r>
        <w:rPr>
          <w:rFonts w:ascii="Arial" w:cs="Arial" w:eastAsia="Arial" w:hAnsi="Arial"/>
          <w:b/>
          <w:bCs/>
          <w:sz w:val="22"/>
          <w:szCs w:val="22"/>
        </w:rPr>
        <w:t xml:space="preserve">5–10 minutes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Safer for respiratory sensitivity; effective for mucosal delivery</w:t>
      </w:r>
    </w:p>
    <w:p>
      <w:pPr>
        <w:spacing w:after="120" w:line="300"/>
      </w:pPr>
      <w:r>
        <w:rPr>
          <w:rFonts w:ascii="Arial" w:cs="Arial" w:eastAsia="Arial" w:hAnsi="Arial"/>
          <w:b/>
          <w:bCs/>
          <w:sz w:val="22"/>
          <w:szCs w:val="22"/>
        </w:rPr>
        <w:t xml:space="preserve">Option D: Oral Pre-Loading</w:t>
      </w:r>
      <w:r>
        <w:rPr>
          <w:rFonts w:ascii="Arial" w:cs="Arial" w:eastAsia="Arial" w:hAnsi="Arial"/>
          <w:sz w:val="22"/>
          <w:szCs w:val="22"/>
        </w:rPr>
        <w:t xml:space="preserve"> (Supplementary)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Consume </w:t>
      </w:r>
      <w:r>
        <w:rPr>
          <w:rFonts w:ascii="Arial" w:cs="Arial" w:eastAsia="Arial" w:hAnsi="Arial"/>
          <w:b/>
          <w:bCs/>
          <w:sz w:val="22"/>
          <w:szCs w:val="22"/>
        </w:rPr>
        <w:t xml:space="preserve">cardamom chai</w:t>
      </w:r>
      <w:r>
        <w:rPr>
          <w:rFonts w:ascii="Arial" w:cs="Arial" w:eastAsia="Arial" w:hAnsi="Arial"/>
          <w:sz w:val="22"/>
          <w:szCs w:val="22"/>
        </w:rPr>
        <w:t xml:space="preserve"> or </w:t>
      </w:r>
      <w:r>
        <w:rPr>
          <w:rFonts w:ascii="Arial" w:cs="Arial" w:eastAsia="Arial" w:hAnsi="Arial"/>
          <w:b/>
          <w:bCs/>
          <w:sz w:val="22"/>
          <w:szCs w:val="22"/>
        </w:rPr>
        <w:t xml:space="preserve">rosemary-infused tea</w:t>
      </w:r>
      <w:r>
        <w:rPr>
          <w:rFonts w:ascii="Arial" w:cs="Arial" w:eastAsia="Arial" w:hAnsi="Arial"/>
          <w:sz w:val="22"/>
          <w:szCs w:val="22"/>
        </w:rPr>
        <w:t xml:space="preserve"> 20–30 minutes before cannabis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Provides mild oral 1,8-cineole dose plus ritual warmth</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Not a replacement for inhalation</w:t>
      </w:r>
      <w:r>
        <w:rPr>
          <w:rFonts w:ascii="Arial" w:cs="Arial" w:eastAsia="Arial" w:hAnsi="Arial"/>
          <w:sz w:val="22"/>
          <w:szCs w:val="22"/>
        </w:rPr>
        <w:t xml:space="preserve"> but complementary</w:t>
      </w:r>
    </w:p>
    <w:p>
      <w:pPr>
        <w:spacing w:after="100" w:before="200"/>
      </w:pPr>
      <w:r>
        <w:rPr>
          <w:rFonts w:ascii="Arial" w:cs="Arial" w:eastAsia="Arial" w:hAnsi="Arial"/>
          <w:b/>
          <w:bCs/>
          <w:color w:val="444444"/>
          <w:sz w:val="24"/>
          <w:szCs w:val="24"/>
        </w:rPr>
        <w:t xml:space="preserve">Dosing &amp; Duration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Recommendation</w:t>
            </w:r>
          </w:p>
        </w:tc>
        <w:tc>
          <w:tcPr>
            <w:tcW w:type="dxa" w:w="312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Duration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10–20 minutes continuous inhalation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15 min optimal for peak effect</w:t>
            </w:r>
          </w:p>
        </w:tc>
      </w:tr>
      <w:tr>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Frequency</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Can be done daily or as needed</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No tolerance development expected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Concentration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3–5 drops essential oil per session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Higher concentrations not necessary; risk of irritation</w:t>
            </w:r>
          </w:p>
        </w:tc>
      </w:tr>
      <w:tr>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Rest Periods</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If experiencing any discomfort, stop and rest</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Can resume after 30 min if desired</w:t>
            </w:r>
          </w:p>
        </w:tc>
      </w:tr>
    </w:tbl>
    <w:p>
      <w:pPr>
        <w:spacing w:after="120"/>
      </w:pPr>
    </w:p>
    <w:p>
      <w:pPr>
        <w:pStyle w:val="Heading2"/>
        <w:spacing w:after="120" w:before="240"/>
      </w:pPr>
      <w:r>
        <w:rPr>
          <w:rFonts w:ascii="Arial" w:cs="Arial" w:eastAsia="Arial" w:hAnsi="Arial"/>
          <w:b/>
          <w:bCs/>
          <w:color w:val="333333"/>
          <w:sz w:val="26"/>
          <w:szCs w:val="26"/>
        </w:rPr>
        <w:t xml:space="preserve">15.3 Expected Effects &amp; Synergies with Cannabis</w:t>
      </w:r>
    </w:p>
    <w:p>
      <w:pPr>
        <w:spacing w:after="100" w:before="200"/>
      </w:pPr>
      <w:r>
        <w:rPr>
          <w:rFonts w:ascii="Arial" w:cs="Arial" w:eastAsia="Arial" w:hAnsi="Arial"/>
          <w:b/>
          <w:bCs/>
          <w:color w:val="444444"/>
          <w:sz w:val="24"/>
          <w:szCs w:val="24"/>
        </w:rPr>
        <w:t xml:space="preserve">Cognitive Enhancement Baseline</w:t>
      </w:r>
    </w:p>
    <w:p>
      <w:pPr>
        <w:spacing w:after="120" w:line="300"/>
      </w:pPr>
      <w:r>
        <w:rPr>
          <w:rFonts w:ascii="Arial" w:cs="Arial" w:eastAsia="Arial" w:hAnsi="Arial"/>
          <w:b/>
          <w:bCs/>
          <w:sz w:val="22"/>
          <w:szCs w:val="22"/>
        </w:rPr>
        <w:t xml:space="preserve">Pre-Loading Alone</w:t>
      </w:r>
      <w:r>
        <w:rPr>
          <w:rFonts w:ascii="Arial" w:cs="Arial" w:eastAsia="Arial" w:hAnsi="Arial"/>
          <w:sz w:val="22"/>
          <w:szCs w:val="22"/>
        </w:rPr>
        <w:t xml:space="preserve"> (without cannabis):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Improved memory, attention, and cognitive task performance (Moss &amp; Oliver 2012 data)</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Enhanced wakefulness and mental clarity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Slight anxiolytic effect possible (anti-inflammatory NF-κB suppression)</w:t>
      </w:r>
    </w:p>
    <w:p>
      <w:pPr>
        <w:spacing w:after="100" w:before="200"/>
      </w:pPr>
      <w:r>
        <w:rPr>
          <w:rFonts w:ascii="Arial" w:cs="Arial" w:eastAsia="Arial" w:hAnsi="Arial"/>
          <w:b/>
          <w:bCs/>
          <w:color w:val="444444"/>
          <w:sz w:val="24"/>
          <w:szCs w:val="24"/>
        </w:rPr>
        <w:t xml:space="preserve">Synergies with THC/CBD</w:t>
      </w:r>
    </w:p>
    <w:p>
      <w:pPr>
        <w:spacing w:after="120" w:line="300"/>
      </w:pPr>
      <w:r>
        <w:rPr>
          <w:rFonts w:ascii="Arial" w:cs="Arial" w:eastAsia="Arial" w:hAnsi="Arial"/>
          <w:b/>
          <w:bCs/>
          <w:sz w:val="22"/>
          <w:szCs w:val="22"/>
        </w:rPr>
        <w:t xml:space="preserve">Scenario A: High-THC Strains (Psychoactive Focus)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Memory Protection</w:t>
      </w:r>
      <w:r>
        <w:rPr>
          <w:rFonts w:ascii="Arial" w:cs="Arial" w:eastAsia="Arial" w:hAnsi="Arial"/>
          <w:sz w:val="22"/>
          <w:szCs w:val="22"/>
        </w:rPr>
        <w:t xml:space="preserve">: 1,8-cineole's AChE inhibition may mitigate THC-induced memory impairment</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Anxiety Buffering</w:t>
      </w:r>
      <w:r>
        <w:rPr>
          <w:rFonts w:ascii="Arial" w:cs="Arial" w:eastAsia="Arial" w:hAnsi="Arial"/>
          <w:sz w:val="22"/>
          <w:szCs w:val="22"/>
        </w:rPr>
        <w:t xml:space="preserve">: Pre-loaded anti-inflammatory state may reduce anxiety common in high-THC use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Cognitive Clarity</w:t>
      </w:r>
      <w:r>
        <w:rPr>
          <w:rFonts w:ascii="Arial" w:cs="Arial" w:eastAsia="Arial" w:hAnsi="Arial"/>
          <w:sz w:val="22"/>
          <w:szCs w:val="22"/>
        </w:rPr>
        <w:t xml:space="preserve">: Combined 1,8-cineole + α-pinene (if rosemary) enhances memory throughout experience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Bronchodilation Benefit</w:t>
      </w:r>
      <w:r>
        <w:rPr>
          <w:rFonts w:ascii="Arial" w:cs="Arial" w:eastAsia="Arial" w:hAnsi="Arial"/>
          <w:sz w:val="22"/>
          <w:szCs w:val="22"/>
        </w:rPr>
        <w:t xml:space="preserve">: Enhanced THC bioavailability via improved respiratory absorption</w:t>
      </w:r>
    </w:p>
    <w:p>
      <w:pPr>
        <w:spacing w:after="120" w:line="300"/>
      </w:pPr>
      <w:r>
        <w:rPr>
          <w:rFonts w:ascii="Arial" w:cs="Arial" w:eastAsia="Arial" w:hAnsi="Arial"/>
          <w:b/>
          <w:bCs/>
          <w:sz w:val="22"/>
          <w:szCs w:val="22"/>
        </w:rPr>
        <w:t xml:space="preserve">Expected User Report</w:t>
      </w:r>
      <w:r>
        <w:rPr>
          <w:rFonts w:ascii="Arial" w:cs="Arial" w:eastAsia="Arial" w:hAnsi="Arial"/>
          <w:sz w:val="22"/>
          <w:szCs w:val="22"/>
        </w:rPr>
        <w:t xml:space="preserve">: *"Clearer-headed high; less memory fog; anxiety reduced"*</w:t>
      </w:r>
    </w:p>
    <w:p>
      <w:pPr>
        <w:spacing w:after="120" w:line="300"/>
      </w:pPr>
      <w:r>
        <w:rPr>
          <w:rFonts w:ascii="Arial" w:cs="Arial" w:eastAsia="Arial" w:hAnsi="Arial"/>
          <w:b/>
          <w:bCs/>
          <w:sz w:val="22"/>
          <w:szCs w:val="22"/>
        </w:rPr>
        <w:t xml:space="preserve">Scenario B: CBD-Dominant Strains (Therapeutic Focus)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Complementary Anti-Inflammation</w:t>
      </w:r>
      <w:r>
        <w:rPr>
          <w:rFonts w:ascii="Arial" w:cs="Arial" w:eastAsia="Arial" w:hAnsi="Arial"/>
          <w:sz w:val="22"/>
          <w:szCs w:val="22"/>
        </w:rPr>
        <w:t xml:space="preserve">: 1,8-cineole (NF-κB suppression) + CBD (multiple anti-inflammatory pathways) = synergistic reduction in inflammatory markers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Respiratory Benefit</w:t>
      </w:r>
      <w:r>
        <w:rPr>
          <w:rFonts w:ascii="Arial" w:cs="Arial" w:eastAsia="Arial" w:hAnsi="Arial"/>
          <w:sz w:val="22"/>
          <w:szCs w:val="22"/>
        </w:rPr>
        <w:t xml:space="preserve">: Both 1,8-cineole and CBD support respiratory health; combined mucolytic and anti-inflammatory</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Cognitive Enhancement</w:t>
      </w:r>
      <w:r>
        <w:rPr>
          <w:rFonts w:ascii="Arial" w:cs="Arial" w:eastAsia="Arial" w:hAnsi="Arial"/>
          <w:sz w:val="22"/>
          <w:szCs w:val="22"/>
        </w:rPr>
        <w:t xml:space="preserve">: 1,8-cineole adds memory-focused cognitive lift to CBD's anxiolytic effects</w:t>
      </w:r>
    </w:p>
    <w:p>
      <w:pPr>
        <w:spacing w:after="120" w:line="300"/>
      </w:pPr>
      <w:r>
        <w:rPr>
          <w:rFonts w:ascii="Arial" w:cs="Arial" w:eastAsia="Arial" w:hAnsi="Arial"/>
          <w:b/>
          <w:bCs/>
          <w:sz w:val="22"/>
          <w:szCs w:val="22"/>
        </w:rPr>
        <w:t xml:space="preserve">Expected User Report</w:t>
      </w:r>
      <w:r>
        <w:rPr>
          <w:rFonts w:ascii="Arial" w:cs="Arial" w:eastAsia="Arial" w:hAnsi="Arial"/>
          <w:sz w:val="22"/>
          <w:szCs w:val="22"/>
        </w:rPr>
        <w:t xml:space="preserve">: *"Stronger therapeutic effect; clearer mental state; better symptom relief"*</w:t>
      </w:r>
    </w:p>
    <w:p>
      <w:pPr>
        <w:spacing w:after="120" w:line="300"/>
      </w:pPr>
      <w:r>
        <w:rPr>
          <w:rFonts w:ascii="Arial" w:cs="Arial" w:eastAsia="Arial" w:hAnsi="Arial"/>
          <w:b/>
          <w:bCs/>
          <w:sz w:val="22"/>
          <w:szCs w:val="22"/>
        </w:rPr>
        <w:t xml:space="preserve">Scenario C: Balanced Strains (1:1 THC:CBD)</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Balanced Receptor Priming</w:t>
      </w:r>
      <w:r>
        <w:rPr>
          <w:rFonts w:ascii="Arial" w:cs="Arial" w:eastAsia="Arial" w:hAnsi="Arial"/>
          <w:sz w:val="22"/>
          <w:szCs w:val="22"/>
        </w:rPr>
        <w:t xml:space="preserve">: Pre-loaded 1,8-cineole primes cholinergic and anti-inflammatory systems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Smooth Experience</w:t>
      </w:r>
      <w:r>
        <w:rPr>
          <w:rFonts w:ascii="Arial" w:cs="Arial" w:eastAsia="Arial" w:hAnsi="Arial"/>
          <w:sz w:val="22"/>
          <w:szCs w:val="22"/>
        </w:rPr>
        <w:t xml:space="preserve">: Less potential for anxiety escalation; better memory retention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Enhanced Flavor Perception</w:t>
      </w:r>
      <w:r>
        <w:rPr>
          <w:rFonts w:ascii="Arial" w:cs="Arial" w:eastAsia="Arial" w:hAnsi="Arial"/>
          <w:sz w:val="22"/>
          <w:szCs w:val="22"/>
        </w:rPr>
        <w:t xml:space="preserve">: 1,8-cineole pre-loading (strong olfactory signal) may enhance terpene flavor perception in cannabis</w:t>
      </w:r>
    </w:p>
    <w:p>
      <w:pPr>
        <w:spacing w:after="120" w:line="300"/>
      </w:pPr>
      <w:r>
        <w:rPr>
          <w:rFonts w:ascii="Arial" w:cs="Arial" w:eastAsia="Arial" w:hAnsi="Arial"/>
          <w:b/>
          <w:bCs/>
          <w:sz w:val="22"/>
          <w:szCs w:val="22"/>
        </w:rPr>
        <w:t xml:space="preserve">Expected User Report</w:t>
      </w:r>
      <w:r>
        <w:rPr>
          <w:rFonts w:ascii="Arial" w:cs="Arial" w:eastAsia="Arial" w:hAnsi="Arial"/>
          <w:sz w:val="22"/>
          <w:szCs w:val="22"/>
        </w:rPr>
        <w:t xml:space="preserve">: *"Smoother, more balanced experience; enhanced flavor; better mental clarity"*</w:t>
      </w:r>
    </w:p>
    <w:p>
      <w:pPr>
        <w:pStyle w:val="Heading2"/>
        <w:spacing w:after="120" w:before="240"/>
      </w:pPr>
      <w:r>
        <w:rPr>
          <w:rFonts w:ascii="Arial" w:cs="Arial" w:eastAsia="Arial" w:hAnsi="Arial"/>
          <w:b/>
          <w:bCs/>
          <w:color w:val="333333"/>
          <w:sz w:val="26"/>
          <w:szCs w:val="26"/>
        </w:rPr>
        <w:t xml:space="preserve">15.4 Strain-Matching Strategy</w:t>
      </w:r>
    </w:p>
    <w:p>
      <w:pPr>
        <w:spacing w:after="120" w:line="300"/>
      </w:pPr>
      <w:r>
        <w:rPr>
          <w:rFonts w:ascii="Arial" w:cs="Arial" w:eastAsia="Arial" w:hAnsi="Arial"/>
          <w:sz w:val="22"/>
          <w:szCs w:val="22"/>
        </w:rPr>
        <w:t xml:space="preserve">Optimal pre-loading involves </w:t>
      </w:r>
      <w:r>
        <w:rPr>
          <w:rFonts w:ascii="Arial" w:cs="Arial" w:eastAsia="Arial" w:hAnsi="Arial"/>
          <w:b/>
          <w:bCs/>
          <w:sz w:val="22"/>
          <w:szCs w:val="22"/>
        </w:rPr>
        <w:t xml:space="preserve">matching botanical terpene profile to cannabis strain's terpene content</w:t>
      </w:r>
      <w:r>
        <w:rPr>
          <w:rFonts w:ascii="Arial" w:cs="Arial" w:eastAsia="Arial" w:hAnsi="Arial"/>
          <w:sz w:val="22"/>
          <w:szCs w:val="22"/>
        </w:rPr>
        <w:t xml:space="preserve">:</w:t>
      </w:r>
    </w:p>
    <w:p>
      <w:pPr>
        <w:spacing w:after="100" w:before="200"/>
      </w:pPr>
      <w:r>
        <w:rPr>
          <w:rFonts w:ascii="Arial" w:cs="Arial" w:eastAsia="Arial" w:hAnsi="Arial"/>
          <w:b/>
          <w:bCs/>
          <w:color w:val="444444"/>
          <w:sz w:val="24"/>
          <w:szCs w:val="24"/>
        </w:rPr>
        <w:t xml:space="preserve">Example 1: Linalool-Dominant Strain ("Lavender" Profile)</w:t>
      </w:r>
    </w:p>
    <w:p>
      <w:pPr>
        <w:spacing w:after="120" w:line="300"/>
      </w:pPr>
      <w:r>
        <w:rPr>
          <w:rFonts w:ascii="Arial" w:cs="Arial" w:eastAsia="Arial" w:hAnsi="Arial"/>
          <w:b/>
          <w:bCs/>
          <w:sz w:val="22"/>
          <w:szCs w:val="22"/>
        </w:rPr>
        <w:t xml:space="preserve">Strain Terpenes</w:t>
      </w:r>
      <w:r>
        <w:rPr>
          <w:rFonts w:ascii="Arial" w:cs="Arial" w:eastAsia="Arial" w:hAnsi="Arial"/>
          <w:sz w:val="22"/>
          <w:szCs w:val="22"/>
        </w:rPr>
        <w:t xml:space="preserve">: Linalool (50%+), myrcene, β-pinene</w:t>
      </w:r>
    </w:p>
    <w:p>
      <w:pPr>
        <w:spacing w:after="120" w:line="300"/>
      </w:pPr>
      <w:r>
        <w:rPr>
          <w:rFonts w:ascii="Arial" w:cs="Arial" w:eastAsia="Arial" w:hAnsi="Arial"/>
          <w:b/>
          <w:bCs/>
          <w:sz w:val="22"/>
          <w:szCs w:val="22"/>
        </w:rPr>
        <w:t xml:space="preserve">Pre-Loading Match</w:t>
      </w:r>
      <w:r>
        <w:rPr>
          <w:rFonts w:ascii="Arial" w:cs="Arial" w:eastAsia="Arial" w:hAnsi="Arial"/>
          <w:sz w:val="22"/>
          <w:szCs w:val="22"/>
        </w:rPr>
        <w:t xml:space="preserve">: Rosemary ct. cineole (adds 1,8-cineole + α-pinene to profile)</w:t>
      </w:r>
    </w:p>
    <w:p>
      <w:pPr>
        <w:spacing w:after="120" w:line="300"/>
      </w:pPr>
      <w:r>
        <w:rPr>
          <w:rFonts w:ascii="Arial" w:cs="Arial" w:eastAsia="Arial" w:hAnsi="Arial"/>
          <w:b/>
          <w:bCs/>
          <w:sz w:val="22"/>
          <w:szCs w:val="22"/>
        </w:rPr>
        <w:t xml:space="preserve">Rationale</w:t>
      </w:r>
      <w:r>
        <w:rPr>
          <w:rFonts w:ascii="Arial" w:cs="Arial" w:eastAsia="Arial" w:hAnsi="Arial"/>
          <w:sz w:val="22"/>
          <w:szCs w:val="22"/>
        </w:rPr>
        <w:t xml:space="preserve">: Enhances cognitive clarity without overwhelming lavender notes; adds memory protection</w:t>
      </w:r>
    </w:p>
    <w:p>
      <w:pPr>
        <w:spacing w:after="100" w:before="200"/>
      </w:pPr>
      <w:r>
        <w:rPr>
          <w:rFonts w:ascii="Arial" w:cs="Arial" w:eastAsia="Arial" w:hAnsi="Arial"/>
          <w:b/>
          <w:bCs/>
          <w:color w:val="444444"/>
          <w:sz w:val="24"/>
          <w:szCs w:val="24"/>
        </w:rPr>
        <w:t xml:space="preserve">Example 2: Myrcene-Heavy Strain ("Earthy/Sleepy" Profile)</w:t>
      </w:r>
    </w:p>
    <w:p>
      <w:pPr>
        <w:spacing w:after="120" w:line="300"/>
      </w:pPr>
      <w:r>
        <w:rPr>
          <w:rFonts w:ascii="Arial" w:cs="Arial" w:eastAsia="Arial" w:hAnsi="Arial"/>
          <w:b/>
          <w:bCs/>
          <w:sz w:val="22"/>
          <w:szCs w:val="22"/>
        </w:rPr>
        <w:t xml:space="preserve">Strain Terpenes</w:t>
      </w:r>
      <w:r>
        <w:rPr>
          <w:rFonts w:ascii="Arial" w:cs="Arial" w:eastAsia="Arial" w:hAnsi="Arial"/>
          <w:sz w:val="22"/>
          <w:szCs w:val="22"/>
        </w:rPr>
        <w:t xml:space="preserve">: Myrcene (40%+), linalool, caryophyllene</w:t>
      </w:r>
    </w:p>
    <w:p>
      <w:pPr>
        <w:spacing w:after="120" w:line="300"/>
      </w:pPr>
      <w:r>
        <w:rPr>
          <w:rFonts w:ascii="Arial" w:cs="Arial" w:eastAsia="Arial" w:hAnsi="Arial"/>
          <w:b/>
          <w:bCs/>
          <w:sz w:val="22"/>
          <w:szCs w:val="22"/>
        </w:rPr>
        <w:t xml:space="preserve">Pre-Loading Match</w:t>
      </w:r>
      <w:r>
        <w:rPr>
          <w:rFonts w:ascii="Arial" w:cs="Arial" w:eastAsia="Arial" w:hAnsi="Arial"/>
          <w:sz w:val="22"/>
          <w:szCs w:val="22"/>
        </w:rPr>
        <w:t xml:space="preserve">: Cardamom (40–60% 1,8-cineole, warm spice notes)</w:t>
      </w:r>
    </w:p>
    <w:p>
      <w:pPr>
        <w:spacing w:after="120" w:line="300"/>
      </w:pPr>
      <w:r>
        <w:rPr>
          <w:rFonts w:ascii="Arial" w:cs="Arial" w:eastAsia="Arial" w:hAnsi="Arial"/>
          <w:b/>
          <w:bCs/>
          <w:sz w:val="22"/>
          <w:szCs w:val="22"/>
        </w:rPr>
        <w:t xml:space="preserve">Rationale</w:t>
      </w:r>
      <w:r>
        <w:rPr>
          <w:rFonts w:ascii="Arial" w:cs="Arial" w:eastAsia="Arial" w:hAnsi="Arial"/>
          <w:sz w:val="22"/>
          <w:szCs w:val="22"/>
        </w:rPr>
        <w:t xml:space="preserve">: Adds warming, digestive support; 1,8-cineole's CNS penetration balances myrcene's sedation; culinary warmth complements earthy profile</w:t>
      </w:r>
    </w:p>
    <w:p>
      <w:pPr>
        <w:spacing w:after="100" w:before="200"/>
      </w:pPr>
      <w:r>
        <w:rPr>
          <w:rFonts w:ascii="Arial" w:cs="Arial" w:eastAsia="Arial" w:hAnsi="Arial"/>
          <w:b/>
          <w:bCs/>
          <w:color w:val="444444"/>
          <w:sz w:val="24"/>
          <w:szCs w:val="24"/>
        </w:rPr>
        <w:t xml:space="preserve">Example 3: High-Pinene Strain ("Energetic" Profile)</w:t>
      </w:r>
    </w:p>
    <w:p>
      <w:pPr>
        <w:spacing w:after="120" w:line="300"/>
      </w:pPr>
      <w:r>
        <w:rPr>
          <w:rFonts w:ascii="Arial" w:cs="Arial" w:eastAsia="Arial" w:hAnsi="Arial"/>
          <w:b/>
          <w:bCs/>
          <w:sz w:val="22"/>
          <w:szCs w:val="22"/>
        </w:rPr>
        <w:t xml:space="preserve">Strain Terpenes</w:t>
      </w:r>
      <w:r>
        <w:rPr>
          <w:rFonts w:ascii="Arial" w:cs="Arial" w:eastAsia="Arial" w:hAnsi="Arial"/>
          <w:sz w:val="22"/>
          <w:szCs w:val="22"/>
        </w:rPr>
        <w:t xml:space="preserve">: α-pinene (15–20%), limonene, cineole</w:t>
      </w:r>
    </w:p>
    <w:p>
      <w:pPr>
        <w:spacing w:after="120" w:line="300"/>
      </w:pPr>
      <w:r>
        <w:rPr>
          <w:rFonts w:ascii="Arial" w:cs="Arial" w:eastAsia="Arial" w:hAnsi="Arial"/>
          <w:b/>
          <w:bCs/>
          <w:sz w:val="22"/>
          <w:szCs w:val="22"/>
        </w:rPr>
        <w:t xml:space="preserve">Pre-Loading Match</w:t>
      </w:r>
      <w:r>
        <w:rPr>
          <w:rFonts w:ascii="Arial" w:cs="Arial" w:eastAsia="Arial" w:hAnsi="Arial"/>
          <w:sz w:val="22"/>
          <w:szCs w:val="22"/>
        </w:rPr>
        <w:t xml:space="preserve">: Eucalyptus globulus (70–90% 1,8-cineole, no extra pinene)</w:t>
      </w:r>
    </w:p>
    <w:p>
      <w:pPr>
        <w:spacing w:after="120" w:line="300"/>
      </w:pPr>
      <w:r>
        <w:rPr>
          <w:rFonts w:ascii="Arial" w:cs="Arial" w:eastAsia="Arial" w:hAnsi="Arial"/>
          <w:b/>
          <w:bCs/>
          <w:sz w:val="22"/>
          <w:szCs w:val="22"/>
        </w:rPr>
        <w:t xml:space="preserve">Rationale</w:t>
      </w:r>
      <w:r>
        <w:rPr>
          <w:rFonts w:ascii="Arial" w:cs="Arial" w:eastAsia="Arial" w:hAnsi="Arial"/>
          <w:sz w:val="22"/>
          <w:szCs w:val="22"/>
        </w:rPr>
        <w:t xml:space="preserve">: Maximizes 1,8-cineole without redundant pinene; creates strong cognitive/respiratory synergy</w:t>
      </w:r>
    </w:p>
    <w:p>
      <w:pPr>
        <w:spacing w:after="100" w:before="200"/>
      </w:pPr>
      <w:r>
        <w:rPr>
          <w:rFonts w:ascii="Arial" w:cs="Arial" w:eastAsia="Arial" w:hAnsi="Arial"/>
          <w:b/>
          <w:bCs/>
          <w:color w:val="444444"/>
          <w:sz w:val="24"/>
          <w:szCs w:val="24"/>
        </w:rPr>
        <w:t xml:space="preserve">Example 4: Complex Terpenoid Strain (Multiple Major Terpenes)</w:t>
      </w:r>
    </w:p>
    <w:p>
      <w:pPr>
        <w:spacing w:after="120" w:line="300"/>
      </w:pPr>
      <w:r>
        <w:rPr>
          <w:rFonts w:ascii="Arial" w:cs="Arial" w:eastAsia="Arial" w:hAnsi="Arial"/>
          <w:b/>
          <w:bCs/>
          <w:sz w:val="22"/>
          <w:szCs w:val="22"/>
        </w:rPr>
        <w:t xml:space="preserve">Strain Terpenes</w:t>
      </w:r>
      <w:r>
        <w:rPr>
          <w:rFonts w:ascii="Arial" w:cs="Arial" w:eastAsia="Arial" w:hAnsi="Arial"/>
          <w:sz w:val="22"/>
          <w:szCs w:val="22"/>
        </w:rPr>
        <w:t xml:space="preserve">: Caryophyllene, pinene, myrcene, limonene, cineole (all 5–15%)</w:t>
      </w:r>
    </w:p>
    <w:p>
      <w:pPr>
        <w:spacing w:after="120" w:line="300"/>
      </w:pPr>
      <w:r>
        <w:rPr>
          <w:rFonts w:ascii="Arial" w:cs="Arial" w:eastAsia="Arial" w:hAnsi="Arial"/>
          <w:b/>
          <w:bCs/>
          <w:sz w:val="22"/>
          <w:szCs w:val="22"/>
        </w:rPr>
        <w:t xml:space="preserve">Pre-Loading Match</w:t>
      </w:r>
      <w:r>
        <w:rPr>
          <w:rFonts w:ascii="Arial" w:cs="Arial" w:eastAsia="Arial" w:hAnsi="Arial"/>
          <w:sz w:val="22"/>
          <w:szCs w:val="22"/>
        </w:rPr>
        <w:t xml:space="preserve">: Rosemary ct. cineole or bay laurel</w:t>
      </w:r>
    </w:p>
    <w:p>
      <w:pPr>
        <w:spacing w:after="120" w:line="300"/>
      </w:pPr>
      <w:r>
        <w:rPr>
          <w:rFonts w:ascii="Arial" w:cs="Arial" w:eastAsia="Arial" w:hAnsi="Arial"/>
          <w:b/>
          <w:bCs/>
          <w:sz w:val="22"/>
          <w:szCs w:val="22"/>
        </w:rPr>
        <w:t xml:space="preserve">Rationale</w:t>
      </w:r>
      <w:r>
        <w:rPr>
          <w:rFonts w:ascii="Arial" w:cs="Arial" w:eastAsia="Arial" w:hAnsi="Arial"/>
          <w:sz w:val="22"/>
          <w:szCs w:val="22"/>
        </w:rPr>
        <w:t xml:space="preserve">: Moderate 1,8-cineole (40–55%) adds cognitive lift without overwhelming complex profile; complements all primary terpenes</w:t>
      </w:r>
    </w:p>
    <w:p>
      <w:pPr>
        <w:pStyle w:val="Heading2"/>
        <w:spacing w:after="120" w:before="240"/>
      </w:pPr>
      <w:r>
        <w:rPr>
          <w:rFonts w:ascii="Arial" w:cs="Arial" w:eastAsia="Arial" w:hAnsi="Arial"/>
          <w:b/>
          <w:bCs/>
          <w:color w:val="333333"/>
          <w:sz w:val="26"/>
          <w:szCs w:val="26"/>
        </w:rPr>
        <w:t xml:space="preserve">15.5 Individual Variability &amp; Optimization</w:t>
      </w:r>
    </w:p>
    <w:p>
      <w:pPr>
        <w:spacing w:after="100" w:before="200"/>
      </w:pPr>
      <w:r>
        <w:rPr>
          <w:rFonts w:ascii="Arial" w:cs="Arial" w:eastAsia="Arial" w:hAnsi="Arial"/>
          <w:b/>
          <w:bCs/>
          <w:color w:val="444444"/>
          <w:sz w:val="24"/>
          <w:szCs w:val="24"/>
        </w:rPr>
        <w:t xml:space="preserve">Factors Affecting Pre-Loading Response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Genetic polymorphisms in P450 enzymes</w:t>
      </w:r>
      <w:r>
        <w:rPr>
          <w:rFonts w:ascii="Arial" w:cs="Arial" w:eastAsia="Arial" w:hAnsi="Arial"/>
          <w:sz w:val="22"/>
          <w:szCs w:val="22"/>
        </w:rPr>
        <w:t xml:space="preserve">: CYP3A4/5 gene variants affect 1,8-cineole metabolism</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Baseline respiratory health</w:t>
      </w:r>
      <w:r>
        <w:rPr>
          <w:rFonts w:ascii="Arial" w:cs="Arial" w:eastAsia="Arial" w:hAnsi="Arial"/>
          <w:sz w:val="22"/>
          <w:szCs w:val="22"/>
        </w:rPr>
        <w:t xml:space="preserve">: Compromised airways may limit inhalational absorption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Olfactory sensitivity</w:t>
      </w:r>
      <w:r>
        <w:rPr>
          <w:rFonts w:ascii="Arial" w:cs="Arial" w:eastAsia="Arial" w:hAnsi="Arial"/>
          <w:sz w:val="22"/>
          <w:szCs w:val="22"/>
        </w:rPr>
        <w:t xml:space="preserve">: Individual odor thresholds vary; some may perceive stronger effects from lower doses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Prior cannabis tolerance</w:t>
      </w:r>
      <w:r>
        <w:rPr>
          <w:rFonts w:ascii="Arial" w:cs="Arial" w:eastAsia="Arial" w:hAnsi="Arial"/>
          <w:sz w:val="22"/>
          <w:szCs w:val="22"/>
        </w:rPr>
        <w:t xml:space="preserve">: Regular users may require stronger pre-loading to detect effects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Expectancy &amp; placebo</w:t>
      </w:r>
      <w:r>
        <w:rPr>
          <w:rFonts w:ascii="Arial" w:cs="Arial" w:eastAsia="Arial" w:hAnsi="Arial"/>
          <w:sz w:val="22"/>
          <w:szCs w:val="22"/>
        </w:rPr>
        <w:t xml:space="preserve">: Positive expectations enhance perceived benefits (legitimate in pre-loading context)</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Time of day</w:t>
      </w:r>
      <w:r>
        <w:rPr>
          <w:rFonts w:ascii="Arial" w:cs="Arial" w:eastAsia="Arial" w:hAnsi="Arial"/>
          <w:sz w:val="22"/>
          <w:szCs w:val="22"/>
        </w:rPr>
        <w:t xml:space="preserve">: Morning pre-loading may have different effects than evening</w:t>
      </w:r>
    </w:p>
    <w:p>
      <w:pPr>
        <w:spacing w:after="100" w:before="200"/>
      </w:pPr>
      <w:r>
        <w:rPr>
          <w:rFonts w:ascii="Arial" w:cs="Arial" w:eastAsia="Arial" w:hAnsi="Arial"/>
          <w:b/>
          <w:bCs/>
          <w:color w:val="444444"/>
          <w:sz w:val="24"/>
          <w:szCs w:val="24"/>
        </w:rPr>
        <w:t xml:space="preserve">Personalized Optimization</w:t>
      </w:r>
    </w:p>
    <w:p>
      <w:pPr>
        <w:spacing w:after="120" w:line="300"/>
      </w:pPr>
      <w:r>
        <w:rPr>
          <w:rFonts w:ascii="Arial" w:cs="Arial" w:eastAsia="Arial" w:hAnsi="Arial"/>
          <w:b/>
          <w:bCs/>
          <w:sz w:val="22"/>
          <w:szCs w:val="22"/>
        </w:rPr>
        <w:t xml:space="preserve">First-Time Users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Start with </w:t>
      </w:r>
      <w:r>
        <w:rPr>
          <w:rFonts w:ascii="Arial" w:cs="Arial" w:eastAsia="Arial" w:hAnsi="Arial"/>
          <w:b/>
          <w:bCs/>
          <w:sz w:val="22"/>
          <w:szCs w:val="22"/>
        </w:rPr>
        <w:t xml:space="preserve">short inhalation (5–10 min)</w:t>
      </w:r>
      <w:r>
        <w:rPr>
          <w:rFonts w:ascii="Arial" w:cs="Arial" w:eastAsia="Arial" w:hAnsi="Arial"/>
          <w:sz w:val="22"/>
          <w:szCs w:val="22"/>
        </w:rPr>
        <w:t xml:space="preserve"> of rosemary or cardamom (less intense than pure eucalyptus)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Observe effects over 2–3 sessions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Gradually increase duration to 15–20 min if well-tolerated</w:t>
      </w:r>
    </w:p>
    <w:p>
      <w:pPr>
        <w:spacing w:after="120" w:line="300"/>
      </w:pPr>
      <w:r>
        <w:rPr>
          <w:rFonts w:ascii="Arial" w:cs="Arial" w:eastAsia="Arial" w:hAnsi="Arial"/>
          <w:b/>
          <w:bCs/>
          <w:sz w:val="22"/>
          <w:szCs w:val="22"/>
        </w:rPr>
        <w:t xml:space="preserve">Experienced Pre-Loaders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Rotate botanicals (eucalyptus ↔ rosemary ↔ cardamom) to prevent olfactory adaptation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Match to strain profile (see §15.4)</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Experiment with timing (10 min vs. 20 min vs. 30 min before cannabis)</w:t>
      </w:r>
    </w:p>
    <w:p>
      <w:pPr>
        <w:spacing w:after="120" w:line="300"/>
      </w:pPr>
      <w:r>
        <w:rPr>
          <w:rFonts w:ascii="Arial" w:cs="Arial" w:eastAsia="Arial" w:hAnsi="Arial"/>
          <w:b/>
          <w:bCs/>
          <w:sz w:val="22"/>
          <w:szCs w:val="22"/>
        </w:rPr>
        <w:t xml:space="preserve">High-Sensitivity Individuals</w:t>
      </w:r>
      <w:r>
        <w:rPr>
          <w:rFonts w:ascii="Arial" w:cs="Arial" w:eastAsia="Arial" w:hAnsi="Arial"/>
          <w:sz w:val="22"/>
          <w:szCs w:val="22"/>
        </w:rPr>
        <w:t xml:space="preserve"> (reactive airways, anxiety):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Use </w:t>
      </w:r>
      <w:r>
        <w:rPr>
          <w:rFonts w:ascii="Arial" w:cs="Arial" w:eastAsia="Arial" w:hAnsi="Arial"/>
          <w:b/>
          <w:bCs/>
          <w:sz w:val="22"/>
          <w:szCs w:val="22"/>
        </w:rPr>
        <w:t xml:space="preserve">diluted oils</w:t>
      </w:r>
      <w:r>
        <w:rPr>
          <w:rFonts w:ascii="Arial" w:cs="Arial" w:eastAsia="Arial" w:hAnsi="Arial"/>
          <w:sz w:val="22"/>
          <w:szCs w:val="22"/>
        </w:rPr>
        <w:t xml:space="preserve"> (1:1 with carrier oil)</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Start with </w:t>
      </w:r>
      <w:r>
        <w:rPr>
          <w:rFonts w:ascii="Arial" w:cs="Arial" w:eastAsia="Arial" w:hAnsi="Arial"/>
          <w:b/>
          <w:bCs/>
          <w:sz w:val="22"/>
          <w:szCs w:val="22"/>
        </w:rPr>
        <w:t xml:space="preserve">steam inhalation</w:t>
      </w:r>
      <w:r>
        <w:rPr>
          <w:rFonts w:ascii="Arial" w:cs="Arial" w:eastAsia="Arial" w:hAnsi="Arial"/>
          <w:sz w:val="22"/>
          <w:szCs w:val="22"/>
        </w:rPr>
        <w:t xml:space="preserve"> (gentler than diffuser)</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Consider </w:t>
      </w:r>
      <w:r>
        <w:rPr>
          <w:rFonts w:ascii="Arial" w:cs="Arial" w:eastAsia="Arial" w:hAnsi="Arial"/>
          <w:b/>
          <w:bCs/>
          <w:sz w:val="22"/>
          <w:szCs w:val="22"/>
        </w:rPr>
        <w:t xml:space="preserve">oral pre-loading only</w:t>
      </w:r>
      <w:r>
        <w:rPr>
          <w:rFonts w:ascii="Arial" w:cs="Arial" w:eastAsia="Arial" w:hAnsi="Arial"/>
          <w:sz w:val="22"/>
          <w:szCs w:val="22"/>
        </w:rPr>
        <w:t xml:space="preserve"> (chai, tea) to avoid respiratory irritation</w:t>
      </w:r>
    </w:p>
    <w:p>
      <w:pPr>
        <w:spacing w:after="120" w:line="300"/>
      </w:pPr>
      <w:r>
        <w:rPr>
          <w:rFonts w:ascii="Arial" w:cs="Arial" w:eastAsia="Arial" w:hAnsi="Arial"/>
          <w:b/>
          <w:bCs/>
          <w:sz w:val="22"/>
          <w:szCs w:val="22"/>
        </w:rPr>
        <w:t xml:space="preserve">Low-Responders</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Increase duration to </w:t>
      </w:r>
      <w:r>
        <w:rPr>
          <w:rFonts w:ascii="Arial" w:cs="Arial" w:eastAsia="Arial" w:hAnsi="Arial"/>
          <w:b/>
          <w:bCs/>
          <w:sz w:val="22"/>
          <w:szCs w:val="22"/>
        </w:rPr>
        <w:t xml:space="preserve">20–30 minutes</w:t>
      </w:r>
      <w:r>
        <w:rPr>
          <w:rFonts w:ascii="Arial" w:cs="Arial" w:eastAsia="Arial" w:hAnsi="Arial"/>
          <w:sz w:val="22"/>
          <w:szCs w:val="22"/>
        </w:rPr>
        <w:t xml:space="preserve"> (within safe limits)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Use </w:t>
      </w:r>
      <w:r>
        <w:rPr>
          <w:rFonts w:ascii="Arial" w:cs="Arial" w:eastAsia="Arial" w:hAnsi="Arial"/>
          <w:b/>
          <w:bCs/>
          <w:sz w:val="22"/>
          <w:szCs w:val="22"/>
        </w:rPr>
        <w:t xml:space="preserve">pure eucalyptus</w:t>
      </w:r>
      <w:r>
        <w:rPr>
          <w:rFonts w:ascii="Arial" w:cs="Arial" w:eastAsia="Arial" w:hAnsi="Arial"/>
          <w:sz w:val="22"/>
          <w:szCs w:val="22"/>
        </w:rPr>
        <w:t xml:space="preserve"> (highest cineole %)</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Ensure </w:t>
      </w:r>
      <w:r>
        <w:rPr>
          <w:rFonts w:ascii="Arial" w:cs="Arial" w:eastAsia="Arial" w:hAnsi="Arial"/>
          <w:b/>
          <w:bCs/>
          <w:sz w:val="22"/>
          <w:szCs w:val="22"/>
        </w:rPr>
        <w:t xml:space="preserve">good ventilation</w:t>
      </w:r>
      <w:r>
        <w:rPr>
          <w:rFonts w:ascii="Arial" w:cs="Arial" w:eastAsia="Arial" w:hAnsi="Arial"/>
          <w:sz w:val="22"/>
          <w:szCs w:val="22"/>
        </w:rPr>
        <w:t xml:space="preserve"> for consistent exposure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Check for </w:t>
      </w:r>
      <w:r>
        <w:rPr>
          <w:rFonts w:ascii="Arial" w:cs="Arial" w:eastAsia="Arial" w:hAnsi="Arial"/>
          <w:b/>
          <w:bCs/>
          <w:sz w:val="22"/>
          <w:szCs w:val="22"/>
        </w:rPr>
        <w:t xml:space="preserve">accurate peak timing</w:t>
      </w:r>
      <w:r>
        <w:rPr>
          <w:rFonts w:ascii="Arial" w:cs="Arial" w:eastAsia="Arial" w:hAnsi="Arial"/>
          <w:sz w:val="22"/>
          <w:szCs w:val="22"/>
        </w:rPr>
        <w:t xml:space="preserve">: inhale 18–25 min before cannabis (not earlier)</w:t>
      </w:r>
    </w:p>
    <w:p>
      <w:pPr>
        <w:pStyle w:val="Heading2"/>
        <w:spacing w:after="120" w:before="240"/>
      </w:pPr>
      <w:r>
        <w:rPr>
          <w:rFonts w:ascii="Arial" w:cs="Arial" w:eastAsia="Arial" w:hAnsi="Arial"/>
          <w:b/>
          <w:bCs/>
          <w:color w:val="333333"/>
          <w:sz w:val="26"/>
          <w:szCs w:val="26"/>
        </w:rPr>
        <w:t xml:space="preserve">15.6 Potential Pitfalls &amp; Contraindications</w:t>
      </w:r>
    </w:p>
    <w:p>
      <w:pPr>
        <w:spacing w:after="100" w:before="200"/>
      </w:pPr>
      <w:r>
        <w:rPr>
          <w:rFonts w:ascii="Arial" w:cs="Arial" w:eastAsia="Arial" w:hAnsi="Arial"/>
          <w:b/>
          <w:bCs/>
          <w:color w:val="444444"/>
          <w:sz w:val="24"/>
          <w:szCs w:val="24"/>
        </w:rPr>
        <w:t xml:space="preserve">Respiratory Sensitivity</w:t>
      </w:r>
    </w:p>
    <w:p>
      <w:pPr>
        <w:spacing w:after="120" w:line="300"/>
      </w:pPr>
      <w:r>
        <w:rPr>
          <w:rFonts w:ascii="Arial" w:cs="Arial" w:eastAsia="Arial" w:hAnsi="Arial"/>
          <w:b/>
          <w:bCs/>
          <w:sz w:val="22"/>
          <w:szCs w:val="22"/>
        </w:rPr>
        <w:t xml:space="preserve">Risk</w:t>
      </w:r>
      <w:r>
        <w:rPr>
          <w:rFonts w:ascii="Arial" w:cs="Arial" w:eastAsia="Arial" w:hAnsi="Arial"/>
          <w:sz w:val="22"/>
          <w:szCs w:val="22"/>
        </w:rPr>
        <w:t xml:space="preserve">: 1,8-cineole inhalation can trigger bronchospasm in asthmatic or reactive airway disease individuals</w:t>
      </w:r>
    </w:p>
    <w:p>
      <w:pPr>
        <w:spacing w:after="120" w:line="300"/>
      </w:pPr>
      <w:r>
        <w:rPr>
          <w:rFonts w:ascii="Arial" w:cs="Arial" w:eastAsia="Arial" w:hAnsi="Arial"/>
          <w:b/>
          <w:bCs/>
          <w:sz w:val="22"/>
          <w:szCs w:val="22"/>
        </w:rPr>
        <w:t xml:space="preserve">Mitigation</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Start with </w:t>
      </w:r>
      <w:r>
        <w:rPr>
          <w:rFonts w:ascii="Arial" w:cs="Arial" w:eastAsia="Arial" w:hAnsi="Arial"/>
          <w:b/>
          <w:bCs/>
          <w:sz w:val="22"/>
          <w:szCs w:val="22"/>
        </w:rPr>
        <w:t xml:space="preserve">short duration (5 min)</w:t>
      </w:r>
      <w:r>
        <w:rPr>
          <w:rFonts w:ascii="Arial" w:cs="Arial" w:eastAsia="Arial" w:hAnsi="Arial"/>
          <w:sz w:val="22"/>
          <w:szCs w:val="22"/>
        </w:rPr>
        <w:t xml:space="preserve"> and observe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Use </w:t>
      </w:r>
      <w:r>
        <w:rPr>
          <w:rFonts w:ascii="Arial" w:cs="Arial" w:eastAsia="Arial" w:hAnsi="Arial"/>
          <w:b/>
          <w:bCs/>
          <w:sz w:val="22"/>
          <w:szCs w:val="22"/>
        </w:rPr>
        <w:t xml:space="preserve">steam method</w:t>
      </w:r>
      <w:r>
        <w:rPr>
          <w:rFonts w:ascii="Arial" w:cs="Arial" w:eastAsia="Arial" w:hAnsi="Arial"/>
          <w:sz w:val="22"/>
          <w:szCs w:val="22"/>
        </w:rPr>
        <w:t xml:space="preserve"> (more dilute) rather than diffuser</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Avoid </w:t>
      </w:r>
      <w:r>
        <w:rPr>
          <w:rFonts w:ascii="Arial" w:cs="Arial" w:eastAsia="Arial" w:hAnsi="Arial"/>
          <w:b/>
          <w:bCs/>
          <w:sz w:val="22"/>
          <w:szCs w:val="22"/>
        </w:rPr>
        <w:t xml:space="preserve">direct inhalation over neat oil</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Have </w:t>
      </w:r>
      <w:r>
        <w:rPr>
          <w:rFonts w:ascii="Arial" w:cs="Arial" w:eastAsia="Arial" w:hAnsi="Arial"/>
          <w:b/>
          <w:bCs/>
          <w:sz w:val="22"/>
          <w:szCs w:val="22"/>
        </w:rPr>
        <w:t xml:space="preserve">rescue inhaler accessible</w:t>
      </w:r>
      <w:r>
        <w:rPr>
          <w:rFonts w:ascii="Arial" w:cs="Arial" w:eastAsia="Arial" w:hAnsi="Arial"/>
          <w:sz w:val="22"/>
          <w:szCs w:val="22"/>
        </w:rPr>
        <w:t xml:space="preserve"> if at-risk</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Consider </w:t>
      </w:r>
      <w:r>
        <w:rPr>
          <w:rFonts w:ascii="Arial" w:cs="Arial" w:eastAsia="Arial" w:hAnsi="Arial"/>
          <w:b/>
          <w:bCs/>
          <w:sz w:val="22"/>
          <w:szCs w:val="22"/>
        </w:rPr>
        <w:t xml:space="preserve">oral pre-loading only</w:t>
      </w:r>
      <w:r>
        <w:rPr>
          <w:rFonts w:ascii="Arial" w:cs="Arial" w:eastAsia="Arial" w:hAnsi="Arial"/>
          <w:sz w:val="22"/>
          <w:szCs w:val="22"/>
        </w:rPr>
        <w:t xml:space="preserve"> (chai, tea) if respiratory symptoms develop</w:t>
      </w:r>
    </w:p>
    <w:p>
      <w:pPr>
        <w:spacing w:after="100" w:before="200"/>
      </w:pPr>
      <w:r>
        <w:rPr>
          <w:rFonts w:ascii="Arial" w:cs="Arial" w:eastAsia="Arial" w:hAnsi="Arial"/>
          <w:b/>
          <w:bCs/>
          <w:color w:val="444444"/>
          <w:sz w:val="24"/>
          <w:szCs w:val="24"/>
        </w:rPr>
        <w:t xml:space="preserve">Medication Interactions</w:t>
      </w:r>
    </w:p>
    <w:p>
      <w:pPr>
        <w:spacing w:after="120" w:line="300"/>
      </w:pPr>
      <w:r>
        <w:rPr>
          <w:rFonts w:ascii="Arial" w:cs="Arial" w:eastAsia="Arial" w:hAnsi="Arial"/>
          <w:b/>
          <w:bCs/>
          <w:sz w:val="22"/>
          <w:szCs w:val="22"/>
        </w:rPr>
        <w:t xml:space="preserve">Risk</w:t>
      </w:r>
      <w:r>
        <w:rPr>
          <w:rFonts w:ascii="Arial" w:cs="Arial" w:eastAsia="Arial" w:hAnsi="Arial"/>
          <w:sz w:val="22"/>
          <w:szCs w:val="22"/>
        </w:rPr>
        <w:t xml:space="preserve">: CYP3A4 induction/inhibition could affect drug metabolism</w:t>
      </w:r>
    </w:p>
    <w:p>
      <w:pPr>
        <w:spacing w:after="120" w:line="300"/>
      </w:pPr>
      <w:r>
        <w:rPr>
          <w:rFonts w:ascii="Arial" w:cs="Arial" w:eastAsia="Arial" w:hAnsi="Arial"/>
          <w:b/>
          <w:bCs/>
          <w:sz w:val="22"/>
          <w:szCs w:val="22"/>
        </w:rPr>
        <w:t xml:space="preserve">Mitigation</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Review medications with </w:t>
      </w:r>
      <w:r>
        <w:rPr>
          <w:rFonts w:ascii="Arial" w:cs="Arial" w:eastAsia="Arial" w:hAnsi="Arial"/>
          <w:b/>
          <w:bCs/>
          <w:sz w:val="22"/>
          <w:szCs w:val="22"/>
        </w:rPr>
        <w:t xml:space="preserve">pharmacist or physician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If on CYP3A4 drugs, </w:t>
      </w:r>
      <w:r>
        <w:rPr>
          <w:rFonts w:ascii="Arial" w:cs="Arial" w:eastAsia="Arial" w:hAnsi="Arial"/>
          <w:b/>
          <w:bCs/>
          <w:sz w:val="22"/>
          <w:szCs w:val="22"/>
        </w:rPr>
        <w:t xml:space="preserve">space dosing 2+ hours apart</w:t>
      </w:r>
      <w:r>
        <w:rPr>
          <w:rFonts w:ascii="Arial" w:cs="Arial" w:eastAsia="Arial" w:hAnsi="Arial"/>
          <w:sz w:val="22"/>
          <w:szCs w:val="22"/>
        </w:rPr>
        <w:t xml:space="preserve"> from 1,8-cineole inhalation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Monitor for </w:t>
      </w:r>
      <w:r>
        <w:rPr>
          <w:rFonts w:ascii="Arial" w:cs="Arial" w:eastAsia="Arial" w:hAnsi="Arial"/>
          <w:b/>
          <w:bCs/>
          <w:sz w:val="22"/>
          <w:szCs w:val="22"/>
        </w:rPr>
        <w:t xml:space="preserve">changes in drug efficacy</w:t>
      </w:r>
      <w:r>
        <w:rPr>
          <w:rFonts w:ascii="Arial" w:cs="Arial" w:eastAsia="Arial" w:hAnsi="Arial"/>
          <w:sz w:val="22"/>
          <w:szCs w:val="22"/>
        </w:rPr>
        <w:t xml:space="preserve"> (e.g., statin effectiveness, immunosuppressant levels)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Start with short pre-loading duration (10 min) to assess tolerance</w:t>
      </w:r>
    </w:p>
    <w:p>
      <w:pPr>
        <w:spacing w:after="100" w:before="200"/>
      </w:pPr>
      <w:r>
        <w:rPr>
          <w:rFonts w:ascii="Arial" w:cs="Arial" w:eastAsia="Arial" w:hAnsi="Arial"/>
          <w:b/>
          <w:bCs/>
          <w:color w:val="444444"/>
          <w:sz w:val="24"/>
          <w:szCs w:val="24"/>
        </w:rPr>
        <w:t xml:space="preserve">Allergy/Sensitivity</w:t>
      </w:r>
    </w:p>
    <w:p>
      <w:pPr>
        <w:spacing w:after="120" w:line="300"/>
      </w:pPr>
      <w:r>
        <w:rPr>
          <w:rFonts w:ascii="Arial" w:cs="Arial" w:eastAsia="Arial" w:hAnsi="Arial"/>
          <w:b/>
          <w:bCs/>
          <w:sz w:val="22"/>
          <w:szCs w:val="22"/>
        </w:rPr>
        <w:t xml:space="preserve">Risk</w:t>
      </w:r>
      <w:r>
        <w:rPr>
          <w:rFonts w:ascii="Arial" w:cs="Arial" w:eastAsia="Arial" w:hAnsi="Arial"/>
          <w:sz w:val="22"/>
          <w:szCs w:val="22"/>
        </w:rPr>
        <w:t xml:space="preserve">: Rare but possible contact dermatitis or respiratory allergy to 1,8-cineole or botanical components</w:t>
      </w:r>
    </w:p>
    <w:p>
      <w:pPr>
        <w:spacing w:after="120" w:line="300"/>
      </w:pPr>
      <w:r>
        <w:rPr>
          <w:rFonts w:ascii="Arial" w:cs="Arial" w:eastAsia="Arial" w:hAnsi="Arial"/>
          <w:b/>
          <w:bCs/>
          <w:sz w:val="22"/>
          <w:szCs w:val="22"/>
        </w:rPr>
        <w:t xml:space="preserve">Mitigation</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Perform </w:t>
      </w:r>
      <w:r>
        <w:rPr>
          <w:rFonts w:ascii="Arial" w:cs="Arial" w:eastAsia="Arial" w:hAnsi="Arial"/>
          <w:b/>
          <w:bCs/>
          <w:sz w:val="22"/>
          <w:szCs w:val="22"/>
        </w:rPr>
        <w:t xml:space="preserve">patch test</w:t>
      </w:r>
      <w:r>
        <w:rPr>
          <w:rFonts w:ascii="Arial" w:cs="Arial" w:eastAsia="Arial" w:hAnsi="Arial"/>
          <w:sz w:val="22"/>
          <w:szCs w:val="22"/>
        </w:rPr>
        <w:t xml:space="preserve"> on inner arm 24 hours before first use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Start with </w:t>
      </w:r>
      <w:r>
        <w:rPr>
          <w:rFonts w:ascii="Arial" w:cs="Arial" w:eastAsia="Arial" w:hAnsi="Arial"/>
          <w:b/>
          <w:bCs/>
          <w:sz w:val="22"/>
          <w:szCs w:val="22"/>
        </w:rPr>
        <w:t xml:space="preserve">brief inhalation (5 min)</w:t>
      </w:r>
      <w:r>
        <w:rPr>
          <w:rFonts w:ascii="Arial" w:cs="Arial" w:eastAsia="Arial" w:hAnsi="Arial"/>
          <w:sz w:val="22"/>
          <w:szCs w:val="22"/>
        </w:rPr>
        <w:t xml:space="preserve"> with a friend present</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Have </w:t>
      </w:r>
      <w:r>
        <w:rPr>
          <w:rFonts w:ascii="Arial" w:cs="Arial" w:eastAsia="Arial" w:hAnsi="Arial"/>
          <w:b/>
          <w:bCs/>
          <w:sz w:val="22"/>
          <w:szCs w:val="22"/>
        </w:rPr>
        <w:t xml:space="preserve">antihistamine available</w:t>
      </w:r>
      <w:r>
        <w:rPr>
          <w:rFonts w:ascii="Arial" w:cs="Arial" w:eastAsia="Arial" w:hAnsi="Arial"/>
          <w:sz w:val="22"/>
          <w:szCs w:val="22"/>
        </w:rPr>
        <w:t xml:space="preserve"> in case of reaction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Stop immediately if rash, swelling, or respiratory distress develops</w:t>
      </w:r>
    </w:p>
    <w:p>
      <w:pPr>
        <w:spacing w:after="100" w:before="200"/>
      </w:pPr>
      <w:r>
        <w:rPr>
          <w:rFonts w:ascii="Arial" w:cs="Arial" w:eastAsia="Arial" w:hAnsi="Arial"/>
          <w:b/>
          <w:bCs/>
          <w:color w:val="444444"/>
          <w:sz w:val="24"/>
          <w:szCs w:val="24"/>
        </w:rPr>
        <w:t xml:space="preserve">Expectancy Bias</w:t>
      </w:r>
    </w:p>
    <w:p>
      <w:pPr>
        <w:spacing w:after="120" w:line="300"/>
      </w:pPr>
      <w:r>
        <w:rPr>
          <w:rFonts w:ascii="Arial" w:cs="Arial" w:eastAsia="Arial" w:hAnsi="Arial"/>
          <w:b/>
          <w:bCs/>
          <w:sz w:val="22"/>
          <w:szCs w:val="22"/>
        </w:rPr>
        <w:t xml:space="preserve">Risk</w:t>
      </w:r>
      <w:r>
        <w:rPr>
          <w:rFonts w:ascii="Arial" w:cs="Arial" w:eastAsia="Arial" w:hAnsi="Arial"/>
          <w:sz w:val="22"/>
          <w:szCs w:val="22"/>
        </w:rPr>
        <w:t xml:space="preserve">: Over-attribution of effects to pre-loading due to positive expectancy</w:t>
      </w:r>
    </w:p>
    <w:p>
      <w:pPr>
        <w:spacing w:after="120" w:line="300"/>
      </w:pPr>
      <w:r>
        <w:rPr>
          <w:rFonts w:ascii="Arial" w:cs="Arial" w:eastAsia="Arial" w:hAnsi="Arial"/>
          <w:b/>
          <w:bCs/>
          <w:sz w:val="22"/>
          <w:szCs w:val="22"/>
        </w:rPr>
        <w:t xml:space="preserve">Mitigation</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Use </w:t>
      </w:r>
      <w:r>
        <w:rPr>
          <w:rFonts w:ascii="Arial" w:cs="Arial" w:eastAsia="Arial" w:hAnsi="Arial"/>
          <w:b/>
          <w:bCs/>
          <w:sz w:val="22"/>
          <w:szCs w:val="22"/>
        </w:rPr>
        <w:t xml:space="preserve">control sessions</w:t>
      </w:r>
      <w:r>
        <w:rPr>
          <w:rFonts w:ascii="Arial" w:cs="Arial" w:eastAsia="Arial" w:hAnsi="Arial"/>
          <w:sz w:val="22"/>
          <w:szCs w:val="22"/>
        </w:rPr>
        <w:t xml:space="preserve"> (inhale non-cineole oil on some occasions)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Track effects in </w:t>
      </w:r>
      <w:r>
        <w:rPr>
          <w:rFonts w:ascii="Arial" w:cs="Arial" w:eastAsia="Arial" w:hAnsi="Arial"/>
          <w:b/>
          <w:bCs/>
          <w:sz w:val="22"/>
          <w:szCs w:val="22"/>
        </w:rPr>
        <w:t xml:space="preserve">journal</w:t>
      </w:r>
      <w:r>
        <w:rPr>
          <w:rFonts w:ascii="Arial" w:cs="Arial" w:eastAsia="Arial" w:hAnsi="Arial"/>
          <w:sz w:val="22"/>
          <w:szCs w:val="22"/>
        </w:rPr>
        <w:t xml:space="preserve"> (subjective reports, objective outcomes like memory tests)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Maintain </w:t>
      </w:r>
      <w:r>
        <w:rPr>
          <w:rFonts w:ascii="Arial" w:cs="Arial" w:eastAsia="Arial" w:hAnsi="Arial"/>
          <w:b/>
          <w:bCs/>
          <w:sz w:val="22"/>
          <w:szCs w:val="22"/>
        </w:rPr>
        <w:t xml:space="preserve">realistic expectations</w:t>
      </w:r>
      <w:r>
        <w:rPr>
          <w:rFonts w:ascii="Arial" w:cs="Arial" w:eastAsia="Arial" w:hAnsi="Arial"/>
          <w:sz w:val="22"/>
          <w:szCs w:val="22"/>
        </w:rPr>
        <w:t xml:space="preserve"> (pre-loading is enhancement, not transformation)</w:t>
      </w:r>
    </w:p>
    <w:p>
      <w:pPr>
        <w:pStyle w:val="Heading2"/>
        <w:spacing w:after="120" w:before="240"/>
      </w:pPr>
      <w:r>
        <w:rPr>
          <w:rFonts w:ascii="Arial" w:cs="Arial" w:eastAsia="Arial" w:hAnsi="Arial"/>
          <w:b/>
          <w:bCs/>
          <w:color w:val="333333"/>
          <w:sz w:val="26"/>
          <w:szCs w:val="26"/>
        </w:rPr>
        <w:t xml:space="preserve">15.7 Integration into Cannabis Ritual</w:t>
      </w:r>
    </w:p>
    <w:p>
      <w:pPr>
        <w:spacing w:after="100" w:before="200"/>
      </w:pPr>
      <w:r>
        <w:rPr>
          <w:rFonts w:ascii="Arial" w:cs="Arial" w:eastAsia="Arial" w:hAnsi="Arial"/>
          <w:b/>
          <w:bCs/>
          <w:color w:val="444444"/>
          <w:sz w:val="24"/>
          <w:szCs w:val="24"/>
        </w:rPr>
        <w:t xml:space="preserve">Pre-Loading as Mindfulness Practice</w:t>
      </w:r>
    </w:p>
    <w:p>
      <w:pPr>
        <w:spacing w:after="120" w:line="300"/>
      </w:pPr>
      <w:r>
        <w:rPr>
          <w:rFonts w:ascii="Arial" w:cs="Arial" w:eastAsia="Arial" w:hAnsi="Arial"/>
          <w:sz w:val="22"/>
          <w:szCs w:val="22"/>
        </w:rPr>
        <w:t xml:space="preserve">Pre-loading can become a </w:t>
      </w:r>
      <w:r>
        <w:rPr>
          <w:rFonts w:ascii="Arial" w:cs="Arial" w:eastAsia="Arial" w:hAnsi="Arial"/>
          <w:b/>
          <w:bCs/>
          <w:sz w:val="22"/>
          <w:szCs w:val="22"/>
        </w:rPr>
        <w:t xml:space="preserve">grounding ritual</w:t>
      </w:r>
      <w:r>
        <w:rPr>
          <w:rFonts w:ascii="Arial" w:cs="Arial" w:eastAsia="Arial" w:hAnsi="Arial"/>
          <w:sz w:val="22"/>
          <w:szCs w:val="22"/>
        </w:rPr>
        <w:t xml:space="preserve"> that enhances the overall cannabis experience:</w:t>
      </w:r>
    </w:p>
    <w:p>
      <w:pPr>
        <w:spacing w:after="120" w:line="300"/>
      </w:pPr>
      <w:r>
        <w:rPr>
          <w:rFonts w:ascii="Arial" w:cs="Arial" w:eastAsia="Arial" w:hAnsi="Arial"/>
          <w:b/>
          <w:bCs/>
          <w:sz w:val="22"/>
          <w:szCs w:val="22"/>
        </w:rPr>
        <w:t xml:space="preserve">30-Minute Pre-Loading Ritual</w:t>
      </w:r>
      <w:r>
        <w:rPr>
          <w:rFonts w:ascii="Arial" w:cs="Arial" w:eastAsia="Arial" w:hAnsi="Arial"/>
          <w:sz w:val="22"/>
          <w:szCs w:val="22"/>
        </w:rPr>
        <w:t xml:space="preserv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312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Activity</w:t>
            </w:r>
          </w:p>
        </w:tc>
        <w:tc>
          <w:tcPr>
            <w:tcW w:type="dxa" w:w="3120"/>
            <w:tcBorders>
              <w:top w:val="single" w:color="CCCCCC" w:sz="1"/>
              <w:left w:val="single" w:color="CCCCCC" w:sz="1"/>
              <w:bottom w:val="single" w:color="CCCCCC" w:sz="1"/>
              <w:right w:val="single" w:color="CCCCCC" w:sz="1"/>
            </w:tcBorders>
            <w:shd w:fill="00838F"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-30 min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Set intention (journal, meditation)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Mental priming</w:t>
            </w:r>
          </w:p>
        </w:tc>
      </w:tr>
      <w:tr>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-25 min</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Begin botanical oil inhalation (diffuser or tissue)</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Pharmacological priming; olfactory anchoring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 min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Continue inhalation; transition to final preparation (water, comfortable seating)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Sustained absorption; environmental preparation</w:t>
            </w:r>
          </w:p>
        </w:tc>
      </w:tr>
      <w:tr>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-5 min</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Complete inhalation; pause for breath awareness</w:t>
            </w:r>
          </w:p>
        </w:tc>
        <w:tc>
          <w:tcPr>
            <w:tcW w:type="dxa" w:w="3120"/>
            <w:tcBorders>
              <w:top w:val="single" w:color="CCCCCC" w:sz="1"/>
              <w:left w:val="single" w:color="CCCCCC" w:sz="1"/>
              <w:bottom w:val="single" w:color="CCCCCC" w:sz="1"/>
              <w:right w:val="single" w:color="CCCCCC" w:sz="1"/>
            </w:tcBorders>
            <w:shd w:fill="E0F7FA" w:val="clear"/>
            <w:tcMar>
              <w:top w:type="dxa" w:w="60"/>
              <w:left w:type="dxa" w:w="100"/>
              <w:bottom w:type="dxa" w:w="60"/>
              <w:right w:type="dxa" w:w="100"/>
            </w:tcMar>
          </w:tcPr>
          <w:p>
            <w:r>
              <w:rPr>
                <w:rFonts w:ascii="Arial" w:cs="Arial" w:eastAsia="Arial" w:hAnsi="Arial"/>
                <w:b w:val="false"/>
                <w:bCs w:val="false"/>
                <w:color w:val="333333"/>
                <w:sz w:val="20"/>
                <w:szCs w:val="20"/>
              </w:rPr>
              <w:t xml:space="preserve">Peak absorption window; present-moment focus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 min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Consume cannabis (vape, smoke, or sublingual)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Synergistic receptor priming</w:t>
            </w:r>
          </w:p>
        </w:tc>
      </w:tr>
    </w:tbl>
    <w:p>
      <w:pPr>
        <w:spacing w:after="120"/>
      </w:pPr>
    </w:p>
    <w:p>
      <w:pPr>
        <w:spacing w:after="100" w:before="200"/>
      </w:pPr>
      <w:r>
        <w:rPr>
          <w:rFonts w:ascii="Arial" w:cs="Arial" w:eastAsia="Arial" w:hAnsi="Arial"/>
          <w:b/>
          <w:bCs/>
          <w:color w:val="444444"/>
          <w:sz w:val="24"/>
          <w:szCs w:val="24"/>
        </w:rPr>
        <w:t xml:space="preserve">Sensory Cohesion</w:t>
      </w:r>
    </w:p>
    <w:p>
      <w:pPr>
        <w:spacing w:after="120" w:line="300"/>
      </w:pPr>
      <w:r>
        <w:rPr>
          <w:rFonts w:ascii="Arial" w:cs="Arial" w:eastAsia="Arial" w:hAnsi="Arial"/>
          <w:b/>
          <w:bCs/>
          <w:sz w:val="22"/>
          <w:szCs w:val="22"/>
        </w:rPr>
        <w:t xml:space="preserve">Terpene-Matching Enhancement</w:t>
      </w:r>
      <w:r>
        <w:rPr>
          <w:rFonts w:ascii="Arial" w:cs="Arial" w:eastAsia="Arial" w:hAnsi="Arial"/>
          <w:sz w:val="22"/>
          <w:szCs w:val="22"/>
        </w:rPr>
        <w:t xml:space="preserve">: If pre-loading botanical matches cannabis strain's terpene profile, the </w:t>
      </w:r>
      <w:r>
        <w:rPr>
          <w:rFonts w:ascii="Arial" w:cs="Arial" w:eastAsia="Arial" w:hAnsi="Arial"/>
          <w:b/>
          <w:bCs/>
          <w:sz w:val="22"/>
          <w:szCs w:val="22"/>
        </w:rPr>
        <w:t xml:space="preserve">olfactory-gustatory progression</w:t>
      </w:r>
      <w:r>
        <w:rPr>
          <w:rFonts w:ascii="Arial" w:cs="Arial" w:eastAsia="Arial" w:hAnsi="Arial"/>
          <w:sz w:val="22"/>
          <w:szCs w:val="22"/>
        </w:rPr>
        <w:t xml:space="preserve"> becomes seamless:</w:t>
      </w:r>
    </w:p>
    <w:p>
      <w:pPr>
        <w:spacing w:after="120" w:line="300"/>
      </w:pPr>
      <w:r>
        <w:rPr>
          <w:rFonts w:ascii="Arial" w:cs="Arial" w:eastAsia="Arial" w:hAnsi="Arial"/>
          <w:sz w:val="22"/>
          <w:szCs w:val="22"/>
        </w:rPr>
        <w:t xml:space="preserve">Example: Rosemary pre-load → α-pinene/cineole-dominant strain → congruent aroma/flavor experience → enhanced sensory coherence</w:t>
      </w:r>
    </w:p>
    <w:p>
      <w:pPr>
        <w:spacing w:after="120" w:line="300"/>
      </w:pPr>
      <w:r>
        <w:rPr>
          <w:rFonts w:ascii="Arial" w:cs="Arial" w:eastAsia="Arial" w:hAnsi="Arial"/>
          <w:sz w:val="22"/>
          <w:szCs w:val="22"/>
        </w:rPr>
        <w:t xml:space="preserve">This </w:t>
      </w:r>
      <w:r>
        <w:rPr>
          <w:rFonts w:ascii="Arial" w:cs="Arial" w:eastAsia="Arial" w:hAnsi="Arial"/>
          <w:b/>
          <w:bCs/>
          <w:sz w:val="22"/>
          <w:szCs w:val="22"/>
        </w:rPr>
        <w:t xml:space="preserve">aesthetic congruence</w:t>
      </w:r>
      <w:r>
        <w:rPr>
          <w:rFonts w:ascii="Arial" w:cs="Arial" w:eastAsia="Arial" w:hAnsi="Arial"/>
          <w:sz w:val="22"/>
          <w:szCs w:val="22"/>
        </w:rPr>
        <w:t xml:space="preserve"> may amplify perceived effects through </w:t>
      </w:r>
      <w:r>
        <w:rPr>
          <w:rFonts w:ascii="Arial" w:cs="Arial" w:eastAsia="Arial" w:hAnsi="Arial"/>
          <w:b/>
          <w:bCs/>
          <w:sz w:val="22"/>
          <w:szCs w:val="22"/>
        </w:rPr>
        <w:t xml:space="preserve">multimodal sensory integration</w:t>
      </w:r>
      <w:r>
        <w:rPr>
          <w:rFonts w:ascii="Arial" w:cs="Arial" w:eastAsia="Arial" w:hAnsi="Arial"/>
          <w:sz w:val="22"/>
          <w:szCs w:val="22"/>
        </w:rPr>
        <w:t xml:space="preserve"> (sight, smell, taste, proprioception).</w:t>
      </w:r>
    </w:p>
    <w:p>
      <w:pPr>
        <w:spacing w:after="100" w:before="200"/>
      </w:pPr>
      <w:r>
        <w:rPr>
          <w:rFonts w:ascii="Arial" w:cs="Arial" w:eastAsia="Arial" w:hAnsi="Arial"/>
          <w:b/>
          <w:bCs/>
          <w:color w:val="444444"/>
          <w:sz w:val="24"/>
          <w:szCs w:val="24"/>
        </w:rPr>
        <w:t xml:space="preserve">Social &amp; Ceremonial Context</w:t>
      </w:r>
    </w:p>
    <w:p>
      <w:pPr>
        <w:spacing w:after="120" w:line="300"/>
      </w:pPr>
      <w:r>
        <w:rPr>
          <w:rFonts w:ascii="Arial" w:cs="Arial" w:eastAsia="Arial" w:hAnsi="Arial"/>
          <w:sz w:val="22"/>
          <w:szCs w:val="22"/>
        </w:rPr>
        <w:t xml:space="preserve">Pre-loading can be incorporated into </w:t>
      </w:r>
      <w:r>
        <w:rPr>
          <w:rFonts w:ascii="Arial" w:cs="Arial" w:eastAsia="Arial" w:hAnsi="Arial"/>
          <w:b/>
          <w:bCs/>
          <w:sz w:val="22"/>
          <w:szCs w:val="22"/>
        </w:rPr>
        <w:t xml:space="preserve">social cannabis use</w:t>
      </w:r>
      <w:r>
        <w:rPr>
          <w:rFonts w:ascii="Arial" w:cs="Arial" w:eastAsia="Arial" w:hAnsi="Arial"/>
          <w:sz w:val="22"/>
          <w:szCs w:val="22"/>
        </w:rPr>
        <w:t xml:space="preserv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Group pre-loading session with diffuser in shared space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Creates </w:t>
      </w:r>
      <w:r>
        <w:rPr>
          <w:rFonts w:ascii="Arial" w:cs="Arial" w:eastAsia="Arial" w:hAnsi="Arial"/>
          <w:b/>
          <w:bCs/>
          <w:sz w:val="22"/>
          <w:szCs w:val="22"/>
        </w:rPr>
        <w:t xml:space="preserve">collective aromatic atmosphere</w:t>
      </w:r>
      <w:r>
        <w:rPr>
          <w:rFonts w:ascii="Arial" w:cs="Arial" w:eastAsia="Arial" w:hAnsi="Arial"/>
          <w:sz w:val="22"/>
          <w:szCs w:val="22"/>
        </w:rPr>
        <w:t xml:space="preserve"> and expectancy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Ritual cohesion enhances group experience</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838F"/>
          <w:sz w:val="30"/>
          <w:szCs w:val="30"/>
        </w:rPr>
        <w:t xml:space="preserve">Summary &amp; Conclusion</w:t>
      </w:r>
    </w:p>
    <w:p>
      <w:pPr>
        <w:pStyle w:val="Heading2"/>
        <w:spacing w:after="120" w:before="240"/>
      </w:pPr>
      <w:r>
        <w:rPr>
          <w:rFonts w:ascii="Arial" w:cs="Arial" w:eastAsia="Arial" w:hAnsi="Arial"/>
          <w:b/>
          <w:bCs/>
          <w:color w:val="333333"/>
          <w:sz w:val="26"/>
          <w:szCs w:val="26"/>
        </w:rPr>
        <w:t xml:space="preserve">1,8-Cineole as the Paradigmatic Pre-Loading Terpene</w:t>
      </w:r>
    </w:p>
    <w:p>
      <w:pPr>
        <w:spacing w:after="120" w:line="300"/>
      </w:pPr>
      <w:r>
        <w:rPr>
          <w:rFonts w:ascii="Arial" w:cs="Arial" w:eastAsia="Arial" w:hAnsi="Arial"/>
          <w:sz w:val="22"/>
          <w:szCs w:val="22"/>
        </w:rPr>
        <w:t xml:space="preserve">1,8-cineole (eucalyptol) emerges as the </w:t>
      </w:r>
      <w:r>
        <w:rPr>
          <w:rFonts w:ascii="Arial" w:cs="Arial" w:eastAsia="Arial" w:hAnsi="Arial"/>
          <w:b/>
          <w:bCs/>
          <w:sz w:val="22"/>
          <w:szCs w:val="22"/>
        </w:rPr>
        <w:t xml:space="preserve">scientifically validated, botanically abundant, and empirically time-tested choice</w:t>
      </w:r>
      <w:r>
        <w:rPr>
          <w:rFonts w:ascii="Arial" w:cs="Arial" w:eastAsia="Arial" w:hAnsi="Arial"/>
          <w:sz w:val="22"/>
          <w:szCs w:val="22"/>
        </w:rPr>
        <w:t xml:space="preserve"> for cannabis pre-loading because: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Proven CNS Effect</w:t>
      </w:r>
      <w:r>
        <w:rPr>
          <w:rFonts w:ascii="Arial" w:cs="Arial" w:eastAsia="Arial" w:hAnsi="Arial"/>
          <w:sz w:val="22"/>
          <w:szCs w:val="22"/>
        </w:rPr>
        <w:t xml:space="preserve"> — Moss &amp; Oliver 2012 directly demonstrated that inhaled 1,8-cineole crosses the BBB and improves human cognitive performance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Optimal Kinetics</w:t>
      </w:r>
      <w:r>
        <w:rPr>
          <w:rFonts w:ascii="Arial" w:cs="Arial" w:eastAsia="Arial" w:hAnsi="Arial"/>
          <w:sz w:val="22"/>
          <w:szCs w:val="22"/>
        </w:rPr>
        <w:t xml:space="preserve"> — 14–19 minute peak plasma time aligns perfectly with pre-loading window</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Multi-System Benefit</w:t>
      </w:r>
      <w:r>
        <w:rPr>
          <w:rFonts w:ascii="Arial" w:cs="Arial" w:eastAsia="Arial" w:hAnsi="Arial"/>
          <w:sz w:val="22"/>
          <w:szCs w:val="22"/>
        </w:rPr>
        <w:t xml:space="preserve"> — Simultaneous bronchodilation, anti-inflammation, antimicrobial, and neuroprotective effects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Botanical Availability</w:t>
      </w:r>
      <w:r>
        <w:rPr>
          <w:rFonts w:ascii="Arial" w:cs="Arial" w:eastAsia="Arial" w:hAnsi="Arial"/>
          <w:sz w:val="22"/>
          <w:szCs w:val="22"/>
        </w:rPr>
        <w:t xml:space="preserve"> — Abundant in eucalyptus (70–90%), rosemary (40–55%), cardamom (40–73%), and other culinary/medicinal plants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Historical Validation</w:t>
      </w:r>
      <w:r>
        <w:rPr>
          <w:rFonts w:ascii="Arial" w:cs="Arial" w:eastAsia="Arial" w:hAnsi="Arial"/>
          <w:sz w:val="22"/>
          <w:szCs w:val="22"/>
        </w:rPr>
        <w:t xml:space="preserve"> — 40,000+ years of Aboriginal, 5,000+ years of Ayurvedic, and centuries of European use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Regulatory Recognition</w:t>
      </w:r>
      <w:r>
        <w:rPr>
          <w:rFonts w:ascii="Arial" w:cs="Arial" w:eastAsia="Arial" w:hAnsi="Arial"/>
          <w:sz w:val="22"/>
          <w:szCs w:val="22"/>
        </w:rPr>
        <w:t xml:space="preserve"> — Licensed pharmaceutical products (Soledum) in strict regulatory environments (Germany)</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Safety Profile</w:t>
      </w:r>
      <w:r>
        <w:rPr>
          <w:rFonts w:ascii="Arial" w:cs="Arial" w:eastAsia="Arial" w:hAnsi="Arial"/>
          <w:sz w:val="22"/>
          <w:szCs w:val="22"/>
        </w:rPr>
        <w:t xml:space="preserve"> — Non-toxic at typical pre-loading doses; well-tolerated in millions of users globally</w:t>
      </w:r>
    </w:p>
    <w:p>
      <w:pPr>
        <w:pStyle w:val="Heading2"/>
        <w:spacing w:after="120" w:before="240"/>
      </w:pPr>
      <w:r>
        <w:rPr>
          <w:rFonts w:ascii="Arial" w:cs="Arial" w:eastAsia="Arial" w:hAnsi="Arial"/>
          <w:b/>
          <w:bCs/>
          <w:color w:val="333333"/>
          <w:sz w:val="26"/>
          <w:szCs w:val="26"/>
        </w:rPr>
        <w:t xml:space="preserve">Practical Recommendations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Optimal Window</w:t>
      </w:r>
      <w:r>
        <w:rPr>
          <w:rFonts w:ascii="Arial" w:cs="Arial" w:eastAsia="Arial" w:hAnsi="Arial"/>
          <w:sz w:val="22"/>
          <w:szCs w:val="22"/>
        </w:rPr>
        <w:t xml:space="preserve">: Inhale for 15–20 minutes, then consume cannabis 5–10 minutes later</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Botanical Selection</w:t>
      </w:r>
      <w:r>
        <w:rPr>
          <w:rFonts w:ascii="Arial" w:cs="Arial" w:eastAsia="Arial" w:hAnsi="Arial"/>
          <w:sz w:val="22"/>
          <w:szCs w:val="22"/>
        </w:rPr>
        <w:t xml:space="preserve">: Rosemary ct. cineole (best all-around) or eucalyptus globulus (strongest effect)</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Duration</w:t>
      </w:r>
      <w:r>
        <w:rPr>
          <w:rFonts w:ascii="Arial" w:cs="Arial" w:eastAsia="Arial" w:hAnsi="Arial"/>
          <w:sz w:val="22"/>
          <w:szCs w:val="22"/>
        </w:rPr>
        <w:t xml:space="preserve">: 10–20 minutes inhalation per session; daily use safe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Method</w:t>
      </w:r>
      <w:r>
        <w:rPr>
          <w:rFonts w:ascii="Arial" w:cs="Arial" w:eastAsia="Arial" w:hAnsi="Arial"/>
          <w:sz w:val="22"/>
          <w:szCs w:val="22"/>
        </w:rPr>
        <w:t xml:space="preserve">: Diffuser, steam inhalation, or tissue-based; avoid direct neat oil exposure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Strain-Matching</w:t>
      </w:r>
      <w:r>
        <w:rPr>
          <w:rFonts w:ascii="Arial" w:cs="Arial" w:eastAsia="Arial" w:hAnsi="Arial"/>
          <w:sz w:val="22"/>
          <w:szCs w:val="22"/>
        </w:rPr>
        <w:t xml:space="preserve">: Select botanicals that complement cannabis strain's terpene profile for maximum synergy</w:t>
      </w:r>
    </w:p>
    <w:p>
      <w:pPr>
        <w:pStyle w:val="Heading2"/>
        <w:spacing w:after="120" w:before="240"/>
      </w:pPr>
      <w:r>
        <w:rPr>
          <w:rFonts w:ascii="Arial" w:cs="Arial" w:eastAsia="Arial" w:hAnsi="Arial"/>
          <w:b/>
          <w:bCs/>
          <w:color w:val="333333"/>
          <w:sz w:val="26"/>
          <w:szCs w:val="26"/>
        </w:rPr>
        <w:t xml:space="preserve">Future Research Directions</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Human clinical trials</w:t>
      </w:r>
      <w:r>
        <w:rPr>
          <w:rFonts w:ascii="Arial" w:cs="Arial" w:eastAsia="Arial" w:hAnsi="Arial"/>
          <w:sz w:val="22"/>
          <w:szCs w:val="22"/>
        </w:rPr>
        <w:t xml:space="preserve"> comparing pre-loaded vs. non-pre-loaded cannabis consumption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Neuroimaging studies</w:t>
      </w:r>
      <w:r>
        <w:rPr>
          <w:rFonts w:ascii="Arial" w:cs="Arial" w:eastAsia="Arial" w:hAnsi="Arial"/>
          <w:sz w:val="22"/>
          <w:szCs w:val="22"/>
        </w:rPr>
        <w:t xml:space="preserve"> (fMRI, PET) of 1,8-cineole + THC/CBD interactions in human brain</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Bioavailability studies</w:t>
      </w:r>
      <w:r>
        <w:rPr>
          <w:rFonts w:ascii="Arial" w:cs="Arial" w:eastAsia="Arial" w:hAnsi="Arial"/>
          <w:sz w:val="22"/>
          <w:szCs w:val="22"/>
        </w:rPr>
        <w:t xml:space="preserve"> of 1,8-cineole inhalation with cannabis vapor/smoke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Individual pharmacogenomics</w:t>
      </w:r>
      <w:r>
        <w:rPr>
          <w:rFonts w:ascii="Arial" w:cs="Arial" w:eastAsia="Arial" w:hAnsi="Arial"/>
          <w:sz w:val="22"/>
          <w:szCs w:val="22"/>
        </w:rPr>
        <w:t xml:space="preserve"> linking CYP3A4 variants to pre-loading response</w:t>
      </w:r>
    </w:p>
    <w:p>
      <w:pPr>
        <w:spacing w:after="80" w:line="276"/>
        <w:ind w:left="360" w:hanging="180"/>
      </w:pPr>
      <w:r>
        <w:rPr>
          <w:rFonts w:ascii="Arial" w:cs="Arial" w:eastAsia="Arial" w:hAnsi="Arial"/>
          <w:color w:val="00838F"/>
          <w:sz w:val="22"/>
          <w:szCs w:val="22"/>
        </w:rPr>
        <w:t xml:space="preserve">•  </w:t>
      </w:r>
      <w:r>
        <w:rPr>
          <w:rFonts w:ascii="Arial" w:cs="Arial" w:eastAsia="Arial" w:hAnsi="Arial"/>
          <w:b/>
          <w:bCs/>
          <w:sz w:val="22"/>
          <w:szCs w:val="22"/>
        </w:rPr>
        <w:t xml:space="preserve">Blinded, controlled pre-loading trials</w:t>
      </w:r>
      <w:r>
        <w:rPr>
          <w:rFonts w:ascii="Arial" w:cs="Arial" w:eastAsia="Arial" w:hAnsi="Arial"/>
          <w:sz w:val="22"/>
          <w:szCs w:val="22"/>
        </w:rPr>
        <w:t xml:space="preserve"> in cannabis-using populations to quantify cognitive, anxiolytic, and therapeutic effects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0838F"/>
          <w:sz w:val="30"/>
          <w:szCs w:val="30"/>
        </w:rPr>
        <w:t xml:space="preserve">References</w:t>
      </w:r>
    </w:p>
    <w:p>
      <w:pPr>
        <w:pStyle w:val="Heading2"/>
        <w:spacing w:after="120" w:before="240"/>
      </w:pPr>
      <w:r>
        <w:rPr>
          <w:rFonts w:ascii="Arial" w:cs="Arial" w:eastAsia="Arial" w:hAnsi="Arial"/>
          <w:b/>
          <w:bCs/>
          <w:color w:val="333333"/>
          <w:sz w:val="26"/>
          <w:szCs w:val="26"/>
        </w:rPr>
        <w:t xml:space="preserve">Chemical &amp; Structural Studies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 C10H18O | CID 2758 - PubChem](https://pubchem.ncbi.nlm.nih.gov/compound/Eucalyptol)</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 470-82-6 - Chemical Book](https://www.chemicalbook.com/ChemicalProductProperty_EN_CB2853653.htm)</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[Eucalyptol - Wikipedia](https://en.wikipedia.org/wiki/Eucalyptol)</w:t>
      </w:r>
    </w:p>
    <w:p>
      <w:pPr>
        <w:pStyle w:val="Heading2"/>
        <w:spacing w:after="120" w:before="240"/>
      </w:pPr>
      <w:r>
        <w:rPr>
          <w:rFonts w:ascii="Arial" w:cs="Arial" w:eastAsia="Arial" w:hAnsi="Arial"/>
          <w:b/>
          <w:bCs/>
          <w:color w:val="333333"/>
          <w:sz w:val="26"/>
          <w:szCs w:val="26"/>
        </w:rPr>
        <w:t xml:space="preserve">Biosynthesis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[The α-Terpineol to 1,8-Cineole Cyclization Reaction - PMC](https://pmc.ncbi.nlm.nih.gov/articles/PMC5129724/)</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[Biosynthesis of monoterpenes: 1,8-cineole synthase - PubMed](https://pubmed.ncbi.nlm.nih.gov/8117108/)</w:t>
      </w:r>
    </w:p>
    <w:p>
      <w:pPr>
        <w:pStyle w:val="Heading2"/>
        <w:spacing w:after="120" w:before="240"/>
      </w:pPr>
      <w:r>
        <w:rPr>
          <w:rFonts w:ascii="Arial" w:cs="Arial" w:eastAsia="Arial" w:hAnsi="Arial"/>
          <w:b/>
          <w:bCs/>
          <w:color w:val="333333"/>
          <w:sz w:val="26"/>
          <w:szCs w:val="26"/>
        </w:rPr>
        <w:t xml:space="preserve">Cognitive &amp; CNS Effects (Landmark)</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[Plasma 1,8-cineole correlates with cognitive performance - Moss &amp; Oliver 2012 - PMC](https://pmc.ncbi.nlm.nih.gov/articles/PMC3736918/)</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[Pharmacokinetic studies of 1,8-cineol in humans during inhalation - PubMed](https://pubmed.ncbi.nlm.nih.gov/8866111/)</w:t>
      </w:r>
    </w:p>
    <w:p>
      <w:pPr>
        <w:pStyle w:val="Heading2"/>
        <w:spacing w:after="120" w:before="240"/>
      </w:pPr>
      <w:r>
        <w:rPr>
          <w:rFonts w:ascii="Arial" w:cs="Arial" w:eastAsia="Arial" w:hAnsi="Arial"/>
          <w:b/>
          <w:bCs/>
          <w:color w:val="333333"/>
          <w:sz w:val="26"/>
          <w:szCs w:val="26"/>
        </w:rPr>
        <w:t xml:space="preserve">Anti-Inflammatory Pharmacology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[New Perspectives for Mucolytic, Anti-inflammatory Therapy with 1,8-Cineole - PMC](https://pmc.ncbi.nlm.nih.gov/articles/PMC7467491/)</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[Molecular insights of Eucalyptol as anti-arthritic agent - Inflammopharmacology](https://link.springer.com/article/10.1007/s10787-024-01465-4)</w:t>
      </w:r>
    </w:p>
    <w:p>
      <w:pPr>
        <w:pStyle w:val="Heading2"/>
        <w:spacing w:after="120" w:before="240"/>
      </w:pPr>
      <w:r>
        <w:rPr>
          <w:rFonts w:ascii="Arial" w:cs="Arial" w:eastAsia="Arial" w:hAnsi="Arial"/>
          <w:b/>
          <w:bCs/>
          <w:color w:val="333333"/>
          <w:sz w:val="26"/>
          <w:szCs w:val="26"/>
        </w:rPr>
        <w:t xml:space="preserve">Clinical Evidence (COPD, Asthma, Bronchitis)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[Anti-inflammatory effects of 1,8-cineole improve glucocorticoid effects - ScienceDirect](https://www.sciencedirect.com/science/article/abs/pii/S2213713017300081)</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[Efficacy and safety of Cineole (Soledum®) in acute bronchitis - Clinical Phytoscience](https://link.springer.com/article/10.1186/s40816-021-00319-8)</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 Reduces Mucus-Production in Rhinosinusitis - PLOS One](https://journals.plos.org/plosone/article?id=10.1371/journal.pone.0133040)</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[The impact of cineole treatment timing on common cold - PMC](https://pmc.ncbi.nlm.nih.gov/articles/PMC10795983/)</w:t>
      </w:r>
    </w:p>
    <w:p>
      <w:pPr>
        <w:pStyle w:val="Heading2"/>
        <w:spacing w:after="120" w:before="240"/>
      </w:pPr>
      <w:r>
        <w:rPr>
          <w:rFonts w:ascii="Arial" w:cs="Arial" w:eastAsia="Arial" w:hAnsi="Arial"/>
          <w:b/>
          <w:bCs/>
          <w:color w:val="333333"/>
          <w:sz w:val="26"/>
          <w:szCs w:val="26"/>
        </w:rPr>
        <w:t xml:space="preserve">Botanical Sources &amp; Composition</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[Chemical Composition and Biological Activities of Eucalyptus globulus - PMC](https://pmc.ncbi.nlm.nih.gov/articles/PMC10004840/)</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[Plasma 1,8-cineole correlates with cognitive performance - Rosemary Study - PMC](https://pmc.ncbi.nlm.nih.gov/articles/PMC3736918/)</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[Bay Laurel (Laurus nobilis L.) Essential Oil - PMC](https://pmc.ncbi.nlm.nih.gov/articles/PMC8909149/)</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[Melaleuca alternifolia (Tea Tree) Oil: a Review - PMC](https://pmc.ncbi.nlm.nih.gov/articles/PMC1360273/)</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[Essential Oil of Common Sage - PMC](https://pmc.ncbi.nlm.nih.gov/articles/PMC3809930/)</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 8-Cineole in large cardamom - ResearchGate](https://www.researchgate.net/publication/254258966_1_8-Cineole_A_predominant_component_in_the_essential_oil_of_large_cardamom_Amomum_subulatum_Roxb)</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[Mugwort (Artemisia vulgaris L.) essential oils - Journal of Essential Oil Research](https://www.tandfonline.com/doi/full/10.1080/10412905.2020.1857854)</w:t>
      </w:r>
    </w:p>
    <w:p>
      <w:pPr>
        <w:pStyle w:val="Heading2"/>
        <w:spacing w:after="120" w:before="240"/>
      </w:pPr>
      <w:r>
        <w:rPr>
          <w:rFonts w:ascii="Arial" w:cs="Arial" w:eastAsia="Arial" w:hAnsi="Arial"/>
          <w:b/>
          <w:bCs/>
          <w:color w:val="333333"/>
          <w:sz w:val="26"/>
          <w:szCs w:val="26"/>
        </w:rPr>
        <w:t xml:space="preserve">Antimicrobial Activity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inhibits biofilm formation - Frontiers in Pharmacology](https://www.frontiersin.org/journals/pharmacology/articles/10.3389/fphar.2022.988245/full)</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[Antimicrobial activity of 1,8-cineol against Klebsiella pneumoniae - Scientific Reports](https://www.nature.com/articles/s41598-021-00249-y)</w:t>
      </w:r>
    </w:p>
    <w:p>
      <w:pPr>
        <w:pStyle w:val="Heading2"/>
        <w:spacing w:after="120" w:before="240"/>
      </w:pPr>
      <w:r>
        <w:rPr>
          <w:rFonts w:ascii="Arial" w:cs="Arial" w:eastAsia="Arial" w:hAnsi="Arial"/>
          <w:b/>
          <w:bCs/>
          <w:color w:val="333333"/>
          <w:sz w:val="26"/>
          <w:szCs w:val="26"/>
        </w:rPr>
        <w:t xml:space="preserve">Toxicity &amp; Safety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[Acute and subacute toxicity study of 1,8-cineole in mice - PMC](https://pmc.ncbi.nlm.nih.gov/articles/PMC4014229/)</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[Metabolism of 1,8-cineole by human cytochrome P450 - ScienceDirect](https://www.sciencedirect.com/science/article/abs/pii/S0304416505000024)</w:t>
      </w:r>
    </w:p>
    <w:p>
      <w:pPr>
        <w:pStyle w:val="Heading2"/>
        <w:spacing w:after="120" w:before="240"/>
      </w:pPr>
      <w:r>
        <w:rPr>
          <w:rFonts w:ascii="Arial" w:cs="Arial" w:eastAsia="Arial" w:hAnsi="Arial"/>
          <w:b/>
          <w:bCs/>
          <w:color w:val="333333"/>
          <w:sz w:val="26"/>
          <w:szCs w:val="26"/>
        </w:rPr>
        <w:t xml:space="preserve">Traditional Medicine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[Medicinal Plants of the Australian Aboriginal Dharawal People - PMC](https://pmc.ncbi.nlm.nih.gov/articles/PMC5223016/)</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[Aboriginal Plant Use in SE Australia](https://anbg.gov.au/aborig.s.e.aust/eucalyptus-species.html)</w:t>
      </w:r>
    </w:p>
    <w:p>
      <w:pPr>
        <w:pStyle w:val="Heading2"/>
        <w:spacing w:after="120" w:before="240"/>
      </w:pPr>
      <w:r>
        <w:rPr>
          <w:rFonts w:ascii="Arial" w:cs="Arial" w:eastAsia="Arial" w:hAnsi="Arial"/>
          <w:b/>
          <w:bCs/>
          <w:color w:val="333333"/>
          <w:sz w:val="26"/>
          <w:szCs w:val="26"/>
        </w:rPr>
        <w:t xml:space="preserve">Wine &amp; Eucalyptus Terroir</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[Barossa Valley: Shiraz, old vines and exceptional red wines](https://vinodelice.com/en/blogs/news/wine-barossa-valley-old-vines)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[Discover Australian Shiraz](https://vinodelice.com/en/blogs/news/discover-australian-shiraz)</w:t>
      </w:r>
    </w:p>
    <w:p>
      <w:pPr>
        <w:pStyle w:val="Heading2"/>
        <w:spacing w:after="120" w:before="240"/>
      </w:pPr>
      <w:r>
        <w:rPr>
          <w:rFonts w:ascii="Arial" w:cs="Arial" w:eastAsia="Arial" w:hAnsi="Arial"/>
          <w:b/>
          <w:bCs/>
          <w:color w:val="333333"/>
          <w:sz w:val="26"/>
          <w:szCs w:val="26"/>
        </w:rPr>
        <w:t xml:space="preserve">Perfumery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[1,8-cineole in perfumery - ScienceDirect Topics](https://www.sciencedirect.com/topics/chemistry/1-8-cineole)</w:t>
      </w:r>
    </w:p>
    <w:p>
      <w:pPr>
        <w:pStyle w:val="Heading2"/>
        <w:spacing w:after="120" w:before="240"/>
      </w:pPr>
      <w:r>
        <w:rPr>
          <w:rFonts w:ascii="Arial" w:cs="Arial" w:eastAsia="Arial" w:hAnsi="Arial"/>
          <w:b/>
          <w:bCs/>
          <w:color w:val="333333"/>
          <w:sz w:val="26"/>
          <w:szCs w:val="26"/>
        </w:rPr>
        <w:t xml:space="preserve">Forest Ecology &amp; Fire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[Australia's Wildfires: Are Eucalyptus Trees to Blame? - Live Science](https://www.livescience.com/40583-australia-wildfires-eucalyptus-trees-bushfires.html)</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[Wildfires, Flammable Oils, and Eucalyptus Trees - SSRN](https://papers.ssrn.com/sol3/papers.cfm?abstract_id=4120325)</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[Eucalyptus and the ancient kingdom of fire - Australian Geographic](https://www.australiangeographic.com.au/topics/science-environment/2021/11/eucalyptus-and-the-ancient-kingdom-of-fire/)</w:t>
      </w:r>
    </w:p>
    <w:p>
      <w:pPr>
        <w:pStyle w:val="Heading2"/>
        <w:spacing w:after="120" w:before="240"/>
      </w:pPr>
      <w:r>
        <w:rPr>
          <w:rFonts w:ascii="Arial" w:cs="Arial" w:eastAsia="Arial" w:hAnsi="Arial"/>
          <w:b/>
          <w:bCs/>
          <w:color w:val="333333"/>
          <w:sz w:val="26"/>
          <w:szCs w:val="26"/>
        </w:rPr>
        <w:t xml:space="preserve">Molecular Relatives</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[1,4-Cineole Overview - ScienceDirect Topics](https://www.sciencedirect.com/topics/chemistry/1-4-cineole)</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[Synthesis of 1,8-cineole and 1,4-cineole - ScienceDirect](https://www.sciencedirect.com/science/article/abs/pii/S1381116906009022)</w:t>
      </w:r>
    </w:p>
    <w:p>
      <w:pPr>
        <w:pStyle w:val="Heading2"/>
        <w:spacing w:after="120" w:before="240"/>
      </w:pPr>
      <w:r>
        <w:rPr>
          <w:rFonts w:ascii="Arial" w:cs="Arial" w:eastAsia="Arial" w:hAnsi="Arial"/>
          <w:b/>
          <w:bCs/>
          <w:color w:val="333333"/>
          <w:sz w:val="26"/>
          <w:szCs w:val="26"/>
        </w:rPr>
        <w:t xml:space="preserve">Cannabis Terpene Synergy</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[A Review of the Potential Use of Pinene and Linalool - PMC](https://pmc.ncbi.nlm.nih.gov/articles/PMC8426550/)</w:t>
      </w:r>
    </w:p>
    <w:p>
      <w:pPr>
        <w:spacing w:after="80" w:line="276"/>
        <w:ind w:left="360" w:hanging="180"/>
      </w:pPr>
      <w:r>
        <w:rPr>
          <w:rFonts w:ascii="Arial" w:cs="Arial" w:eastAsia="Arial" w:hAnsi="Arial"/>
          <w:color w:val="00838F"/>
          <w:sz w:val="22"/>
          <w:szCs w:val="22"/>
        </w:rPr>
        <w:t xml:space="preserve">•  </w:t>
      </w:r>
      <w:r>
        <w:rPr>
          <w:rFonts w:ascii="Arial" w:cs="Arial" w:eastAsia="Arial" w:hAnsi="Arial"/>
          <w:sz w:val="22"/>
          <w:szCs w:val="22"/>
        </w:rPr>
        <w:t xml:space="preserve">[Characterizing cannabis-prevalent terpenes for neuroprotection - ScienceDirect](https://www.sciencedirect.com/science/article/pii/S0161813X23001699)</w:t>
      </w:r>
    </w:p>
    <w:p>
      <w:pPr>
        <w:spacing w:after="120" w:line="300"/>
      </w:pPr>
      <w:r>
        <w:rPr>
          <w:rFonts w:ascii="Arial" w:cs="Arial" w:eastAsia="Arial" w:hAnsi="Arial"/>
          <w:b/>
          <w:bCs/>
          <w:sz w:val="22"/>
          <w:szCs w:val="22"/>
        </w:rPr>
        <w:t xml:space="preserve">End of Monograph</w:t>
      </w:r>
    </w:p>
    <w:p>
      <w:pPr>
        <w:spacing w:after="120" w:line="300"/>
      </w:pPr>
      <w:r>
        <w:rPr>
          <w:rFonts w:ascii="Arial" w:cs="Arial" w:eastAsia="Arial" w:hAnsi="Arial"/>
          <w:sz w:val="22"/>
          <w:szCs w:val="22"/>
        </w:rPr>
        <w:t xml:space="preserve">*This comprehensive monograph is intended as an educational reference for terpene science, botanical pharmacology, and cannabis consumption practices. It is not medical advice. Consult healthcare providers before using terpene pre-loading if you have pre-existing medical conditions or take medications.*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Terpenes, With a Twist of Aromatherapy  |  Page </w:t>
    </w:r>
    <w:r>
      <w:rPr>
        <w:rFonts w:ascii="Arial" w:cs="Arial" w:eastAsia="Arial" w:hAnsi="Arial"/>
        <w:b/>
        <w:bCs/>
        <w:color w:val="00838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1,8-Cineole — Terpene Monograph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838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f437cb6d10448410332bdc05d3913fd6d7b4ed.png"/><Relationship Id="rId10" Type="http://schemas.openxmlformats.org/officeDocument/2006/relationships/image" Target="media/ffa5846523c2f6f9f1b44a4a9a97e4d2722c3ab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2026-03-16T00:36:25.303Z</dcterms:created>
  <dcterms:modified xsi:type="dcterms:W3CDTF">2026-03-16T00:36:25.303Z</dcterms:modified>
</cp:coreProperties>
</file>

<file path=docProps/custom.xml><?xml version="1.0" encoding="utf-8"?>
<Properties xmlns="http://schemas.openxmlformats.org/officeDocument/2006/custom-properties" xmlns:vt="http://schemas.openxmlformats.org/officeDocument/2006/docPropsVTypes"/>
</file>