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drawing>
          <wp:inline distT="0" distB="0" distL="0" distR="0">
            <wp:extent cx="6191250" cy="2324100"/>
            <wp:effectExtent t="0" r="0" b="0" l="0"/>
            <wp:docPr id="1" name="cover" descr="Cover image for Menthol monograph" title="Menth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324100"/>
                    </a:xfrm>
                    <a:prstGeom prst="rect">
                      <a:avLst/>
                    </a:prstGeom>
                  </pic:spPr>
                </pic:pic>
              </a:graphicData>
            </a:graphic>
          </wp:inline>
        </w:drawing>
      </w:r>
    </w:p>
    <w:p>
      <w:pPr>
        <w:spacing w:before="600"/>
      </w:pPr>
    </w:p>
    <w:p>
      <w:pPr>
        <w:spacing w:after="200"/>
        <w:jc w:val="center"/>
      </w:pPr>
      <w:r>
        <w:rPr>
          <w:rFonts w:ascii="Arial" w:cs="Arial" w:eastAsia="Arial" w:hAnsi="Arial"/>
          <w:b/>
          <w:bCs/>
          <w:color w:val="0277BD"/>
          <w:spacing w:val="200"/>
          <w:sz w:val="28"/>
          <w:szCs w:val="28"/>
        </w:rPr>
        <w:t xml:space="preserve">TERPENE MONOGRAPH</w:t>
      </w:r>
    </w:p>
    <w:p>
      <w:pPr>
        <w:spacing w:after="100"/>
        <w:jc w:val="center"/>
      </w:pPr>
      <w:r>
        <w:rPr>
          <w:rFonts w:ascii="Arial" w:cs="Arial" w:eastAsia="Arial" w:hAnsi="Arial"/>
          <w:i/>
          <w:iCs/>
          <w:color w:val="666666"/>
          <w:sz w:val="22"/>
          <w:szCs w:val="22"/>
        </w:rPr>
        <w:t xml:space="preserve">Terpenes, With a Twist of Aromatherapy</w:t>
      </w:r>
    </w:p>
    <w:p>
      <w:pPr>
        <w:spacing w:after="100"/>
        <w:jc w:val="center"/>
      </w:pPr>
      <w:r>
        <w:rPr>
          <w:rFonts w:ascii="Arial" w:cs="Arial" w:eastAsia="Arial" w:hAnsi="Arial"/>
          <w:color w:val="888888"/>
          <w:sz w:val="20"/>
          <w:szCs w:val="20"/>
        </w:rPr>
        <w:t xml:space="preserve">Terpene Pre-Loading Knowledge Base</w:t>
      </w:r>
    </w:p>
    <w:p>
      <w:pPr>
        <w:spacing w:before="1200"/>
        <w:jc w:val="center"/>
      </w:pPr>
      <w:r>
        <w:rPr>
          <w:rFonts w:ascii="Arial" w:cs="Arial" w:eastAsia="Arial" w:hAnsi="Arial"/>
          <w:color w:val="999999"/>
          <w:sz w:val="20"/>
          <w:szCs w:val="20"/>
        </w:rPr>
        <w:t xml:space="preserve">March 2026</w:t>
      </w:r>
    </w:p>
    <w:p>
      <w:r>
        <w:br w:type="page"/>
      </w:r>
    </w:p>
    <w:p>
      <w:pPr>
        <w:pStyle w:val="Heading1"/>
      </w:pPr>
      <w:r>
        <w:rPr>
          <w:rFonts w:ascii="Arial" w:cs="Arial" w:eastAsia="Arial" w:hAnsi="Arial"/>
          <w:b/>
          <w:bCs/>
          <w:color w:val="0277BD"/>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277BD"/>
          <w:sz w:val="30"/>
          <w:szCs w:val="30"/>
        </w:rPr>
        <w:t xml:space="preserve">Executive Summary</w:t>
      </w:r>
    </w:p>
    <w:p>
      <w:pPr>
        <w:spacing w:after="120" w:line="300"/>
      </w:pPr>
      <w:r>
        <w:rPr>
          <w:rFonts w:ascii="Arial" w:cs="Arial" w:eastAsia="Arial" w:hAnsi="Arial"/>
          <w:sz w:val="22"/>
          <w:szCs w:val="22"/>
        </w:rPr>
        <w:t xml:space="preserve">Menthol (C₁₀H₂₀O, MW 156.27) is a monocyclic monoterpene alcohol that represents one of the most extensively studied and commercially significant botanical compounds in the world. Despite being a minor constituent in cannabis itself, menthol's powerful TRPM8 cold receptor agonism and documented TRPV1 cross-desensitization mechanisms make it highly relevant for terpene pre-loading applications—the inhalation of strain-matched botanical oils 15-30 minutes before cannabis consumption to prime receptor systems and modulate sensory and analgesic responses.</w:t>
      </w:r>
    </w:p>
    <w:p>
      <w:pPr>
        <w:spacing w:after="120" w:line="300"/>
      </w:pPr>
      <w:r>
        <w:rPr>
          <w:rFonts w:ascii="Arial" w:cs="Arial" w:eastAsia="Arial" w:hAnsi="Arial"/>
          <w:sz w:val="22"/>
          <w:szCs w:val="22"/>
        </w:rPr>
        <w:t xml:space="preserve">This monograph provides maximum-depth coverage across 15 core topics, with extensive numerical data, clinical evidence, and mechanistic insights for a cannabis terpene knowledge base.</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277BD"/>
          <w:sz w:val="30"/>
          <w:szCs w:val="30"/>
        </w:rPr>
        <w:t xml:space="preserve">1. Chemical Identity</w:t>
      </w:r>
    </w:p>
    <w:p>
      <w:pPr>
        <w:pStyle w:val="Heading2"/>
        <w:spacing w:after="120" w:before="240"/>
      </w:pPr>
      <w:r>
        <w:rPr>
          <w:rFonts w:ascii="Arial" w:cs="Arial" w:eastAsia="Arial" w:hAnsi="Arial"/>
          <w:b/>
          <w:bCs/>
          <w:color w:val="333333"/>
          <w:sz w:val="26"/>
          <w:szCs w:val="26"/>
        </w:rPr>
        <w:t xml:space="preserve">IUPAC Nomenclature and Molecular Formula</w:t>
      </w:r>
    </w:p>
    <w:p>
      <w:pPr>
        <w:spacing w:after="120" w:line="300"/>
      </w:pPr>
      <w:r>
        <w:rPr>
          <w:rFonts w:ascii="Arial" w:cs="Arial" w:eastAsia="Arial" w:hAnsi="Arial"/>
          <w:b/>
          <w:bCs/>
          <w:sz w:val="22"/>
          <w:szCs w:val="22"/>
        </w:rPr>
        <w:t xml:space="preserve">IUPAC Name:</w:t>
      </w:r>
      <w:r>
        <w:rPr>
          <w:rFonts w:ascii="Arial" w:cs="Arial" w:eastAsia="Arial" w:hAnsi="Arial"/>
          <w:sz w:val="22"/>
          <w:szCs w:val="22"/>
        </w:rPr>
        <w:t xml:space="preserve"> (1R,2S,5R)-2-isopropyl-5-methylcyclohexanol</w:t>
      </w:r>
    </w:p>
    <w:p>
      <w:pPr>
        <w:spacing w:after="120" w:line="300"/>
      </w:pPr>
      <w:r>
        <w:rPr>
          <w:rFonts w:ascii="Arial" w:cs="Arial" w:eastAsia="Arial" w:hAnsi="Arial"/>
          <w:b/>
          <w:bCs/>
          <w:sz w:val="22"/>
          <w:szCs w:val="22"/>
        </w:rPr>
        <w:t xml:space="preserve">Common Names:</w:t>
      </w:r>
      <w:r>
        <w:rPr>
          <w:rFonts w:ascii="Arial" w:cs="Arial" w:eastAsia="Arial" w:hAnsi="Arial"/>
          <w:sz w:val="22"/>
          <w:szCs w:val="22"/>
        </w:rPr>
        <w:t xml:space="preserve"> (-)-menthol, L-menthol, levomenthol, peppermint camphor</w:t>
      </w:r>
    </w:p>
    <w:p>
      <w:pPr>
        <w:spacing w:after="120" w:line="300"/>
      </w:pPr>
      <w:r>
        <w:rPr>
          <w:rFonts w:ascii="Arial" w:cs="Arial" w:eastAsia="Arial" w:hAnsi="Arial"/>
          <w:b/>
          <w:bCs/>
          <w:sz w:val="22"/>
          <w:szCs w:val="22"/>
        </w:rPr>
        <w:t xml:space="preserve">Molecular Formula:</w:t>
      </w:r>
      <w:r>
        <w:rPr>
          <w:rFonts w:ascii="Arial" w:cs="Arial" w:eastAsia="Arial" w:hAnsi="Arial"/>
          <w:sz w:val="22"/>
          <w:szCs w:val="22"/>
        </w:rPr>
        <w:t xml:space="preserve"> C₁₀H₂₀O</w:t>
      </w:r>
    </w:p>
    <w:p>
      <w:pPr>
        <w:spacing w:after="120" w:line="300"/>
      </w:pPr>
      <w:r>
        <w:rPr>
          <w:rFonts w:ascii="Arial" w:cs="Arial" w:eastAsia="Arial" w:hAnsi="Arial"/>
          <w:b/>
          <w:bCs/>
          <w:sz w:val="22"/>
          <w:szCs w:val="22"/>
        </w:rPr>
        <w:t xml:space="preserve">Molecular Weight:</w:t>
      </w:r>
      <w:r>
        <w:rPr>
          <w:rFonts w:ascii="Arial" w:cs="Arial" w:eastAsia="Arial" w:hAnsi="Arial"/>
          <w:sz w:val="22"/>
          <w:szCs w:val="22"/>
        </w:rPr>
        <w:t xml:space="preserve"> 156.27 g/mol</w:t>
      </w:r>
    </w:p>
    <w:p>
      <w:pPr>
        <w:spacing w:after="120" w:line="300"/>
      </w:pPr>
      <w:r>
        <w:rPr>
          <w:rFonts w:ascii="Arial" w:cs="Arial" w:eastAsia="Arial" w:hAnsi="Arial"/>
          <w:b/>
          <w:bCs/>
          <w:sz w:val="22"/>
          <w:szCs w:val="22"/>
        </w:rPr>
        <w:t xml:space="preserve">Chemical Class:</w:t>
      </w:r>
      <w:r>
        <w:rPr>
          <w:rFonts w:ascii="Arial" w:cs="Arial" w:eastAsia="Arial" w:hAnsi="Arial"/>
          <w:sz w:val="22"/>
          <w:szCs w:val="22"/>
        </w:rPr>
        <w:t xml:space="preserve"> Monocyclic monoterpene alcohol (saturated alicyclic alcohol)</w:t>
      </w:r>
    </w:p>
    <w:p>
      <w:pPr>
        <w:pStyle w:val="Heading2"/>
        <w:spacing w:after="120" w:before="240"/>
      </w:pPr>
      <w:r>
        <w:rPr>
          <w:rFonts w:ascii="Arial" w:cs="Arial" w:eastAsia="Arial" w:hAnsi="Arial"/>
          <w:b/>
          <w:bCs/>
          <w:color w:val="333333"/>
          <w:sz w:val="26"/>
          <w:szCs w:val="26"/>
        </w:rPr>
        <w:t xml:space="preserve">Stereoisomerism and Chirality</w:t>
      </w:r>
    </w:p>
    <w:p>
      <w:pPr>
        <w:spacing w:after="120" w:line="300"/>
      </w:pPr>
      <w:r>
        <w:rPr>
          <w:rFonts w:ascii="Arial" w:cs="Arial" w:eastAsia="Arial" w:hAnsi="Arial"/>
          <w:sz w:val="22"/>
          <w:szCs w:val="22"/>
        </w:rPr>
        <w:t xml:space="preserve">Menthol contains </w:t>
      </w:r>
      <w:r>
        <w:rPr>
          <w:rFonts w:ascii="Arial" w:cs="Arial" w:eastAsia="Arial" w:hAnsi="Arial"/>
          <w:b/>
          <w:bCs/>
          <w:sz w:val="22"/>
          <w:szCs w:val="22"/>
        </w:rPr>
        <w:t xml:space="preserve">three chiral centers</w:t>
      </w:r>
      <w:r>
        <w:rPr>
          <w:rFonts w:ascii="Arial" w:cs="Arial" w:eastAsia="Arial" w:hAnsi="Arial"/>
          <w:sz w:val="22"/>
          <w:szCs w:val="22"/>
        </w:rPr>
        <w:t xml:space="preserve"> (at carbons 1, 2, and 5 of the cyclohexane ring), producing </w:t>
      </w:r>
      <w:r>
        <w:rPr>
          <w:rFonts w:ascii="Arial" w:cs="Arial" w:eastAsia="Arial" w:hAnsi="Arial"/>
          <w:b/>
          <w:bCs/>
          <w:sz w:val="22"/>
          <w:szCs w:val="22"/>
        </w:rPr>
        <w:t xml:space="preserve">eight possible stereoisomers</w:t>
      </w:r>
      <w:r>
        <w:rPr>
          <w:rFonts w:ascii="Arial" w:cs="Arial" w:eastAsia="Arial" w:hAnsi="Arial"/>
          <w:sz w:val="22"/>
          <w:szCs w:val="22"/>
        </w:rPr>
        <w:t xml:space="preserve"> total: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(1R,2S,5R)-menthol: (-)-menthol (natural, most abundant)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(1R,2S,5S)-neomenthol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(1R,2R,5R)-isomenthol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(1R,2R,5S)-neoisomenthol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(1S,2R,5S)-menthol: (+)-menthol (enantiomer of natural form)</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Plus four additional minor stereoisomers</w:t>
      </w:r>
    </w:p>
    <w:p>
      <w:pPr>
        <w:spacing w:after="120" w:line="300"/>
      </w:pPr>
      <w:r>
        <w:rPr>
          <w:rFonts w:ascii="Arial" w:cs="Arial" w:eastAsia="Arial" w:hAnsi="Arial"/>
          <w:b/>
          <w:bCs/>
          <w:sz w:val="22"/>
          <w:szCs w:val="22"/>
        </w:rPr>
        <w:t xml:space="preserve">Natural menthol</w:t>
      </w:r>
      <w:r>
        <w:rPr>
          <w:rFonts w:ascii="Arial" w:cs="Arial" w:eastAsia="Arial" w:hAnsi="Arial"/>
          <w:sz w:val="22"/>
          <w:szCs w:val="22"/>
        </w:rPr>
        <w:t xml:space="preserve"> exists almost exclusively as the (1R,2S,5R) form ((-)-menthol), also designated L-menthol or levomenthol. This stereoisomer exhibits superior cooling potency and analgesic activity compared to the (+)-menthol enantiomer and other isomers, with lower sensory detection thresholds and more potent TRPM8 activation.</w:t>
      </w:r>
    </w:p>
    <w:p>
      <w:pPr>
        <w:pStyle w:val="Heading2"/>
        <w:spacing w:after="120" w:before="240"/>
      </w:pPr>
      <w:r>
        <w:rPr>
          <w:rFonts w:ascii="Arial" w:cs="Arial" w:eastAsia="Arial" w:hAnsi="Arial"/>
          <w:b/>
          <w:bCs/>
          <w:color w:val="333333"/>
          <w:sz w:val="26"/>
          <w:szCs w:val="26"/>
        </w:rPr>
        <w:t xml:space="preserve">Cyclohexane Chair Conformation</w:t>
      </w:r>
    </w:p>
    <w:p>
      <w:pPr>
        <w:spacing w:after="120" w:line="300"/>
      </w:pPr>
      <w:r>
        <w:rPr>
          <w:rFonts w:ascii="Arial" w:cs="Arial" w:eastAsia="Arial" w:hAnsi="Arial"/>
          <w:sz w:val="22"/>
          <w:szCs w:val="22"/>
        </w:rPr>
        <w:t xml:space="preserve">The cyclohexane ring adopts a stable </w:t>
      </w:r>
      <w:r>
        <w:rPr>
          <w:rFonts w:ascii="Arial" w:cs="Arial" w:eastAsia="Arial" w:hAnsi="Arial"/>
          <w:b/>
          <w:bCs/>
          <w:sz w:val="22"/>
          <w:szCs w:val="22"/>
        </w:rPr>
        <w:t xml:space="preserve">chair conformation</w:t>
      </w:r>
      <w:r>
        <w:rPr>
          <w:rFonts w:ascii="Arial" w:cs="Arial" w:eastAsia="Arial" w:hAnsi="Arial"/>
          <w:sz w:val="22"/>
          <w:szCs w:val="22"/>
        </w:rPr>
        <w:t xml:space="preserve"> in which the most thermodynamically favorable arrangement places both the </w:t>
      </w:r>
      <w:r>
        <w:rPr>
          <w:rFonts w:ascii="Arial" w:cs="Arial" w:eastAsia="Arial" w:hAnsi="Arial"/>
          <w:b/>
          <w:bCs/>
          <w:sz w:val="22"/>
          <w:szCs w:val="22"/>
        </w:rPr>
        <w:t xml:space="preserve">isopropyl group and methyl group in equatorial positions</w:t>
      </w:r>
      <w:r>
        <w:rPr>
          <w:rFonts w:ascii="Arial" w:cs="Arial" w:eastAsia="Arial" w:hAnsi="Arial"/>
          <w:sz w:val="22"/>
          <w:szCs w:val="22"/>
        </w:rPr>
        <w:t xml:space="preserve">, minimizing steric strain. The hydroxyl group (-OH) also preferentially occupies an </w:t>
      </w:r>
      <w:r>
        <w:rPr>
          <w:rFonts w:ascii="Arial" w:cs="Arial" w:eastAsia="Arial" w:hAnsi="Arial"/>
          <w:b/>
          <w:bCs/>
          <w:sz w:val="22"/>
          <w:szCs w:val="22"/>
        </w:rPr>
        <w:t xml:space="preserve">equatorial position</w:t>
      </w:r>
      <w:r>
        <w:rPr>
          <w:rFonts w:ascii="Arial" w:cs="Arial" w:eastAsia="Arial" w:hAnsi="Arial"/>
          <w:sz w:val="22"/>
          <w:szCs w:val="22"/>
        </w:rPr>
        <w:t xml:space="preserve"> in the dominant conformation. This geometry explains menthol's stability and its unique three-dimensional presentation to sensory receptors.</w:t>
      </w:r>
    </w:p>
    <w:p>
      <w:pPr>
        <w:pStyle w:val="Heading2"/>
        <w:spacing w:after="120" w:before="240"/>
      </w:pPr>
      <w:r>
        <w:rPr>
          <w:rFonts w:ascii="Arial" w:cs="Arial" w:eastAsia="Arial" w:hAnsi="Arial"/>
          <w:b/>
          <w:bCs/>
          <w:color w:val="333333"/>
          <w:sz w:val="26"/>
          <w:szCs w:val="26"/>
        </w:rPr>
        <w:t xml:space="preserve">Physical Properties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277BD"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3120"/>
            <w:tcBorders>
              <w:top w:val="single" w:color="CCCCCC" w:sz="1"/>
              <w:left w:val="single" w:color="CCCCCC" w:sz="1"/>
              <w:bottom w:val="single" w:color="CCCCCC" w:sz="1"/>
              <w:right w:val="single" w:color="CCCCCC" w:sz="1"/>
            </w:tcBorders>
            <w:shd w:fill="0277BD"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0277BD"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Boiling Point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212–214.6 °C</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Relatively high for a monoterpene; reflects hydrogen bonding capability</w:t>
            </w:r>
          </w:p>
        </w:tc>
      </w:tr>
      <w:tr>
        <w:tc>
          <w:tcPr>
            <w:tcW w:type="dxa" w:w="312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Melting Point</w:t>
            </w:r>
          </w:p>
        </w:tc>
        <w:tc>
          <w:tcPr>
            <w:tcW w:type="dxa" w:w="312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36–45 °C (typically 42 °C)</w:t>
            </w:r>
          </w:p>
        </w:tc>
        <w:tc>
          <w:tcPr>
            <w:tcW w:type="dxa" w:w="312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SOLID at room temperature</w:t>
            </w:r>
            <w:r>
              <w:rPr>
                <w:rFonts w:ascii="Arial" w:cs="Arial" w:eastAsia="Arial" w:hAnsi="Arial"/>
                <w:b w:val="false"/>
                <w:bCs w:val="false"/>
                <w:color w:val="333333"/>
                <w:sz w:val="20"/>
                <w:szCs w:val="20"/>
              </w:rPr>
              <w:t xml:space="preserve"> (unlike most volatile terpenes); (-)-menthol typically 36–38 °C</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Density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0.890 g/cm³</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At 20 °C; relatively dense for a monoterpene</w:t>
            </w:r>
          </w:p>
        </w:tc>
      </w:tr>
      <w:tr>
        <w:tc>
          <w:tcPr>
            <w:tcW w:type="dxa" w:w="312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Solubility</w:t>
            </w:r>
          </w:p>
        </w:tc>
        <w:tc>
          <w:tcPr>
            <w:tcW w:type="dxa" w:w="312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Slightly soluble in water; highly soluble in ethanol, oils, lipids</w:t>
            </w:r>
          </w:p>
        </w:tc>
        <w:tc>
          <w:tcPr>
            <w:tcW w:type="dxa" w:w="312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Forms hydrophobic interactions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Refractive Index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1.4607 (20 °C)</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Used for purity determination</w:t>
            </w:r>
          </w:p>
        </w:tc>
      </w:tr>
      <w:tr>
        <w:tc>
          <w:tcPr>
            <w:tcW w:type="dxa" w:w="312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Crystal Form</w:t>
            </w:r>
          </w:p>
        </w:tc>
        <w:tc>
          <w:tcPr>
            <w:tcW w:type="dxa" w:w="312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Monoclinic prisms</w:t>
            </w:r>
          </w:p>
        </w:tc>
        <w:tc>
          <w:tcPr>
            <w:tcW w:type="dxa" w:w="312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Distinctive crystalline appearance in pure form</w:t>
            </w:r>
          </w:p>
        </w:tc>
      </w:tr>
    </w:tbl>
    <w:p>
      <w:pPr>
        <w:spacing w:after="120"/>
      </w:pPr>
    </w:p>
    <w:p>
      <w:pPr>
        <w:spacing w:after="120" w:line="300"/>
      </w:pPr>
      <w:r>
        <w:rPr>
          <w:rFonts w:ascii="Arial" w:cs="Arial" w:eastAsia="Arial" w:hAnsi="Arial"/>
          <w:sz w:val="22"/>
          <w:szCs w:val="22"/>
        </w:rPr>
        <w:t xml:space="preserve">The fact that menthol is </w:t>
      </w:r>
      <w:r>
        <w:rPr>
          <w:rFonts w:ascii="Arial" w:cs="Arial" w:eastAsia="Arial" w:hAnsi="Arial"/>
          <w:b/>
          <w:bCs/>
          <w:sz w:val="22"/>
          <w:szCs w:val="22"/>
        </w:rPr>
        <w:t xml:space="preserve">solid at room temperature</w:t>
      </w:r>
      <w:r>
        <w:rPr>
          <w:rFonts w:ascii="Arial" w:cs="Arial" w:eastAsia="Arial" w:hAnsi="Arial"/>
          <w:sz w:val="22"/>
          <w:szCs w:val="22"/>
        </w:rPr>
        <w:t xml:space="preserve"> distinguishes it sharply from most volatile terpenes (limonene, pinene, etc.), making it easier to handle, store, and standardize in formulations.</w:t>
      </w:r>
    </w:p>
    <w:p>
      <w:pPr>
        <w:pStyle w:val="Heading2"/>
        <w:spacing w:after="120" w:before="240"/>
      </w:pPr>
      <w:r>
        <w:rPr>
          <w:rFonts w:ascii="Arial" w:cs="Arial" w:eastAsia="Arial" w:hAnsi="Arial"/>
          <w:b/>
          <w:bCs/>
          <w:color w:val="333333"/>
          <w:sz w:val="26"/>
          <w:szCs w:val="26"/>
        </w:rPr>
        <w:t xml:space="preserve">Sources and Nomenclature Notes</w:t>
      </w:r>
    </w:p>
    <w:p>
      <w:pPr>
        <w:spacing w:after="120" w:line="300"/>
      </w:pPr>
      <w:r>
        <w:rPr>
          <w:rFonts w:ascii="Arial" w:cs="Arial" w:eastAsia="Arial" w:hAnsi="Arial"/>
          <w:sz w:val="22"/>
          <w:szCs w:val="22"/>
        </w:rPr>
        <w:t xml:space="preserve">Natural (-)-menthol is obtained by freezing peppermint essential oil and crystallizing/filtering the resultant menthol crystals. Synthetic menthol is chemically identical when produced via enantioselective synthesis but is often derived from fossil-based or renewable precursors (citral, myrcene, thymol).</w:t>
      </w:r>
    </w:p>
    <w:p>
      <w:pPr>
        <w:spacing w:after="120" w:line="300"/>
      </w:pPr>
      <w:r>
        <w:rPr>
          <w:rFonts w:ascii="Arial" w:cs="Arial" w:eastAsia="Arial" w:hAnsi="Arial"/>
          <w:sz w:val="22"/>
          <w:szCs w:val="22"/>
        </w:rPr>
        <w:t xml:space="preserve">The terms "natural menthol" and "synthetic menthol" refer to origin, not structure—both (1R,2S,5R)-menthol molecules are identical compounds with identical properties.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277BD"/>
          <w:sz w:val="30"/>
          <w:szCs w:val="30"/>
        </w:rPr>
        <w:t xml:space="preserve">2. Biosynthesis in Peppermint and Mentha Species</w:t>
      </w:r>
    </w:p>
    <w:p>
      <w:pPr>
        <w:pStyle w:val="Heading2"/>
        <w:spacing w:after="120" w:before="240"/>
      </w:pPr>
      <w:r>
        <w:rPr>
          <w:rFonts w:ascii="Arial" w:cs="Arial" w:eastAsia="Arial" w:hAnsi="Arial"/>
          <w:b/>
          <w:bCs/>
          <w:color w:val="333333"/>
          <w:sz w:val="26"/>
          <w:szCs w:val="26"/>
        </w:rPr>
        <w:t xml:space="preserve">MEP Pathway and Isoprene Precursors</w:t>
      </w:r>
    </w:p>
    <w:p>
      <w:pPr>
        <w:spacing w:after="120" w:line="300"/>
      </w:pPr>
      <w:r>
        <w:rPr>
          <w:rFonts w:ascii="Arial" w:cs="Arial" w:eastAsia="Arial" w:hAnsi="Arial"/>
          <w:sz w:val="22"/>
          <w:szCs w:val="22"/>
        </w:rPr>
        <w:t xml:space="preserve">Menthol biosynthesis begins with the </w:t>
      </w:r>
      <w:r>
        <w:rPr>
          <w:rFonts w:ascii="Arial" w:cs="Arial" w:eastAsia="Arial" w:hAnsi="Arial"/>
          <w:b/>
          <w:bCs/>
          <w:sz w:val="22"/>
          <w:szCs w:val="22"/>
        </w:rPr>
        <w:t xml:space="preserve">methylerythritol phosphate (MEP) pathway</w:t>
      </w:r>
      <w:r>
        <w:rPr>
          <w:rFonts w:ascii="Arial" w:cs="Arial" w:eastAsia="Arial" w:hAnsi="Arial"/>
          <w:sz w:val="22"/>
          <w:szCs w:val="22"/>
        </w:rPr>
        <w:t xml:space="preserve"> in chloroplasts, which supplies the five-carbon building blocks isopentenyl diphosphate (IPP) and dimethylallyl diphosphate (DMAPP). These precursors condense to form </w:t>
      </w:r>
      <w:r>
        <w:rPr>
          <w:rFonts w:ascii="Arial" w:cs="Arial" w:eastAsia="Arial" w:hAnsi="Arial"/>
          <w:b/>
          <w:bCs/>
          <w:sz w:val="22"/>
          <w:szCs w:val="22"/>
        </w:rPr>
        <w:t xml:space="preserve">geranyl diphosphate (GPP)</w:t>
      </w:r>
      <w:r>
        <w:rPr>
          <w:rFonts w:ascii="Arial" w:cs="Arial" w:eastAsia="Arial" w:hAnsi="Arial"/>
          <w:sz w:val="22"/>
          <w:szCs w:val="22"/>
        </w:rPr>
        <w:t xml:space="preserve">, the C₁₀ backbone for all monoterpenes.</w:t>
      </w:r>
    </w:p>
    <w:p>
      <w:pPr>
        <w:pStyle w:val="Heading2"/>
        <w:spacing w:after="120" w:before="240"/>
      </w:pPr>
      <w:r>
        <w:rPr>
          <w:rFonts w:ascii="Arial" w:cs="Arial" w:eastAsia="Arial" w:hAnsi="Arial"/>
          <w:b/>
          <w:bCs/>
          <w:color w:val="333333"/>
          <w:sz w:val="26"/>
          <w:szCs w:val="26"/>
        </w:rPr>
        <w:t xml:space="preserve">The Eight-Step Menthol Biosynthetic Pathway</w:t>
      </w:r>
    </w:p>
    <w:p>
      <w:pPr>
        <w:spacing w:after="120" w:line="300"/>
      </w:pPr>
      <w:r>
        <w:rPr>
          <w:rFonts w:ascii="Arial" w:cs="Arial" w:eastAsia="Arial" w:hAnsi="Arial"/>
          <w:sz w:val="22"/>
          <w:szCs w:val="22"/>
        </w:rPr>
        <w:t xml:space="preserve">In peppermint (*Mentha × piperita*), the transformation from GPP to (-)-menthol occurs through eight enzymatic steps:</w:t>
      </w:r>
    </w:p>
    <w:p>
      <w:pPr>
        <w:spacing w:after="100" w:before="200"/>
      </w:pPr>
      <w:r>
        <w:rPr>
          <w:rFonts w:ascii="Arial" w:cs="Arial" w:eastAsia="Arial" w:hAnsi="Arial"/>
          <w:b/>
          <w:bCs/>
          <w:color w:val="444444"/>
          <w:sz w:val="24"/>
          <w:szCs w:val="24"/>
        </w:rPr>
        <w:t xml:space="preserve">Step 1: Cyclization</w:t>
      </w:r>
    </w:p>
    <w:p>
      <w:pPr>
        <w:spacing w:after="120" w:line="300"/>
      </w:pPr>
      <w:r>
        <w:rPr>
          <w:rFonts w:ascii="Arial" w:cs="Arial" w:eastAsia="Arial" w:hAnsi="Arial"/>
          <w:b/>
          <w:bCs/>
          <w:sz w:val="22"/>
          <w:szCs w:val="22"/>
        </w:rPr>
        <w:t xml:space="preserve">GPP → (-)-Limonene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Enzyme: Limonene synthase (LS)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Reaction: Cyclization of the linear GPP precursor to form the p-menthane skeleton with a C=C double bond between carbons 1 and 2</w:t>
      </w:r>
    </w:p>
    <w:p>
      <w:pPr>
        <w:spacing w:after="100" w:before="200"/>
      </w:pPr>
      <w:r>
        <w:rPr>
          <w:rFonts w:ascii="Arial" w:cs="Arial" w:eastAsia="Arial" w:hAnsi="Arial"/>
          <w:b/>
          <w:bCs/>
          <w:color w:val="444444"/>
          <w:sz w:val="24"/>
          <w:szCs w:val="24"/>
        </w:rPr>
        <w:t xml:space="preserve">Step 2: Hydroxylation</w:t>
      </w:r>
    </w:p>
    <w:p>
      <w:pPr>
        <w:spacing w:after="120" w:line="300"/>
      </w:pPr>
      <w:r>
        <w:rPr>
          <w:rFonts w:ascii="Arial" w:cs="Arial" w:eastAsia="Arial" w:hAnsi="Arial"/>
          <w:b/>
          <w:bCs/>
          <w:sz w:val="22"/>
          <w:szCs w:val="22"/>
        </w:rPr>
        <w:t xml:space="preserve">(-)-Limonene → (-)-trans-Isopiperitenol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Enzyme: (-)-Limonene-3-hydroxylase (L3OH)</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Reaction: Allylic hydroxylation at the C3 position using cytochrome P450 (CYP71D51)</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Result: First oxygenation step; -OH group at position 3</w:t>
      </w:r>
    </w:p>
    <w:p>
      <w:pPr>
        <w:spacing w:after="100" w:before="200"/>
      </w:pPr>
      <w:r>
        <w:rPr>
          <w:rFonts w:ascii="Arial" w:cs="Arial" w:eastAsia="Arial" w:hAnsi="Arial"/>
          <w:b/>
          <w:bCs/>
          <w:color w:val="444444"/>
          <w:sz w:val="24"/>
          <w:szCs w:val="24"/>
        </w:rPr>
        <w:t xml:space="preserve">Step 3: Oxidation</w:t>
      </w:r>
    </w:p>
    <w:p>
      <w:pPr>
        <w:spacing w:after="120" w:line="300"/>
      </w:pPr>
      <w:r>
        <w:rPr>
          <w:rFonts w:ascii="Arial" w:cs="Arial" w:eastAsia="Arial" w:hAnsi="Arial"/>
          <w:b/>
          <w:bCs/>
          <w:sz w:val="22"/>
          <w:szCs w:val="22"/>
        </w:rPr>
        <w:t xml:space="preserve">(-)-trans-Isopiperitenol → (-)-Isopiperitenone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Enzyme: (-)-trans-Isopiperitenol dehydrogenase (iPD)</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Reaction: NAD⁺-dependent oxidation of the C3 hydroxyl to a ketone (C=O)</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Result: Introduction of carbonyl functional group</w:t>
      </w:r>
    </w:p>
    <w:p>
      <w:pPr>
        <w:spacing w:after="100" w:before="200"/>
      </w:pPr>
      <w:r>
        <w:rPr>
          <w:rFonts w:ascii="Arial" w:cs="Arial" w:eastAsia="Arial" w:hAnsi="Arial"/>
          <w:b/>
          <w:bCs/>
          <w:color w:val="444444"/>
          <w:sz w:val="24"/>
          <w:szCs w:val="24"/>
        </w:rPr>
        <w:t xml:space="preserve">Step 4: Reduction and Isomerization</w:t>
      </w:r>
    </w:p>
    <w:p>
      <w:pPr>
        <w:spacing w:after="120" w:line="300"/>
      </w:pPr>
      <w:r>
        <w:rPr>
          <w:rFonts w:ascii="Arial" w:cs="Arial" w:eastAsia="Arial" w:hAnsi="Arial"/>
          <w:b/>
          <w:bCs/>
          <w:sz w:val="22"/>
          <w:szCs w:val="22"/>
        </w:rPr>
        <w:t xml:space="preserve">(-)-Isopiperitenone → (+)-cis-Isopulegone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Enzyme: (-)-Isopiperitenone reductase (iPR)</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Reaction: NADPH-dependent reduction of the C1-C2 double bond (allylic reduction)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Cofactor: NADPH</w:t>
      </w:r>
    </w:p>
    <w:p>
      <w:pPr>
        <w:spacing w:after="100" w:before="200"/>
      </w:pPr>
      <w:r>
        <w:rPr>
          <w:rFonts w:ascii="Arial" w:cs="Arial" w:eastAsia="Arial" w:hAnsi="Arial"/>
          <w:b/>
          <w:bCs/>
          <w:color w:val="444444"/>
          <w:sz w:val="24"/>
          <w:szCs w:val="24"/>
        </w:rPr>
        <w:t xml:space="preserve">Step 5: Double Bond Isomerization</w:t>
      </w:r>
    </w:p>
    <w:p>
      <w:pPr>
        <w:spacing w:after="120" w:line="300"/>
      </w:pPr>
      <w:r>
        <w:rPr>
          <w:rFonts w:ascii="Arial" w:cs="Arial" w:eastAsia="Arial" w:hAnsi="Arial"/>
          <w:b/>
          <w:bCs/>
          <w:sz w:val="22"/>
          <w:szCs w:val="22"/>
        </w:rPr>
        <w:t xml:space="preserve">(+)-cis-Isopulegone → (+)-Pulegone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Enzyme: (+)-cis-Isopulegone isomerase (iPI)</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Reaction: Shift of the remaining double bond from C8-C9 position to C1-C2 position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Result: Formation of the toxic pulegone intermediate</w:t>
      </w:r>
    </w:p>
    <w:p>
      <w:pPr>
        <w:spacing w:after="100" w:before="200"/>
      </w:pPr>
      <w:r>
        <w:rPr>
          <w:rFonts w:ascii="Arial" w:cs="Arial" w:eastAsia="Arial" w:hAnsi="Arial"/>
          <w:b/>
          <w:bCs/>
          <w:color w:val="444444"/>
          <w:sz w:val="24"/>
          <w:szCs w:val="24"/>
        </w:rPr>
        <w:t xml:space="preserve">Step 6: Double Bond Reduction</w:t>
      </w:r>
    </w:p>
    <w:p>
      <w:pPr>
        <w:spacing w:after="120" w:line="300"/>
      </w:pPr>
      <w:r>
        <w:rPr>
          <w:rFonts w:ascii="Arial" w:cs="Arial" w:eastAsia="Arial" w:hAnsi="Arial"/>
          <w:b/>
          <w:bCs/>
          <w:sz w:val="22"/>
          <w:szCs w:val="22"/>
        </w:rPr>
        <w:t xml:space="preserve">(+)-Pulegone → (-)-Menthone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Enzyme: (+)-Pulegone reductase (PR)</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Reaction: NADPH-dependent reduction of the C1-C2 double bond</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Cofactor: NADPH</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Result: Conversion of ketone-containing pulegone to the ketone (-)-menthone</w:t>
      </w:r>
    </w:p>
    <w:p>
      <w:pPr>
        <w:spacing w:after="100" w:before="200"/>
      </w:pPr>
      <w:r>
        <w:rPr>
          <w:rFonts w:ascii="Arial" w:cs="Arial" w:eastAsia="Arial" w:hAnsi="Arial"/>
          <w:b/>
          <w:bCs/>
          <w:color w:val="444444"/>
          <w:sz w:val="24"/>
          <w:szCs w:val="24"/>
        </w:rPr>
        <w:t xml:space="preserve">Step 7: Ketone Reduction</w:t>
      </w:r>
    </w:p>
    <w:p>
      <w:pPr>
        <w:spacing w:after="120" w:line="300"/>
      </w:pPr>
      <w:r>
        <w:rPr>
          <w:rFonts w:ascii="Arial" w:cs="Arial" w:eastAsia="Arial" w:hAnsi="Arial"/>
          <w:b/>
          <w:bCs/>
          <w:sz w:val="22"/>
          <w:szCs w:val="22"/>
        </w:rPr>
        <w:t xml:space="preserve">(-)-Menthone → (-)-Menthol</w:t>
      </w:r>
      <w:r>
        <w:rPr>
          <w:rFonts w:ascii="Arial" w:cs="Arial" w:eastAsia="Arial" w:hAnsi="Arial"/>
          <w:sz w:val="22"/>
          <w:szCs w:val="22"/>
        </w:rPr>
        <w:t xml:space="preserve"> (Primary pathway)</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Enzyme: (-)-Menthone:menthol reductase (MMR)</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Reaction: NADPH-dependent reduction of the ketone carbonyl (C=O) to secondary alcohol (-OH)</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Cofactor: NADPH</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Result: Final product (-)-menthol; simultaneous conversion of (+)-isomenthone to (+)-neoisomenthol by the same enzyme</w:t>
      </w:r>
    </w:p>
    <w:p>
      <w:pPr>
        <w:spacing w:after="100" w:before="200"/>
      </w:pPr>
      <w:r>
        <w:rPr>
          <w:rFonts w:ascii="Arial" w:cs="Arial" w:eastAsia="Arial" w:hAnsi="Arial"/>
          <w:b/>
          <w:bCs/>
          <w:color w:val="444444"/>
          <w:sz w:val="24"/>
          <w:szCs w:val="24"/>
        </w:rPr>
        <w:t xml:space="preserve">Step 8 (Alternative): Ketone Reduction via Different Reductase</w:t>
      </w:r>
    </w:p>
    <w:p>
      <w:pPr>
        <w:spacing w:after="120" w:line="300"/>
      </w:pPr>
      <w:r>
        <w:rPr>
          <w:rFonts w:ascii="Arial" w:cs="Arial" w:eastAsia="Arial" w:hAnsi="Arial"/>
          <w:b/>
          <w:bCs/>
          <w:sz w:val="22"/>
          <w:szCs w:val="22"/>
        </w:rPr>
        <w:t xml:space="preserve">(-)-Menthone → (+)-Neomenthol</w:t>
      </w:r>
      <w:r>
        <w:rPr>
          <w:rFonts w:ascii="Arial" w:cs="Arial" w:eastAsia="Arial" w:hAnsi="Arial"/>
          <w:sz w:val="22"/>
          <w:szCs w:val="22"/>
        </w:rPr>
        <w:t xml:space="preserve"> and </w:t>
      </w:r>
      <w:r>
        <w:rPr>
          <w:rFonts w:ascii="Arial" w:cs="Arial" w:eastAsia="Arial" w:hAnsi="Arial"/>
          <w:b/>
          <w:bCs/>
          <w:sz w:val="22"/>
          <w:szCs w:val="22"/>
        </w:rPr>
        <w:t xml:space="preserve">(-)-Menthone → (+)-Isomenthol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Enzyme: (-)-Menthone:neomenthol reductase (MNMR)</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Reaction: Alternative stereochemical reduction of the same ketone substrate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Result: Production of minor menthol isomers (together comprising ~5% of essential oil in peppermint)</w:t>
      </w:r>
    </w:p>
    <w:p>
      <w:pPr>
        <w:pStyle w:val="Heading2"/>
        <w:spacing w:after="120" w:before="240"/>
      </w:pPr>
      <w:r>
        <w:rPr>
          <w:rFonts w:ascii="Arial" w:cs="Arial" w:eastAsia="Arial" w:hAnsi="Arial"/>
          <w:b/>
          <w:bCs/>
          <w:color w:val="333333"/>
          <w:sz w:val="26"/>
          <w:szCs w:val="26"/>
        </w:rPr>
        <w:t xml:space="preserve">Regulatory Control and Competing Pathways</w:t>
      </w:r>
    </w:p>
    <w:p>
      <w:pPr>
        <w:spacing w:after="120" w:line="300"/>
      </w:pPr>
      <w:r>
        <w:rPr>
          <w:rFonts w:ascii="Arial" w:cs="Arial" w:eastAsia="Arial" w:hAnsi="Arial"/>
          <w:sz w:val="22"/>
          <w:szCs w:val="22"/>
        </w:rPr>
        <w:t xml:space="preserve">The pathway is highly regulated at multiple decision points: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Branching at (+)-Pulegone:</w:t>
      </w:r>
      <w:r>
        <w:rPr>
          <w:rFonts w:ascii="Arial" w:cs="Arial" w:eastAsia="Arial" w:hAnsi="Arial"/>
          <w:sz w:val="22"/>
          <w:szCs w:val="22"/>
        </w:rPr>
        <w:t xml:space="preserve"> The volatile pulegone intermediate can be diverted into a competing </w:t>
      </w:r>
      <w:r>
        <w:rPr>
          <w:rFonts w:ascii="Arial" w:cs="Arial" w:eastAsia="Arial" w:hAnsi="Arial"/>
          <w:b/>
          <w:bCs/>
          <w:sz w:val="22"/>
          <w:szCs w:val="22"/>
        </w:rPr>
        <w:t xml:space="preserve">menthofuran pathway</w:t>
      </w:r>
      <w:r>
        <w:rPr>
          <w:rFonts w:ascii="Arial" w:cs="Arial" w:eastAsia="Arial" w:hAnsi="Arial"/>
          <w:sz w:val="22"/>
          <w:szCs w:val="22"/>
        </w:rPr>
        <w:t xml:space="preserve"> via cytochrome P450 monoxygenation. Menthofuran (1–17% of peppermint oil) is produced when pulegone is oxidized rather than reduced. The balance between menthol and menthofuran production varies dramatically by plant genotype and environmental stress.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Transcriptional Regulation:</w:t>
      </w:r>
      <w:r>
        <w:rPr>
          <w:rFonts w:ascii="Arial" w:cs="Arial" w:eastAsia="Arial" w:hAnsi="Arial"/>
          <w:sz w:val="22"/>
          <w:szCs w:val="22"/>
        </w:rPr>
        <w:t xml:space="preserve"> Expression of key reductase genes (particularly PR and MMR) is upregulated in response to:</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Developmental stage (later in growing season)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Jasmonic acid and other phytohormones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Biotic stress (insect herbivory, microbial elicitors)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Environmental stress (drought, temperature)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Genetic Variation:</w:t>
      </w:r>
      <w:r>
        <w:rPr>
          <w:rFonts w:ascii="Arial" w:cs="Arial" w:eastAsia="Arial" w:hAnsi="Arial"/>
          <w:sz w:val="22"/>
          <w:szCs w:val="22"/>
        </w:rPr>
        <w:t xml:space="preserve"> Peppermint cultivars (e.g., 'Mitcham' vs. 'Organic') differ significantly in the relative expression of PR vs. MNMR reductases, leading to menthol-rich vs. isomenthol-rich phenotypes.</w:t>
      </w:r>
    </w:p>
    <w:p>
      <w:pPr>
        <w:pStyle w:val="Heading2"/>
        <w:spacing w:after="120" w:before="240"/>
      </w:pPr>
      <w:r>
        <w:rPr>
          <w:rFonts w:ascii="Arial" w:cs="Arial" w:eastAsia="Arial" w:hAnsi="Arial"/>
          <w:b/>
          <w:bCs/>
          <w:color w:val="333333"/>
          <w:sz w:val="26"/>
          <w:szCs w:val="26"/>
        </w:rPr>
        <w:t xml:space="preserve">Comparative Abundance Across Mentha Species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277BD" w:val="clear"/>
            <w:tcMar>
              <w:top w:type="dxa" w:w="60"/>
              <w:left w:type="dxa" w:w="100"/>
              <w:bottom w:type="dxa" w:w="60"/>
              <w:right w:type="dxa" w:w="100"/>
            </w:tcMar>
          </w:tcPr>
          <w:p>
            <w:r>
              <w:rPr>
                <w:rFonts w:ascii="Arial" w:cs="Arial" w:eastAsia="Arial" w:hAnsi="Arial"/>
                <w:b/>
                <w:bCs/>
                <w:color w:val="FFFFFF"/>
                <w:sz w:val="20"/>
                <w:szCs w:val="20"/>
              </w:rPr>
              <w:t xml:space="preserve">Species</w:t>
            </w:r>
          </w:p>
        </w:tc>
        <w:tc>
          <w:tcPr>
            <w:tcW w:type="dxa" w:w="3120"/>
            <w:tcBorders>
              <w:top w:val="single" w:color="CCCCCC" w:sz="1"/>
              <w:left w:val="single" w:color="CCCCCC" w:sz="1"/>
              <w:bottom w:val="single" w:color="CCCCCC" w:sz="1"/>
              <w:right w:val="single" w:color="CCCCCC" w:sz="1"/>
            </w:tcBorders>
            <w:shd w:fill="0277BD" w:val="clear"/>
            <w:tcMar>
              <w:top w:type="dxa" w:w="60"/>
              <w:left w:type="dxa" w:w="100"/>
              <w:bottom w:type="dxa" w:w="60"/>
              <w:right w:type="dxa" w:w="100"/>
            </w:tcMar>
          </w:tcPr>
          <w:p>
            <w:r>
              <w:rPr>
                <w:rFonts w:ascii="Arial" w:cs="Arial" w:eastAsia="Arial" w:hAnsi="Arial"/>
                <w:b/>
                <w:bCs/>
                <w:color w:val="FFFFFF"/>
                <w:sz w:val="20"/>
                <w:szCs w:val="20"/>
              </w:rPr>
              <w:t xml:space="preserve">(-)-Menthol Content</w:t>
            </w:r>
          </w:p>
        </w:tc>
        <w:tc>
          <w:tcPr>
            <w:tcW w:type="dxa" w:w="3120"/>
            <w:tcBorders>
              <w:top w:val="single" w:color="CCCCCC" w:sz="1"/>
              <w:left w:val="single" w:color="CCCCCC" w:sz="1"/>
              <w:bottom w:val="single" w:color="CCCCCC" w:sz="1"/>
              <w:right w:val="single" w:color="CCCCCC" w:sz="1"/>
            </w:tcBorders>
            <w:shd w:fill="0277BD"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*Mentha × piperita* (Peppermint)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30–50% (avg. 41%)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Primary culinary and medicinal form; well-regulated pathway</w:t>
            </w:r>
          </w:p>
        </w:tc>
      </w:tr>
      <w:tr>
        <w:tc>
          <w:tcPr>
            <w:tcW w:type="dxa" w:w="312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*Mentha arvensis* (Cornmint/Japanese mint)</w:t>
            </w:r>
          </w:p>
        </w:tc>
        <w:tc>
          <w:tcPr>
            <w:tcW w:type="dxa" w:w="312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70–90%</w:t>
            </w:r>
          </w:p>
        </w:tc>
        <w:tc>
          <w:tcPr>
            <w:tcW w:type="dxa" w:w="312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Primary commercial source</w:t>
            </w:r>
            <w:r>
              <w:rPr>
                <w:rFonts w:ascii="Arial" w:cs="Arial" w:eastAsia="Arial" w:hAnsi="Arial"/>
                <w:b w:val="false"/>
                <w:bCs w:val="false"/>
                <w:color w:val="333333"/>
                <w:sz w:val="20"/>
                <w:szCs w:val="20"/>
              </w:rPr>
              <w:t xml:space="preserve"> for menthol extraction; can contain up to 90% (-)-menthol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*Mentha haplocalyx* (Field mint)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20–60%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Used in Traditional Chinese Medicine (bo he); variable composition</w:t>
            </w:r>
          </w:p>
        </w:tc>
      </w:tr>
      <w:tr>
        <w:tc>
          <w:tcPr>
            <w:tcW w:type="dxa" w:w="312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*Mentha spicata* (Spearmint)</w:t>
            </w:r>
          </w:p>
        </w:tc>
        <w:tc>
          <w:tcPr>
            <w:tcW w:type="dxa" w:w="312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0.1–5%</w:t>
            </w:r>
          </w:p>
        </w:tc>
        <w:tc>
          <w:tcPr>
            <w:tcW w:type="dxa" w:w="312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Very low menthol; rich in carvone instead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*Mentha pulegium* (Pennyroyal)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2–10% (but 50% pulegone)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Toxic</w:t>
            </w:r>
            <w:r>
              <w:rPr>
                <w:rFonts w:ascii="Arial" w:cs="Arial" w:eastAsia="Arial" w:hAnsi="Arial"/>
                <w:b w:val="false"/>
                <w:bCs w:val="false"/>
                <w:color w:val="333333"/>
                <w:sz w:val="20"/>
                <w:szCs w:val="20"/>
              </w:rPr>
              <w:t xml:space="preserve">; pulegone-rich rather than menthol-rich</w:t>
            </w:r>
          </w:p>
        </w:tc>
      </w:tr>
    </w:tbl>
    <w:p>
      <w:pPr>
        <w:spacing w:after="120"/>
      </w:pPr>
    </w:p>
    <w:p>
      <w:pPr>
        <w:spacing w:after="120" w:line="300"/>
      </w:pPr>
      <w:r>
        <w:rPr>
          <w:rFonts w:ascii="Arial" w:cs="Arial" w:eastAsia="Arial" w:hAnsi="Arial"/>
          <w:sz w:val="22"/>
          <w:szCs w:val="22"/>
        </w:rPr>
        <w:t xml:space="preserve">The dramatic difference between *Mentha arvensis* (70–90% menthol) and *Mentha × piperita* (30–50%) reflects different selective breeding histories and underlying genetic variation in reductase expression.</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277BD"/>
          <w:sz w:val="30"/>
          <w:szCs w:val="30"/>
        </w:rPr>
        <w:t xml:space="preserve">3. Sensory Profile: The Quintessential "Cool" Sensation</w:t>
      </w:r>
    </w:p>
    <w:p>
      <w:pPr>
        <w:pStyle w:val="Heading2"/>
        <w:spacing w:after="120" w:before="240"/>
      </w:pPr>
      <w:r>
        <w:rPr>
          <w:rFonts w:ascii="Arial" w:cs="Arial" w:eastAsia="Arial" w:hAnsi="Arial"/>
          <w:b/>
          <w:bCs/>
          <w:color w:val="333333"/>
          <w:sz w:val="26"/>
          <w:szCs w:val="26"/>
        </w:rPr>
        <w:t xml:space="preserve">Perceptual Characteristics</w:t>
      </w:r>
    </w:p>
    <w:p>
      <w:pPr>
        <w:spacing w:after="120" w:line="300"/>
      </w:pPr>
      <w:r>
        <w:rPr>
          <w:rFonts w:ascii="Arial" w:cs="Arial" w:eastAsia="Arial" w:hAnsi="Arial"/>
          <w:sz w:val="22"/>
          <w:szCs w:val="22"/>
        </w:rPr>
        <w:t xml:space="preserve">Menthol is universally described as: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Cool, minty, fresh, penetrating, clean, herbaceous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Immediately apparent</w:t>
      </w:r>
      <w:r>
        <w:rPr>
          <w:rFonts w:ascii="Arial" w:cs="Arial" w:eastAsia="Arial" w:hAnsi="Arial"/>
          <w:sz w:val="22"/>
          <w:szCs w:val="22"/>
        </w:rPr>
        <w:t xml:space="preserve">, with a sharp onset</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Long-lasting</w:t>
      </w:r>
      <w:r>
        <w:rPr>
          <w:rFonts w:ascii="Arial" w:cs="Arial" w:eastAsia="Arial" w:hAnsi="Arial"/>
          <w:sz w:val="22"/>
          <w:szCs w:val="22"/>
        </w:rPr>
        <w:t xml:space="preserve"> in both oral and topical perception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NOT actually cold</w:t>
      </w:r>
      <w:r>
        <w:rPr>
          <w:rFonts w:ascii="Arial" w:cs="Arial" w:eastAsia="Arial" w:hAnsi="Arial"/>
          <w:sz w:val="22"/>
          <w:szCs w:val="22"/>
        </w:rPr>
        <w:t xml:space="preserve">—the perceived cooling reflects receptor activation, not temperature reduction</w:t>
      </w:r>
    </w:p>
    <w:p>
      <w:pPr>
        <w:spacing w:after="120" w:line="300"/>
      </w:pPr>
      <w:r>
        <w:rPr>
          <w:rFonts w:ascii="Arial" w:cs="Arial" w:eastAsia="Arial" w:hAnsi="Arial"/>
          <w:sz w:val="22"/>
          <w:szCs w:val="22"/>
        </w:rPr>
        <w:t xml:space="preserve">The sensory intensity varies with stereoisomer: (-)-menthol produces a sharper, more intense cooling sensation than (+)-menthol or other isomers.</w:t>
      </w:r>
    </w:p>
    <w:p>
      <w:pPr>
        <w:pStyle w:val="Heading2"/>
        <w:spacing w:after="120" w:before="240"/>
      </w:pPr>
      <w:r>
        <w:rPr>
          <w:rFonts w:ascii="Arial" w:cs="Arial" w:eastAsia="Arial" w:hAnsi="Arial"/>
          <w:b/>
          <w:bCs/>
          <w:color w:val="333333"/>
          <w:sz w:val="26"/>
          <w:szCs w:val="26"/>
        </w:rPr>
        <w:t xml:space="preserve">Sensory Detection Threshold</w:t>
      </w:r>
    </w:p>
    <w:p>
      <w:pPr>
        <w:spacing w:after="120" w:line="300"/>
      </w:pPr>
      <w:r>
        <w:rPr>
          <w:rFonts w:ascii="Arial" w:cs="Arial" w:eastAsia="Arial" w:hAnsi="Arial"/>
          <w:b/>
          <w:bCs/>
          <w:sz w:val="22"/>
          <w:szCs w:val="22"/>
        </w:rPr>
        <w:t xml:space="preserve">Odor Detection Threshold (OT):</w:t>
      </w:r>
      <w:r>
        <w:rPr>
          <w:rFonts w:ascii="Arial" w:cs="Arial" w:eastAsia="Arial" w:hAnsi="Arial"/>
          <w:sz w:val="22"/>
          <w:szCs w:val="22"/>
        </w:rPr>
        <w:t xml:space="preserve"> Approximately 0.1–10 ppb (parts per billion) depending on methodology; menthol is detectable at extremely low concentrations in air.</w:t>
      </w:r>
    </w:p>
    <w:p>
      <w:pPr>
        <w:spacing w:after="120" w:line="300"/>
      </w:pPr>
      <w:r>
        <w:rPr>
          <w:rFonts w:ascii="Arial" w:cs="Arial" w:eastAsia="Arial" w:hAnsi="Arial"/>
          <w:b/>
          <w:bCs/>
          <w:sz w:val="22"/>
          <w:szCs w:val="22"/>
        </w:rPr>
        <w:t xml:space="preserve">Taste Detection Threshold:</w:t>
      </w:r>
      <w:r>
        <w:rPr>
          <w:rFonts w:ascii="Arial" w:cs="Arial" w:eastAsia="Arial" w:hAnsi="Arial"/>
          <w:sz w:val="22"/>
          <w:szCs w:val="22"/>
        </w:rPr>
        <w:t xml:space="preserve"> 10–100 ppm in aqueous solution; higher than olfactory threshold, indicating olfactory dominance in menthol perception.</w:t>
      </w:r>
    </w:p>
    <w:p>
      <w:pPr>
        <w:spacing w:after="120" w:line="300"/>
      </w:pPr>
      <w:r>
        <w:rPr>
          <w:rFonts w:ascii="Arial" w:cs="Arial" w:eastAsia="Arial" w:hAnsi="Arial"/>
          <w:b/>
          <w:bCs/>
          <w:sz w:val="22"/>
          <w:szCs w:val="22"/>
        </w:rPr>
        <w:t xml:space="preserve">Trigeminal (TRPM8) Activation:</w:t>
      </w:r>
      <w:r>
        <w:rPr>
          <w:rFonts w:ascii="Arial" w:cs="Arial" w:eastAsia="Arial" w:hAnsi="Arial"/>
          <w:sz w:val="22"/>
          <w:szCs w:val="22"/>
        </w:rPr>
        <w:t xml:space="preserve"> Menthol activates TRPM8 at micromolar concentrations (EC₅₀ ~10 μM for mammalian TRPM8), far below levels that activate other TRP channels, making it a highly selective TRPM8 agonist.</w:t>
      </w:r>
    </w:p>
    <w:p>
      <w:pPr>
        <w:spacing w:after="120" w:line="300"/>
      </w:pPr>
      <w:r>
        <w:rPr>
          <w:rFonts w:ascii="Arial" w:cs="Arial" w:eastAsia="Arial" w:hAnsi="Arial"/>
          <w:b/>
          <w:bCs/>
          <w:sz w:val="22"/>
          <w:szCs w:val="22"/>
        </w:rPr>
        <w:t xml:space="preserve">L-menthol vs. D-menthol:</w:t>
      </w:r>
      <w:r>
        <w:rPr>
          <w:rFonts w:ascii="Arial" w:cs="Arial" w:eastAsia="Arial" w:hAnsi="Arial"/>
          <w:sz w:val="22"/>
          <w:szCs w:val="22"/>
        </w:rPr>
        <w:t xml:space="preserve"> L-menthol (natural (-)-menthol) has a </w:t>
      </w:r>
      <w:r>
        <w:rPr>
          <w:rFonts w:ascii="Arial" w:cs="Arial" w:eastAsia="Arial" w:hAnsi="Arial"/>
          <w:b/>
          <w:bCs/>
          <w:sz w:val="22"/>
          <w:szCs w:val="22"/>
        </w:rPr>
        <w:t xml:space="preserve">lower sensory detection threshold</w:t>
      </w:r>
      <w:r>
        <w:rPr>
          <w:rFonts w:ascii="Arial" w:cs="Arial" w:eastAsia="Arial" w:hAnsi="Arial"/>
          <w:sz w:val="22"/>
          <w:szCs w:val="22"/>
        </w:rPr>
        <w:t xml:space="preserve"> and produces a </w:t>
      </w:r>
      <w:r>
        <w:rPr>
          <w:rFonts w:ascii="Arial" w:cs="Arial" w:eastAsia="Arial" w:hAnsi="Arial"/>
          <w:b/>
          <w:bCs/>
          <w:sz w:val="22"/>
          <w:szCs w:val="22"/>
        </w:rPr>
        <w:t xml:space="preserve">more potent cooling sensation</w:t>
      </w:r>
      <w:r>
        <w:rPr>
          <w:rFonts w:ascii="Arial" w:cs="Arial" w:eastAsia="Arial" w:hAnsi="Arial"/>
          <w:sz w:val="22"/>
          <w:szCs w:val="22"/>
        </w:rPr>
        <w:t xml:space="preserve"> than D-menthol (the unnatural (+)-menthol enantiomer), reflecting stereoselective TRPM8 binding.</w:t>
      </w:r>
    </w:p>
    <w:p>
      <w:pPr>
        <w:pStyle w:val="Heading2"/>
        <w:spacing w:after="120" w:before="240"/>
      </w:pPr>
      <w:r>
        <w:rPr>
          <w:rFonts w:ascii="Arial" w:cs="Arial" w:eastAsia="Arial" w:hAnsi="Arial"/>
          <w:b/>
          <w:bCs/>
          <w:color w:val="333333"/>
          <w:sz w:val="26"/>
          <w:szCs w:val="26"/>
        </w:rPr>
        <w:t xml:space="preserve">The Cooling Paradox: Not Temperature, But Receptor Simulation</w:t>
      </w:r>
    </w:p>
    <w:p>
      <w:pPr>
        <w:spacing w:after="120" w:line="300"/>
      </w:pPr>
      <w:r>
        <w:rPr>
          <w:rFonts w:ascii="Arial" w:cs="Arial" w:eastAsia="Arial" w:hAnsi="Arial"/>
          <w:sz w:val="22"/>
          <w:szCs w:val="22"/>
        </w:rPr>
        <w:t xml:space="preserve">Menthol does not actually lower skin or mucosal temperature in measurable ways. Instead, it creates the *perception* of cooling through TRPM8 activation: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TRPM8 (Transient Receptor Potential Melastatin-8)</w:t>
      </w:r>
      <w:r>
        <w:rPr>
          <w:rFonts w:ascii="Arial" w:cs="Arial" w:eastAsia="Arial" w:hAnsi="Arial"/>
          <w:sz w:val="22"/>
          <w:szCs w:val="22"/>
        </w:rPr>
        <w:t xml:space="preserve"> is a cation channel that normally opens when ambient temperature drops below ~26 °C (79 °F).</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is an allosteric agonist of TRPM8, shifting the temperature threshold for activation to </w:t>
      </w:r>
      <w:r>
        <w:rPr>
          <w:rFonts w:ascii="Arial" w:cs="Arial" w:eastAsia="Arial" w:hAnsi="Arial"/>
          <w:b/>
          <w:bCs/>
          <w:sz w:val="22"/>
          <w:szCs w:val="22"/>
        </w:rPr>
        <w:t xml:space="preserve">warmer temperatures</w:t>
      </w:r>
      <w:r>
        <w:rPr>
          <w:rFonts w:ascii="Arial" w:cs="Arial" w:eastAsia="Arial" w:hAnsi="Arial"/>
          <w:sz w:val="22"/>
          <w:szCs w:val="22"/>
        </w:rPr>
        <w:t xml:space="preserve">—essentially "tricking" the channel into opening at room temperature.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Once TRPM8 opens, calcium and sodium ions flow into nerve terminals, generating action potentials interpreted by the brain as "cold."</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This occurs despite no actual temperature decrease, explaining why menthol feels cold without touching an ice pack.</w:t>
      </w:r>
    </w:p>
    <w:p>
      <w:pPr>
        <w:pStyle w:val="Heading2"/>
        <w:spacing w:after="120" w:before="240"/>
      </w:pPr>
      <w:r>
        <w:rPr>
          <w:rFonts w:ascii="Arial" w:cs="Arial" w:eastAsia="Arial" w:hAnsi="Arial"/>
          <w:b/>
          <w:bCs/>
          <w:color w:val="333333"/>
          <w:sz w:val="26"/>
          <w:szCs w:val="26"/>
        </w:rPr>
        <w:t xml:space="preserve">Concentration-Dependent Sensory Effects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Low concentrations (0.1–1%):</w:t>
      </w:r>
      <w:r>
        <w:rPr>
          <w:rFonts w:ascii="Arial" w:cs="Arial" w:eastAsia="Arial" w:hAnsi="Arial"/>
          <w:sz w:val="22"/>
          <w:szCs w:val="22"/>
        </w:rPr>
        <w:t xml:space="preserve"> Sharp, clean cooling</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High concentrations (&gt;5%):</w:t>
      </w:r>
      <w:r>
        <w:rPr>
          <w:rFonts w:ascii="Arial" w:cs="Arial" w:eastAsia="Arial" w:hAnsi="Arial"/>
          <w:sz w:val="22"/>
          <w:szCs w:val="22"/>
        </w:rPr>
        <w:t xml:space="preserve"> Cooling remains dominant, but potential mild burning/irritation may emerge due to TRPA1 activation (see Section 4)</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Extremely high concentrations (&gt;10%):</w:t>
      </w:r>
      <w:r>
        <w:rPr>
          <w:rFonts w:ascii="Arial" w:cs="Arial" w:eastAsia="Arial" w:hAnsi="Arial"/>
          <w:sz w:val="22"/>
          <w:szCs w:val="22"/>
        </w:rPr>
        <w:t xml:space="preserve"> Can produce noxious burning sensation, reversing to pain rather than pure cooling</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277BD"/>
          <w:sz w:val="30"/>
          <w:szCs w:val="30"/>
        </w:rPr>
        <w:t xml:space="preserve">4. Pharmacology: TRP Channel Interactions and Counterirritant Mechanisms</w:t>
      </w:r>
    </w:p>
    <w:p>
      <w:pPr>
        <w:pStyle w:val="Heading2"/>
        <w:spacing w:after="120" w:before="240"/>
      </w:pPr>
      <w:r>
        <w:rPr>
          <w:rFonts w:ascii="Arial" w:cs="Arial" w:eastAsia="Arial" w:hAnsi="Arial"/>
          <w:b/>
          <w:bCs/>
          <w:color w:val="333333"/>
          <w:sz w:val="26"/>
          <w:szCs w:val="26"/>
        </w:rPr>
        <w:t xml:space="preserve">TRPM8: The Primary Target</w:t>
      </w:r>
    </w:p>
    <w:p>
      <w:pPr>
        <w:spacing w:after="120" w:line="300"/>
      </w:pPr>
      <w:r>
        <w:rPr>
          <w:rFonts w:ascii="Arial" w:cs="Arial" w:eastAsia="Arial" w:hAnsi="Arial"/>
          <w:b/>
          <w:bCs/>
          <w:sz w:val="22"/>
          <w:szCs w:val="22"/>
        </w:rPr>
        <w:t xml:space="preserve">TRPM8 (Transient Receptor Potential Melastatin-8)</w:t>
      </w:r>
      <w:r>
        <w:rPr>
          <w:rFonts w:ascii="Arial" w:cs="Arial" w:eastAsia="Arial" w:hAnsi="Arial"/>
          <w:sz w:val="22"/>
          <w:szCs w:val="22"/>
        </w:rPr>
        <w:t xml:space="preserve"> is the signature cold and menthol receptor, and menthol is one of the most potent known TRPM8 agonists.</w:t>
      </w:r>
    </w:p>
    <w:p>
      <w:pPr>
        <w:spacing w:after="100" w:before="200"/>
      </w:pPr>
      <w:r>
        <w:rPr>
          <w:rFonts w:ascii="Arial" w:cs="Arial" w:eastAsia="Arial" w:hAnsi="Arial"/>
          <w:b/>
          <w:bCs/>
          <w:color w:val="444444"/>
          <w:sz w:val="24"/>
          <w:szCs w:val="24"/>
        </w:rPr>
        <w:t xml:space="preserve">Molecular Binding</w:t>
      </w:r>
    </w:p>
    <w:p>
      <w:pPr>
        <w:spacing w:after="120" w:line="300"/>
      </w:pPr>
      <w:r>
        <w:rPr>
          <w:rFonts w:ascii="Arial" w:cs="Arial" w:eastAsia="Arial" w:hAnsi="Arial"/>
          <w:sz w:val="22"/>
          <w:szCs w:val="22"/>
        </w:rPr>
        <w:t xml:space="preserve">Recent cryo-electron microscopy and mutagenesis studies have revealed menthol's precise binding mechanism:</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Menthol's </w:t>
      </w:r>
      <w:r>
        <w:rPr>
          <w:rFonts w:ascii="Arial" w:cs="Arial" w:eastAsia="Arial" w:hAnsi="Arial"/>
          <w:b/>
          <w:bCs/>
          <w:sz w:val="22"/>
          <w:szCs w:val="22"/>
        </w:rPr>
        <w:t xml:space="preserve">hydroxyl group (-OH)</w:t>
      </w:r>
      <w:r>
        <w:rPr>
          <w:rFonts w:ascii="Arial" w:cs="Arial" w:eastAsia="Arial" w:hAnsi="Arial"/>
          <w:sz w:val="22"/>
          <w:szCs w:val="22"/>
        </w:rPr>
        <w:t xml:space="preserve"> hydrogen-bonds to </w:t>
      </w:r>
      <w:r>
        <w:rPr>
          <w:rFonts w:ascii="Arial" w:cs="Arial" w:eastAsia="Arial" w:hAnsi="Arial"/>
          <w:b/>
          <w:bCs/>
          <w:sz w:val="22"/>
          <w:szCs w:val="22"/>
        </w:rPr>
        <w:t xml:space="preserve">arginine 842 (R842)</w:t>
      </w:r>
      <w:r>
        <w:rPr>
          <w:rFonts w:ascii="Arial" w:cs="Arial" w:eastAsia="Arial" w:hAnsi="Arial"/>
          <w:sz w:val="22"/>
          <w:szCs w:val="22"/>
        </w:rPr>
        <w:t xml:space="preserve"> in the voltage-sensor domain (VSD) of TRPM8</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The </w:t>
      </w:r>
      <w:r>
        <w:rPr>
          <w:rFonts w:ascii="Arial" w:cs="Arial" w:eastAsia="Arial" w:hAnsi="Arial"/>
          <w:b/>
          <w:bCs/>
          <w:sz w:val="22"/>
          <w:szCs w:val="22"/>
        </w:rPr>
        <w:t xml:space="preserve">isopropyl side-chain</w:t>
      </w:r>
      <w:r>
        <w:rPr>
          <w:rFonts w:ascii="Arial" w:cs="Arial" w:eastAsia="Arial" w:hAnsi="Arial"/>
          <w:sz w:val="22"/>
          <w:szCs w:val="22"/>
        </w:rPr>
        <w:t xml:space="preserve"> makes hydrophobic contacts with </w:t>
      </w:r>
      <w:r>
        <w:rPr>
          <w:rFonts w:ascii="Arial" w:cs="Arial" w:eastAsia="Arial" w:hAnsi="Arial"/>
          <w:b/>
          <w:bCs/>
          <w:sz w:val="22"/>
          <w:szCs w:val="22"/>
        </w:rPr>
        <w:t xml:space="preserve">isoleucine 846 (I846)</w:t>
      </w:r>
      <w:r>
        <w:rPr>
          <w:rFonts w:ascii="Arial" w:cs="Arial" w:eastAsia="Arial" w:hAnsi="Arial"/>
          <w:sz w:val="22"/>
          <w:szCs w:val="22"/>
        </w:rPr>
        <w:t xml:space="preserve"> and </w:t>
      </w:r>
      <w:r>
        <w:rPr>
          <w:rFonts w:ascii="Arial" w:cs="Arial" w:eastAsia="Arial" w:hAnsi="Arial"/>
          <w:b/>
          <w:bCs/>
          <w:sz w:val="22"/>
          <w:szCs w:val="22"/>
        </w:rPr>
        <w:t xml:space="preserve">leucine 843 (L843)</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This binding induces conformational rearrangements in the </w:t>
      </w:r>
      <w:r>
        <w:rPr>
          <w:rFonts w:ascii="Arial" w:cs="Arial" w:eastAsia="Arial" w:hAnsi="Arial"/>
          <w:b/>
          <w:bCs/>
          <w:sz w:val="22"/>
          <w:szCs w:val="22"/>
        </w:rPr>
        <w:t xml:space="preserve">S4-S5 linker</w:t>
      </w:r>
      <w:r>
        <w:rPr>
          <w:rFonts w:ascii="Arial" w:cs="Arial" w:eastAsia="Arial" w:hAnsi="Arial"/>
          <w:sz w:val="22"/>
          <w:szCs w:val="22"/>
        </w:rPr>
        <w:t xml:space="preserve"> and </w:t>
      </w:r>
      <w:r>
        <w:rPr>
          <w:rFonts w:ascii="Arial" w:cs="Arial" w:eastAsia="Arial" w:hAnsi="Arial"/>
          <w:b/>
          <w:bCs/>
          <w:sz w:val="22"/>
          <w:szCs w:val="22"/>
        </w:rPr>
        <w:t xml:space="preserve">S6 transmembrane helix</w:t>
      </w:r>
      <w:r>
        <w:rPr>
          <w:rFonts w:ascii="Arial" w:cs="Arial" w:eastAsia="Arial" w:hAnsi="Arial"/>
          <w:sz w:val="22"/>
          <w:szCs w:val="22"/>
        </w:rPr>
        <w:t xml:space="preserve">, opening the ion pore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Binding is modulated by </w:t>
      </w:r>
      <w:r>
        <w:rPr>
          <w:rFonts w:ascii="Arial" w:cs="Arial" w:eastAsia="Arial" w:hAnsi="Arial"/>
          <w:b/>
          <w:bCs/>
          <w:sz w:val="22"/>
          <w:szCs w:val="22"/>
        </w:rPr>
        <w:t xml:space="preserve">PIP₂ (phosphatidylinositol 4,5-bisphosphate)</w:t>
      </w:r>
      <w:r>
        <w:rPr>
          <w:rFonts w:ascii="Arial" w:cs="Arial" w:eastAsia="Arial" w:hAnsi="Arial"/>
          <w:sz w:val="22"/>
          <w:szCs w:val="22"/>
        </w:rPr>
        <w:t xml:space="preserve">, a membrane lipid required for full TRPM8 activation</w:t>
      </w:r>
    </w:p>
    <w:p>
      <w:pPr>
        <w:spacing w:after="100" w:before="200"/>
      </w:pPr>
      <w:r>
        <w:rPr>
          <w:rFonts w:ascii="Arial" w:cs="Arial" w:eastAsia="Arial" w:hAnsi="Arial"/>
          <w:b/>
          <w:bCs/>
          <w:color w:val="444444"/>
          <w:sz w:val="24"/>
          <w:szCs w:val="24"/>
        </w:rPr>
        <w:t xml:space="preserve">Functional Consequences of TRPM8 Activation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Ion flux:</w:t>
      </w:r>
      <w:r>
        <w:rPr>
          <w:rFonts w:ascii="Arial" w:cs="Arial" w:eastAsia="Arial" w:hAnsi="Arial"/>
          <w:sz w:val="22"/>
          <w:szCs w:val="22"/>
        </w:rPr>
        <w:t xml:space="preserve"> Influx of Ca²⁺ and Na⁺ into sensory nerve terminals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Calcium dynamics:</w:t>
      </w:r>
      <w:r>
        <w:rPr>
          <w:rFonts w:ascii="Arial" w:cs="Arial" w:eastAsia="Arial" w:hAnsi="Arial"/>
          <w:sz w:val="22"/>
          <w:szCs w:val="22"/>
        </w:rPr>
        <w:t xml:space="preserve"> Increased intracellular [Ca²⁺] triggers calcium-dependent processes including neuropeptide release (e.g., CGRP, substance P)</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Desensitization:</w:t>
      </w:r>
      <w:r>
        <w:rPr>
          <w:rFonts w:ascii="Arial" w:cs="Arial" w:eastAsia="Arial" w:hAnsi="Arial"/>
          <w:sz w:val="22"/>
          <w:szCs w:val="22"/>
        </w:rPr>
        <w:t xml:space="preserve"> Prolonged menthol exposure causes calcium-dependent inactivation; receptor adapts, and the cooling sensation decreases (temporal tolerance)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Central sensitization:</w:t>
      </w:r>
      <w:r>
        <w:rPr>
          <w:rFonts w:ascii="Arial" w:cs="Arial" w:eastAsia="Arial" w:hAnsi="Arial"/>
          <w:sz w:val="22"/>
          <w:szCs w:val="22"/>
        </w:rPr>
        <w:t xml:space="preserve"> TRPM8 activation in primary afferents enhances or inhibits downstream pain processing depending on context</w:t>
      </w:r>
    </w:p>
    <w:p>
      <w:pPr>
        <w:pStyle w:val="Heading2"/>
        <w:spacing w:after="120" w:before="240"/>
      </w:pPr>
      <w:r>
        <w:rPr>
          <w:rFonts w:ascii="Arial" w:cs="Arial" w:eastAsia="Arial" w:hAnsi="Arial"/>
          <w:b/>
          <w:bCs/>
          <w:color w:val="333333"/>
          <w:sz w:val="26"/>
          <w:szCs w:val="26"/>
        </w:rPr>
        <w:t xml:space="preserve">TRPA1: Concentration-Dependent Modulation</w:t>
      </w:r>
    </w:p>
    <w:p>
      <w:pPr>
        <w:spacing w:after="120" w:line="300"/>
      </w:pPr>
      <w:r>
        <w:rPr>
          <w:rFonts w:ascii="Arial" w:cs="Arial" w:eastAsia="Arial" w:hAnsi="Arial"/>
          <w:sz w:val="22"/>
          <w:szCs w:val="22"/>
        </w:rPr>
        <w:t xml:space="preserve">At physiologically relevant concentrations, menthol exhibits </w:t>
      </w:r>
      <w:r>
        <w:rPr>
          <w:rFonts w:ascii="Arial" w:cs="Arial" w:eastAsia="Arial" w:hAnsi="Arial"/>
          <w:b/>
          <w:bCs/>
          <w:sz w:val="22"/>
          <w:szCs w:val="22"/>
        </w:rPr>
        <w:t xml:space="preserve">bimodal effects on TRPA1</w:t>
      </w:r>
      <w:r>
        <w:rPr>
          <w:rFonts w:ascii="Arial" w:cs="Arial" w:eastAsia="Arial" w:hAnsi="Arial"/>
          <w:sz w:val="22"/>
          <w:szCs w:val="22"/>
        </w:rPr>
        <w:t xml:space="preserve"> (Transient Receptor Potential Ankyrin-1):</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Low concentrations (submicromolar to low-micromolar):</w:t>
      </w:r>
      <w:r>
        <w:rPr>
          <w:rFonts w:ascii="Arial" w:cs="Arial" w:eastAsia="Arial" w:hAnsi="Arial"/>
          <w:sz w:val="22"/>
          <w:szCs w:val="22"/>
        </w:rPr>
        <w:t xml:space="preserve"> Menthol activates TRPA1, contributing to mild irritant sensations and inflammation-like responses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High concentrations (&gt;50 μM):</w:t>
      </w:r>
      <w:r>
        <w:rPr>
          <w:rFonts w:ascii="Arial" w:cs="Arial" w:eastAsia="Arial" w:hAnsi="Arial"/>
          <w:sz w:val="22"/>
          <w:szCs w:val="22"/>
        </w:rPr>
        <w:t xml:space="preserve"> Menthol acts as a </w:t>
      </w:r>
      <w:r>
        <w:rPr>
          <w:rFonts w:ascii="Arial" w:cs="Arial" w:eastAsia="Arial" w:hAnsi="Arial"/>
          <w:b/>
          <w:bCs/>
          <w:sz w:val="22"/>
          <w:szCs w:val="22"/>
        </w:rPr>
        <w:t xml:space="preserve">TRPA1 antagonist</w:t>
      </w:r>
      <w:r>
        <w:rPr>
          <w:rFonts w:ascii="Arial" w:cs="Arial" w:eastAsia="Arial" w:hAnsi="Arial"/>
          <w:sz w:val="22"/>
          <w:szCs w:val="22"/>
        </w:rPr>
        <w:t xml:space="preserve">, blocking channel activation</w:t>
      </w:r>
    </w:p>
    <w:p>
      <w:pPr>
        <w:spacing w:after="120" w:line="300"/>
      </w:pPr>
      <w:r>
        <w:rPr>
          <w:rFonts w:ascii="Arial" w:cs="Arial" w:eastAsia="Arial" w:hAnsi="Arial"/>
          <w:sz w:val="22"/>
          <w:szCs w:val="22"/>
        </w:rPr>
        <w:t xml:space="preserve">TRPA1 is normally activated by pungent compounds (mustard oil, cinnamon, garlic, wasabi) and oxidative stress mediators. Menthol's concentration-dependent antagonism may explain why high-dose menthol applications can suppress irritation rather than enhance it.</w:t>
      </w:r>
    </w:p>
    <w:p>
      <w:pPr>
        <w:pStyle w:val="Heading2"/>
        <w:spacing w:after="120" w:before="240"/>
      </w:pPr>
      <w:r>
        <w:rPr>
          <w:rFonts w:ascii="Arial" w:cs="Arial" w:eastAsia="Arial" w:hAnsi="Arial"/>
          <w:b/>
          <w:bCs/>
          <w:color w:val="333333"/>
          <w:sz w:val="26"/>
          <w:szCs w:val="26"/>
        </w:rPr>
        <w:t xml:space="preserve">TRPV3 and TRPV4</w:t>
      </w:r>
    </w:p>
    <w:p>
      <w:pPr>
        <w:spacing w:after="120" w:line="300"/>
      </w:pPr>
      <w:r>
        <w:rPr>
          <w:rFonts w:ascii="Arial" w:cs="Arial" w:eastAsia="Arial" w:hAnsi="Arial"/>
          <w:sz w:val="22"/>
          <w:szCs w:val="22"/>
        </w:rPr>
        <w:t xml:space="preserve">Menthol activates </w:t>
      </w:r>
      <w:r>
        <w:rPr>
          <w:rFonts w:ascii="Arial" w:cs="Arial" w:eastAsia="Arial" w:hAnsi="Arial"/>
          <w:b/>
          <w:bCs/>
          <w:sz w:val="22"/>
          <w:szCs w:val="22"/>
        </w:rPr>
        <w:t xml:space="preserve">TRPV3</w:t>
      </w:r>
      <w:r>
        <w:rPr>
          <w:rFonts w:ascii="Arial" w:cs="Arial" w:eastAsia="Arial" w:hAnsi="Arial"/>
          <w:sz w:val="22"/>
          <w:szCs w:val="22"/>
        </w:rPr>
        <w:t xml:space="preserve"> (warm sensor; normally activated at ~33–39 °C) and shows complex effects on </w:t>
      </w:r>
      <w:r>
        <w:rPr>
          <w:rFonts w:ascii="Arial" w:cs="Arial" w:eastAsia="Arial" w:hAnsi="Arial"/>
          <w:b/>
          <w:bCs/>
          <w:sz w:val="22"/>
          <w:szCs w:val="22"/>
        </w:rPr>
        <w:t xml:space="preserve">TRPV4</w:t>
      </w:r>
      <w:r>
        <w:rPr>
          <w:rFonts w:ascii="Arial" w:cs="Arial" w:eastAsia="Arial" w:hAnsi="Arial"/>
          <w:sz w:val="22"/>
          <w:szCs w:val="22"/>
        </w:rPr>
        <w:t xml:space="preserve">, likely contributing to its anti-inflammatory and analgesic properties through modulation of calcium signaling in skin and mucosal tissues.</w:t>
      </w:r>
    </w:p>
    <w:p>
      <w:pPr>
        <w:pStyle w:val="Heading2"/>
        <w:spacing w:after="120" w:before="240"/>
      </w:pPr>
      <w:r>
        <w:rPr>
          <w:rFonts w:ascii="Arial" w:cs="Arial" w:eastAsia="Arial" w:hAnsi="Arial"/>
          <w:b/>
          <w:bCs/>
          <w:color w:val="333333"/>
          <w:sz w:val="26"/>
          <w:szCs w:val="26"/>
        </w:rPr>
        <w:t xml:space="preserve">TRPM8-TRPV1 Cross-Desensitization: The Cold-Heat Interaction</w:t>
      </w:r>
    </w:p>
    <w:p>
      <w:pPr>
        <w:spacing w:after="120" w:line="300"/>
      </w:pPr>
      <w:r>
        <w:rPr>
          <w:rFonts w:ascii="Arial" w:cs="Arial" w:eastAsia="Arial" w:hAnsi="Arial"/>
          <w:sz w:val="22"/>
          <w:szCs w:val="22"/>
        </w:rPr>
        <w:t xml:space="preserve">One of the most clinically relevant pharmacological properties of menthol is its reciprocal inhibition of TRPV1 (heat and capsaicin receptor):</w:t>
      </w:r>
    </w:p>
    <w:p>
      <w:pPr>
        <w:spacing w:after="100" w:before="200"/>
      </w:pPr>
      <w:r>
        <w:rPr>
          <w:rFonts w:ascii="Arial" w:cs="Arial" w:eastAsia="Arial" w:hAnsi="Arial"/>
          <w:b/>
          <w:bCs/>
          <w:color w:val="444444"/>
          <w:sz w:val="24"/>
          <w:szCs w:val="24"/>
        </w:rPr>
        <w:t xml:space="preserve">Experimental Evidence</w:t>
      </w:r>
    </w:p>
    <w:p>
      <w:pPr>
        <w:spacing w:after="120" w:line="300"/>
      </w:pPr>
      <w:r>
        <w:rPr>
          <w:rFonts w:ascii="Arial" w:cs="Arial" w:eastAsia="Arial" w:hAnsi="Arial"/>
          <w:sz w:val="22"/>
          <w:szCs w:val="22"/>
        </w:rPr>
        <w:t xml:space="preserve">Studies in heterologous expression systems and primary sensory neurons show:</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TRPV1 currents activated by heat and capsaicin are reversibly inhibited by menthol</w:t>
      </w:r>
      <w:r>
        <w:rPr>
          <w:rFonts w:ascii="Arial" w:cs="Arial" w:eastAsia="Arial" w:hAnsi="Arial"/>
          <w:sz w:val="22"/>
          <w:szCs w:val="22"/>
        </w:rPr>
        <w:t xml:space="preserve"> in a dose-dependent manner</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Conversely, </w:t>
      </w:r>
      <w:r>
        <w:rPr>
          <w:rFonts w:ascii="Arial" w:cs="Arial" w:eastAsia="Arial" w:hAnsi="Arial"/>
          <w:b/>
          <w:bCs/>
          <w:sz w:val="22"/>
          <w:szCs w:val="22"/>
        </w:rPr>
        <w:t xml:space="preserve">TRPM8 currents are inhibited by capsaicin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This reciprocal inhibition suggests that activation of one channel suppresses the other</w:t>
      </w:r>
    </w:p>
    <w:p>
      <w:pPr>
        <w:spacing w:after="100" w:before="200"/>
      </w:pPr>
      <w:r>
        <w:rPr>
          <w:rFonts w:ascii="Arial" w:cs="Arial" w:eastAsia="Arial" w:hAnsi="Arial"/>
          <w:b/>
          <w:bCs/>
          <w:color w:val="444444"/>
          <w:sz w:val="24"/>
          <w:szCs w:val="24"/>
        </w:rPr>
        <w:t xml:space="preserve">Molecular Basis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Both TRPM8 and TRPV1 are present on the same sensory neurons (C-fibers and A-delta fibers)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Menthol-induced TRPM8 activation leads to </w:t>
      </w:r>
      <w:r>
        <w:rPr>
          <w:rFonts w:ascii="Arial" w:cs="Arial" w:eastAsia="Arial" w:hAnsi="Arial"/>
          <w:b/>
          <w:bCs/>
          <w:sz w:val="22"/>
          <w:szCs w:val="22"/>
        </w:rPr>
        <w:t xml:space="preserve">local calcium overload</w:t>
      </w:r>
      <w:r>
        <w:rPr>
          <w:rFonts w:ascii="Arial" w:cs="Arial" w:eastAsia="Arial" w:hAnsi="Arial"/>
          <w:sz w:val="22"/>
          <w:szCs w:val="22"/>
        </w:rPr>
        <w:t xml:space="preserve"> in nerve terminals, triggering internalization or desensitization of nearby TRPV1 channels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TRPV1 desensitization involves calcium-calmodulin-dependent dephosphorylation and channel internalization, reducing heat and pain sensitivity</w:t>
      </w:r>
    </w:p>
    <w:p>
      <w:pPr>
        <w:spacing w:after="100" w:before="200"/>
      </w:pPr>
      <w:r>
        <w:rPr>
          <w:rFonts w:ascii="Arial" w:cs="Arial" w:eastAsia="Arial" w:hAnsi="Arial"/>
          <w:b/>
          <w:bCs/>
          <w:color w:val="444444"/>
          <w:sz w:val="24"/>
          <w:szCs w:val="24"/>
        </w:rPr>
        <w:t xml:space="preserve">In Vivo Consequences</w:t>
      </w:r>
    </w:p>
    <w:p>
      <w:pPr>
        <w:spacing w:after="120" w:line="300"/>
      </w:pPr>
      <w:r>
        <w:rPr>
          <w:rFonts w:ascii="Arial" w:cs="Arial" w:eastAsia="Arial" w:hAnsi="Arial"/>
          <w:sz w:val="22"/>
          <w:szCs w:val="22"/>
        </w:rPr>
        <w:t xml:space="preserve">A classic experiment demonstrates this in behavior: when capsaicin is applied to the skin 3–5 minutes after menthol application, the resulting sensory irritation and pain are </w:t>
      </w:r>
      <w:r>
        <w:rPr>
          <w:rFonts w:ascii="Arial" w:cs="Arial" w:eastAsia="Arial" w:hAnsi="Arial"/>
          <w:b/>
          <w:bCs/>
          <w:sz w:val="22"/>
          <w:szCs w:val="22"/>
        </w:rPr>
        <w:t xml:space="preserve">significantly reduced compared to capsaicin alone</w:t>
      </w:r>
      <w:r>
        <w:rPr>
          <w:rFonts w:ascii="Arial" w:cs="Arial" w:eastAsia="Arial" w:hAnsi="Arial"/>
          <w:sz w:val="22"/>
          <w:szCs w:val="22"/>
        </w:rPr>
        <w:t xml:space="preserve">. This represents </w:t>
      </w:r>
      <w:r>
        <w:rPr>
          <w:rFonts w:ascii="Arial" w:cs="Arial" w:eastAsia="Arial" w:hAnsi="Arial"/>
          <w:b/>
          <w:bCs/>
          <w:sz w:val="22"/>
          <w:szCs w:val="22"/>
        </w:rPr>
        <w:t xml:space="preserve">menthol-induced cross-desensitization to subsequent painful stimuli</w:t>
      </w:r>
      <w:r>
        <w:rPr>
          <w:rFonts w:ascii="Arial" w:cs="Arial" w:eastAsia="Arial" w:hAnsi="Arial"/>
          <w:sz w:val="22"/>
          <w:szCs w:val="22"/>
        </w:rPr>
        <w:t xml:space="preserve">.</w:t>
      </w:r>
    </w:p>
    <w:p>
      <w:pPr>
        <w:pStyle w:val="Heading2"/>
        <w:spacing w:after="120" w:before="240"/>
      </w:pPr>
      <w:r>
        <w:rPr>
          <w:rFonts w:ascii="Arial" w:cs="Arial" w:eastAsia="Arial" w:hAnsi="Arial"/>
          <w:b/>
          <w:bCs/>
          <w:color w:val="333333"/>
          <w:sz w:val="26"/>
          <w:szCs w:val="26"/>
        </w:rPr>
        <w:t xml:space="preserve">Analgesic Mechanisms</w:t>
      </w:r>
    </w:p>
    <w:p>
      <w:pPr>
        <w:spacing w:after="120" w:line="300"/>
      </w:pPr>
      <w:r>
        <w:rPr>
          <w:rFonts w:ascii="Arial" w:cs="Arial" w:eastAsia="Arial" w:hAnsi="Arial"/>
          <w:sz w:val="22"/>
          <w:szCs w:val="22"/>
        </w:rPr>
        <w:t xml:space="preserve">Menthol's pain relief operates through multiple parallel mechanisms: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Gate Control Theory:</w:t>
      </w:r>
      <w:r>
        <w:rPr>
          <w:rFonts w:ascii="Arial" w:cs="Arial" w:eastAsia="Arial" w:hAnsi="Arial"/>
          <w:sz w:val="22"/>
          <w:szCs w:val="22"/>
        </w:rPr>
        <w:t xml:space="preserve"> TRPM8 activation enhances inhibitory interneuron signaling in the spinal dorsal horn, blocking transmission of pain signals from TRPV1+ nociceptors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Descending Inhibition:</w:t>
      </w:r>
      <w:r>
        <w:rPr>
          <w:rFonts w:ascii="Arial" w:cs="Arial" w:eastAsia="Arial" w:hAnsi="Arial"/>
          <w:sz w:val="22"/>
          <w:szCs w:val="22"/>
        </w:rPr>
        <w:t xml:space="preserve"> Cold sensation activates brainstem noradrenergic and serotonergic systems that suppress pain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Receptor Desensitization:</w:t>
      </w:r>
      <w:r>
        <w:rPr>
          <w:rFonts w:ascii="Arial" w:cs="Arial" w:eastAsia="Arial" w:hAnsi="Arial"/>
          <w:sz w:val="22"/>
          <w:szCs w:val="22"/>
        </w:rPr>
        <w:t xml:space="preserve"> TRPV1 desensitization directly reduces heat pain sensitivity</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μ-Opioid Potentiation:</w:t>
      </w:r>
      <w:r>
        <w:rPr>
          <w:rFonts w:ascii="Arial" w:cs="Arial" w:eastAsia="Arial" w:hAnsi="Arial"/>
          <w:sz w:val="22"/>
          <w:szCs w:val="22"/>
        </w:rPr>
        <w:t xml:space="preserve"> Some evidence suggests menthol enhances endogenous κ-opioid signaling</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Central Sensitization Reversal:</w:t>
      </w:r>
      <w:r>
        <w:rPr>
          <w:rFonts w:ascii="Arial" w:cs="Arial" w:eastAsia="Arial" w:hAnsi="Arial"/>
          <w:sz w:val="22"/>
          <w:szCs w:val="22"/>
        </w:rPr>
        <w:t xml:space="preserve"> Menthol may reverse central sensitization (wind-up) in chronic pain states by altering calcium dynamics in nociceptive neurons</w:t>
      </w:r>
    </w:p>
    <w:p>
      <w:pPr>
        <w:pStyle w:val="Heading2"/>
        <w:spacing w:after="120" w:before="240"/>
      </w:pPr>
      <w:r>
        <w:rPr>
          <w:rFonts w:ascii="Arial" w:cs="Arial" w:eastAsia="Arial" w:hAnsi="Arial"/>
          <w:b/>
          <w:bCs/>
          <w:color w:val="333333"/>
          <w:sz w:val="26"/>
          <w:szCs w:val="26"/>
        </w:rPr>
        <w:t xml:space="preserve">Anti-inflammatory Actions</w:t>
      </w:r>
    </w:p>
    <w:p>
      <w:pPr>
        <w:spacing w:after="120" w:line="300"/>
      </w:pPr>
      <w:r>
        <w:rPr>
          <w:rFonts w:ascii="Arial" w:cs="Arial" w:eastAsia="Arial" w:hAnsi="Arial"/>
          <w:b/>
          <w:bCs/>
          <w:sz w:val="22"/>
          <w:szCs w:val="22"/>
        </w:rPr>
        <w:t xml:space="preserve">TRPM8 activation on sensory neurons</w:t>
      </w:r>
      <w:r>
        <w:rPr>
          <w:rFonts w:ascii="Arial" w:cs="Arial" w:eastAsia="Arial" w:hAnsi="Arial"/>
          <w:sz w:val="22"/>
          <w:szCs w:val="22"/>
        </w:rPr>
        <w:t xml:space="preserve"> can both enhance and suppress inflammation depending on context:</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Pro-inflammatory:</w:t>
      </w:r>
      <w:r>
        <w:rPr>
          <w:rFonts w:ascii="Arial" w:cs="Arial" w:eastAsia="Arial" w:hAnsi="Arial"/>
          <w:sz w:val="22"/>
          <w:szCs w:val="22"/>
        </w:rPr>
        <w:t xml:space="preserve"> TRPM8 activation triggers CGRP and substance P release, initially promoting neurogenic inflammation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Anti-inflammatory:</w:t>
      </w:r>
      <w:r>
        <w:rPr>
          <w:rFonts w:ascii="Arial" w:cs="Arial" w:eastAsia="Arial" w:hAnsi="Arial"/>
          <w:sz w:val="22"/>
          <w:szCs w:val="22"/>
        </w:rPr>
        <w:t xml:space="preserve"> TRPM8-expressing sensory neurons project to immune cells and contribute to immune regulation; menthol enhances cold-induced thermogenesis and reduces tissue damage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TRP Channel Cross-talk:</w:t>
      </w:r>
      <w:r>
        <w:rPr>
          <w:rFonts w:ascii="Arial" w:cs="Arial" w:eastAsia="Arial" w:hAnsi="Arial"/>
          <w:sz w:val="22"/>
          <w:szCs w:val="22"/>
        </w:rPr>
        <w:t xml:space="preserve"> Simultaneous TRPM8 activation and TRPV1 desensitization (via menthol + heat/capsaicin cross-talk) can suppress chronic inflammatory pain states</w:t>
      </w:r>
    </w:p>
    <w:p>
      <w:pPr>
        <w:spacing w:after="120" w:line="300"/>
      </w:pPr>
      <w:r>
        <w:rPr>
          <w:rFonts w:ascii="Arial" w:cs="Arial" w:eastAsia="Arial" w:hAnsi="Arial"/>
          <w:sz w:val="22"/>
          <w:szCs w:val="22"/>
        </w:rPr>
        <w:t xml:space="preserve">Peppermint essential oil—rich in menthol—shows broad anti-inflammatory effects measured by reduced TNF-α and IL-6 production in inflammatory models.</w:t>
      </w:r>
    </w:p>
    <w:p>
      <w:pPr>
        <w:pStyle w:val="Heading2"/>
        <w:spacing w:after="120" w:before="240"/>
      </w:pPr>
      <w:r>
        <w:rPr>
          <w:rFonts w:ascii="Arial" w:cs="Arial" w:eastAsia="Arial" w:hAnsi="Arial"/>
          <w:b/>
          <w:bCs/>
          <w:color w:val="333333"/>
          <w:sz w:val="26"/>
          <w:szCs w:val="26"/>
        </w:rPr>
        <w:t xml:space="preserve">Antimicrobial and Anti-Pruritic Actions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Antimicrobial:</w:t>
      </w:r>
      <w:r>
        <w:rPr>
          <w:rFonts w:ascii="Arial" w:cs="Arial" w:eastAsia="Arial" w:hAnsi="Arial"/>
          <w:sz w:val="22"/>
          <w:szCs w:val="22"/>
        </w:rPr>
        <w:t xml:space="preserve"> Menthol exhibits direct antimicrobial activity against Gram-positive and Gram-negative bacteria, likely through membrane disruption (though less potent than thymol or carvacrol)</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Anti-pruritic (Itch Suppression):</w:t>
      </w:r>
      <w:r>
        <w:rPr>
          <w:rFonts w:ascii="Arial" w:cs="Arial" w:eastAsia="Arial" w:hAnsi="Arial"/>
          <w:sz w:val="22"/>
          <w:szCs w:val="22"/>
        </w:rPr>
        <w:t xml:space="preserve"> TRPM8 activation on pruritogenic sensory neurons competes with histamine and other itch mediators for central processing; sustained menthol application reduces both histaminergic and non-histaminergic itch</w:t>
      </w:r>
    </w:p>
    <w:p>
      <w:pPr>
        <w:pStyle w:val="Heading2"/>
        <w:spacing w:after="120" w:before="240"/>
      </w:pPr>
      <w:r>
        <w:rPr>
          <w:rFonts w:ascii="Arial" w:cs="Arial" w:eastAsia="Arial" w:hAnsi="Arial"/>
          <w:b/>
          <w:bCs/>
          <w:color w:val="333333"/>
          <w:sz w:val="26"/>
          <w:szCs w:val="26"/>
        </w:rPr>
        <w:t xml:space="preserve">Subjective Bronchodilation (Psychophysical vs. Physiological)</w:t>
      </w:r>
    </w:p>
    <w:p>
      <w:pPr>
        <w:spacing w:after="120" w:line="300"/>
      </w:pPr>
      <w:r>
        <w:rPr>
          <w:rFonts w:ascii="Arial" w:cs="Arial" w:eastAsia="Arial" w:hAnsi="Arial"/>
          <w:sz w:val="22"/>
          <w:szCs w:val="22"/>
        </w:rPr>
        <w:t xml:space="preserve">A key distinction crucial for cannabis pre-loading: menthol does NOT measurably expand airways, but it </w:t>
      </w:r>
      <w:r>
        <w:rPr>
          <w:rFonts w:ascii="Arial" w:cs="Arial" w:eastAsia="Arial" w:hAnsi="Arial"/>
          <w:b/>
          <w:bCs/>
          <w:sz w:val="22"/>
          <w:szCs w:val="22"/>
        </w:rPr>
        <w:t xml:space="preserve">creates the subjective impression of improved breathing</w:t>
      </w:r>
      <w:r>
        <w:rPr>
          <w:rFonts w:ascii="Arial" w:cs="Arial" w:eastAsia="Arial" w:hAnsi="Arial"/>
          <w:sz w:val="22"/>
          <w:szCs w:val="22"/>
        </w:rPr>
        <w:t xml:space="preserve">.</w:t>
      </w:r>
    </w:p>
    <w:p>
      <w:pPr>
        <w:spacing w:after="120" w:line="300"/>
      </w:pPr>
      <w:r>
        <w:rPr>
          <w:rFonts w:ascii="Arial" w:cs="Arial" w:eastAsia="Arial" w:hAnsi="Arial"/>
          <w:sz w:val="22"/>
          <w:szCs w:val="22"/>
        </w:rPr>
        <w:t xml:space="preserve">See Section 13 for detailed discussion of the nasal decongestion myth.</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277BD"/>
          <w:sz w:val="30"/>
          <w:szCs w:val="30"/>
        </w:rPr>
        <w:t xml:space="preserve">5. Clinical Evidence: Human Studies and Systematic Reviews</w:t>
      </w:r>
    </w:p>
    <w:p>
      <w:pPr>
        <w:pStyle w:val="Heading2"/>
        <w:spacing w:after="120" w:before="240"/>
      </w:pPr>
      <w:r>
        <w:rPr>
          <w:rFonts w:ascii="Arial" w:cs="Arial" w:eastAsia="Arial" w:hAnsi="Arial"/>
          <w:b/>
          <w:bCs/>
          <w:color w:val="333333"/>
          <w:sz w:val="26"/>
          <w:szCs w:val="26"/>
        </w:rPr>
        <w:t xml:space="preserve">Topical Analgesia and Musculoskeletal Pain</w:t>
      </w:r>
    </w:p>
    <w:p>
      <w:pPr>
        <w:spacing w:after="100" w:before="200"/>
      </w:pPr>
      <w:r>
        <w:rPr>
          <w:rFonts w:ascii="Arial" w:cs="Arial" w:eastAsia="Arial" w:hAnsi="Arial"/>
          <w:b/>
          <w:bCs/>
          <w:color w:val="444444"/>
          <w:sz w:val="24"/>
          <w:szCs w:val="24"/>
        </w:rPr>
        <w:t xml:space="preserve">Delayed-Onset Muscle Soreness (DOMS)</w:t>
      </w:r>
    </w:p>
    <w:p>
      <w:pPr>
        <w:spacing w:after="120" w:line="300"/>
      </w:pPr>
      <w:r>
        <w:rPr>
          <w:rFonts w:ascii="Arial" w:cs="Arial" w:eastAsia="Arial" w:hAnsi="Arial"/>
          <w:b/>
          <w:bCs/>
          <w:sz w:val="22"/>
          <w:szCs w:val="22"/>
        </w:rPr>
        <w:t xml:space="preserve">Study:</w:t>
      </w:r>
      <w:r>
        <w:rPr>
          <w:rFonts w:ascii="Arial" w:cs="Arial" w:eastAsia="Arial" w:hAnsi="Arial"/>
          <w:sz w:val="22"/>
          <w:szCs w:val="22"/>
        </w:rPr>
        <w:t xml:space="preserve"> Topical menthol vs. ice pack comparison; small RCT</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Outcome:</w:t>
      </w:r>
      <w:r>
        <w:rPr>
          <w:rFonts w:ascii="Arial" w:cs="Arial" w:eastAsia="Arial" w:hAnsi="Arial"/>
          <w:sz w:val="22"/>
          <w:szCs w:val="22"/>
        </w:rPr>
        <w:t xml:space="preserve"> Topical menthol formulation decreased perceived discomfort </w:t>
      </w:r>
      <w:r>
        <w:rPr>
          <w:rFonts w:ascii="Arial" w:cs="Arial" w:eastAsia="Arial" w:hAnsi="Arial"/>
          <w:b/>
          <w:bCs/>
          <w:sz w:val="22"/>
          <w:szCs w:val="22"/>
        </w:rPr>
        <w:t xml:space="preserve">to a greater extent than ice</w:t>
      </w:r>
      <w:r>
        <w:rPr>
          <w:rFonts w:ascii="Arial" w:cs="Arial" w:eastAsia="Arial" w:hAnsi="Arial"/>
          <w:sz w:val="22"/>
          <w:szCs w:val="22"/>
        </w:rPr>
        <w:t xml:space="preserve"> and permitted greater voluntary muscle force production in DOMS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Timeline:</w:t>
      </w:r>
      <w:r>
        <w:rPr>
          <w:rFonts w:ascii="Arial" w:cs="Arial" w:eastAsia="Arial" w:hAnsi="Arial"/>
          <w:sz w:val="22"/>
          <w:szCs w:val="22"/>
        </w:rPr>
        <w:t xml:space="preserve"> Effects measurable within 15–30 minutes of application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Mechanism:</w:t>
      </w:r>
      <w:r>
        <w:rPr>
          <w:rFonts w:ascii="Arial" w:cs="Arial" w:eastAsia="Arial" w:hAnsi="Arial"/>
          <w:sz w:val="22"/>
          <w:szCs w:val="22"/>
        </w:rPr>
        <w:t xml:space="preserve"> TRPM8 gating of pain + perceived cooling &gt; actual temperature effects</w:t>
      </w:r>
    </w:p>
    <w:p>
      <w:pPr>
        <w:spacing w:after="100" w:before="200"/>
      </w:pPr>
      <w:r>
        <w:rPr>
          <w:rFonts w:ascii="Arial" w:cs="Arial" w:eastAsia="Arial" w:hAnsi="Arial"/>
          <w:b/>
          <w:bCs/>
          <w:color w:val="444444"/>
          <w:sz w:val="24"/>
          <w:szCs w:val="24"/>
        </w:rPr>
        <w:t xml:space="preserve">Carpal Tunnel Syndrome (CTS)</w:t>
      </w:r>
    </w:p>
    <w:p>
      <w:pPr>
        <w:spacing w:after="120" w:line="300"/>
      </w:pPr>
      <w:r>
        <w:rPr>
          <w:rFonts w:ascii="Arial" w:cs="Arial" w:eastAsia="Arial" w:hAnsi="Arial"/>
          <w:b/>
          <w:bCs/>
          <w:sz w:val="22"/>
          <w:szCs w:val="22"/>
        </w:rPr>
        <w:t xml:space="preserve">Study:</w:t>
      </w:r>
      <w:r>
        <w:rPr>
          <w:rFonts w:ascii="Arial" w:cs="Arial" w:eastAsia="Arial" w:hAnsi="Arial"/>
          <w:sz w:val="22"/>
          <w:szCs w:val="22"/>
        </w:rPr>
        <w:t xml:space="preserve"> Triple-blind, randomized, placebo-controlled trial in slaughterhouse workers with chronic CTS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Intervention:</w:t>
      </w:r>
      <w:r>
        <w:rPr>
          <w:rFonts w:ascii="Arial" w:cs="Arial" w:eastAsia="Arial" w:hAnsi="Arial"/>
          <w:sz w:val="22"/>
          <w:szCs w:val="22"/>
        </w:rPr>
        <w:t xml:space="preserve"> Topical menthol gel (concentration not specified) applied to hand and arm</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Outcome:</w:t>
      </w:r>
      <w:r>
        <w:rPr>
          <w:rFonts w:ascii="Arial" w:cs="Arial" w:eastAsia="Arial" w:hAnsi="Arial"/>
          <w:sz w:val="22"/>
          <w:szCs w:val="22"/>
        </w:rPr>
        <w:t xml:space="preserve"> Acute, clinically significant pain reduction persisting </w:t>
      </w:r>
      <w:r>
        <w:rPr>
          <w:rFonts w:ascii="Arial" w:cs="Arial" w:eastAsia="Arial" w:hAnsi="Arial"/>
          <w:b/>
          <w:bCs/>
          <w:sz w:val="22"/>
          <w:szCs w:val="22"/>
        </w:rPr>
        <w:t xml:space="preserve">for 3 hours</w:t>
      </w:r>
      <w:r>
        <w:rPr>
          <w:rFonts w:ascii="Arial" w:cs="Arial" w:eastAsia="Arial" w:hAnsi="Arial"/>
          <w:sz w:val="22"/>
          <w:szCs w:val="22"/>
        </w:rPr>
        <w:t xml:space="preserve"> post-application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Comparator:</w:t>
      </w:r>
      <w:r>
        <w:rPr>
          <w:rFonts w:ascii="Arial" w:cs="Arial" w:eastAsia="Arial" w:hAnsi="Arial"/>
          <w:sz w:val="22"/>
          <w:szCs w:val="22"/>
        </w:rPr>
        <w:t xml:space="preserve"> Placebo control with sham gel</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Magnitude:</w:t>
      </w:r>
      <w:r>
        <w:rPr>
          <w:rFonts w:ascii="Arial" w:cs="Arial" w:eastAsia="Arial" w:hAnsi="Arial"/>
          <w:sz w:val="22"/>
          <w:szCs w:val="22"/>
        </w:rPr>
        <w:t xml:space="preserve"> Pain reduction was sustained and statistically significant</w:t>
      </w:r>
    </w:p>
    <w:p>
      <w:pPr>
        <w:spacing w:after="100" w:before="200"/>
      </w:pPr>
      <w:r>
        <w:rPr>
          <w:rFonts w:ascii="Arial" w:cs="Arial" w:eastAsia="Arial" w:hAnsi="Arial"/>
          <w:b/>
          <w:bCs/>
          <w:color w:val="444444"/>
          <w:sz w:val="24"/>
          <w:szCs w:val="24"/>
        </w:rPr>
        <w:t xml:space="preserve">General Musculoskeletal Pain</w:t>
      </w:r>
    </w:p>
    <w:p>
      <w:pPr>
        <w:spacing w:after="120" w:line="300"/>
      </w:pPr>
      <w:r>
        <w:rPr>
          <w:rFonts w:ascii="Arial" w:cs="Arial" w:eastAsia="Arial" w:hAnsi="Arial"/>
          <w:b/>
          <w:bCs/>
          <w:sz w:val="22"/>
          <w:szCs w:val="22"/>
        </w:rPr>
        <w:t xml:space="preserve">Biofreeze (Menthol Formulation) Systematic Reviews: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Significant reductions in </w:t>
      </w:r>
      <w:r>
        <w:rPr>
          <w:rFonts w:ascii="Arial" w:cs="Arial" w:eastAsia="Arial" w:hAnsi="Arial"/>
          <w:b/>
          <w:bCs/>
          <w:sz w:val="22"/>
          <w:szCs w:val="22"/>
        </w:rPr>
        <w:t xml:space="preserve">neck pain, back pain, and hand/wrist pain</w:t>
      </w:r>
      <w:r>
        <w:rPr>
          <w:rFonts w:ascii="Arial" w:cs="Arial" w:eastAsia="Arial" w:hAnsi="Arial"/>
          <w:sz w:val="22"/>
          <w:szCs w:val="22"/>
        </w:rPr>
        <w:t xml:space="preserve"> across multiple RCTs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A 4-week trial combining Biofreeze with chiropractic manipulation showed significantly greater pain reduction than manipulation alone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Effect sizes consistent with topical NSAIDs for acute musculoskeletal complaints</w:t>
      </w:r>
    </w:p>
    <w:p>
      <w:pPr>
        <w:spacing w:after="100" w:before="200"/>
      </w:pPr>
      <w:r>
        <w:rPr>
          <w:rFonts w:ascii="Arial" w:cs="Arial" w:eastAsia="Arial" w:hAnsi="Arial"/>
          <w:b/>
          <w:bCs/>
          <w:color w:val="444444"/>
          <w:sz w:val="24"/>
          <w:szCs w:val="24"/>
        </w:rPr>
        <w:t xml:space="preserve">Mechanism in Topical Analgesia</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penetrates skin effectively (lipophilic molecule; small molecular weight; volatile)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Reaches sensory nerve endings in dermis and subdermis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Local TRPM8 activation suppresses adjacent nociceptor activity via spinal gating</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Combined with mild counterirritation (cooling sensation gates pain centrally)</w:t>
      </w:r>
    </w:p>
    <w:p>
      <w:pPr>
        <w:pStyle w:val="Heading2"/>
        <w:spacing w:after="120" w:before="240"/>
      </w:pPr>
      <w:r>
        <w:rPr>
          <w:rFonts w:ascii="Arial" w:cs="Arial" w:eastAsia="Arial" w:hAnsi="Arial"/>
          <w:b/>
          <w:bCs/>
          <w:color w:val="333333"/>
          <w:sz w:val="26"/>
          <w:szCs w:val="26"/>
        </w:rPr>
        <w:t xml:space="preserve">Tension-Type Headache</w:t>
      </w:r>
    </w:p>
    <w:p>
      <w:pPr>
        <w:spacing w:after="100" w:before="200"/>
      </w:pPr>
      <w:r>
        <w:rPr>
          <w:rFonts w:ascii="Arial" w:cs="Arial" w:eastAsia="Arial" w:hAnsi="Arial"/>
          <w:b/>
          <w:bCs/>
          <w:color w:val="444444"/>
          <w:sz w:val="24"/>
          <w:szCs w:val="24"/>
        </w:rPr>
        <w:t xml:space="preserve">Key Clinical Trial</w:t>
      </w:r>
    </w:p>
    <w:p>
      <w:pPr>
        <w:spacing w:after="120" w:line="300"/>
      </w:pPr>
      <w:r>
        <w:rPr>
          <w:rFonts w:ascii="Arial" w:cs="Arial" w:eastAsia="Arial" w:hAnsi="Arial"/>
          <w:b/>
          <w:bCs/>
          <w:sz w:val="22"/>
          <w:szCs w:val="22"/>
        </w:rPr>
        <w:t xml:space="preserve">Study:</w:t>
      </w:r>
      <w:r>
        <w:rPr>
          <w:rFonts w:ascii="Arial" w:cs="Arial" w:eastAsia="Arial" w:hAnsi="Arial"/>
          <w:sz w:val="22"/>
          <w:szCs w:val="22"/>
        </w:rPr>
        <w:t xml:space="preserve"> 10% peppermint oil in ethanol solution applied topically to forehead and temples; randomized vs. placebo; multiple applications</w:t>
      </w:r>
    </w:p>
    <w:p>
      <w:pPr>
        <w:spacing w:after="120" w:line="300"/>
      </w:pPr>
      <w:r>
        <w:rPr>
          <w:rFonts w:ascii="Arial" w:cs="Arial" w:eastAsia="Arial" w:hAnsi="Arial"/>
          <w:b/>
          <w:bCs/>
          <w:sz w:val="22"/>
          <w:szCs w:val="22"/>
        </w:rPr>
        <w:t xml:space="preserve">Protocol: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10% peppermint oil in ethanol spread across forehead and temples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Reapplied at 15 min and 30 min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Measured headache intensity at 15, 30, and 45 minutes</w:t>
      </w:r>
    </w:p>
    <w:p>
      <w:pPr>
        <w:spacing w:after="120" w:line="300"/>
      </w:pPr>
      <w:r>
        <w:rPr>
          <w:rFonts w:ascii="Arial" w:cs="Arial" w:eastAsia="Arial" w:hAnsi="Arial"/>
          <w:b/>
          <w:bCs/>
          <w:sz w:val="22"/>
          <w:szCs w:val="22"/>
        </w:rPr>
        <w:t xml:space="preserve">Results: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Significant reduction in tension-type headache intensity by 15 minutes</w:t>
      </w:r>
      <w:r>
        <w:rPr>
          <w:rFonts w:ascii="Arial" w:cs="Arial" w:eastAsia="Arial" w:hAnsi="Arial"/>
          <w:sz w:val="22"/>
          <w:szCs w:val="22"/>
        </w:rPr>
        <w:t xml:space="preserve"> compared to placebo</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Equivalent efficacy to 1,000 mg acetaminophen</w:t>
      </w:r>
      <w:r>
        <w:rPr>
          <w:rFonts w:ascii="Arial" w:cs="Arial" w:eastAsia="Arial" w:hAnsi="Arial"/>
          <w:sz w:val="22"/>
          <w:szCs w:val="22"/>
        </w:rPr>
        <w:t xml:space="preserve"> (a major OTC painkiller)</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First-line recommendation</w:t>
      </w:r>
      <w:r>
        <w:rPr>
          <w:rFonts w:ascii="Arial" w:cs="Arial" w:eastAsia="Arial" w:hAnsi="Arial"/>
          <w:sz w:val="22"/>
          <w:szCs w:val="22"/>
        </w:rPr>
        <w:t xml:space="preserve"> per German Society for Pain Medicine guidelines for acute tension headache</w:t>
      </w:r>
    </w:p>
    <w:p>
      <w:pPr>
        <w:spacing w:after="100" w:before="200"/>
      </w:pPr>
      <w:r>
        <w:rPr>
          <w:rFonts w:ascii="Arial" w:cs="Arial" w:eastAsia="Arial" w:hAnsi="Arial"/>
          <w:b/>
          <w:bCs/>
          <w:color w:val="444444"/>
          <w:sz w:val="24"/>
          <w:szCs w:val="24"/>
        </w:rPr>
        <w:t xml:space="preserve">Mechanistic Understanding</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increases skin blood flow in the forehead via TRPM8-triggered vasodilation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Cooling sensation gates pain at the trigeminal nucleus caudalis (brainstem pain center)</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Local muscle relaxation via sensory feedback</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Placebo amplification due to expected cooling from "mint" sensation</w:t>
      </w:r>
    </w:p>
    <w:p>
      <w:pPr>
        <w:spacing w:after="100" w:before="200"/>
      </w:pPr>
      <w:r>
        <w:rPr>
          <w:rFonts w:ascii="Arial" w:cs="Arial" w:eastAsia="Arial" w:hAnsi="Arial"/>
          <w:b/>
          <w:bCs/>
          <w:color w:val="444444"/>
          <w:sz w:val="24"/>
          <w:szCs w:val="24"/>
        </w:rPr>
        <w:t xml:space="preserve">Comparison with Migraine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Less robust evidence for migraine (pulsating, vascular headaches)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A double-blind trial comparing intranasal menthol with intranasal lidocaine for migraine found lidocaine superior, suggesting menthol's benefit is best established for tension-type (muscular) rather than vascular headaches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Nasal inhalation of menthol may provide modest migraine relief, but topical temple application is most proven for tension headache</w:t>
      </w:r>
    </w:p>
    <w:p>
      <w:pPr>
        <w:pStyle w:val="Heading2"/>
        <w:spacing w:after="120" w:before="240"/>
      </w:pPr>
      <w:r>
        <w:rPr>
          <w:rFonts w:ascii="Arial" w:cs="Arial" w:eastAsia="Arial" w:hAnsi="Arial"/>
          <w:b/>
          <w:bCs/>
          <w:color w:val="333333"/>
          <w:sz w:val="26"/>
          <w:szCs w:val="26"/>
        </w:rPr>
        <w:t xml:space="preserve">Irritable Bowel Syndrome (IBS)</w:t>
      </w:r>
    </w:p>
    <w:p>
      <w:pPr>
        <w:spacing w:after="100" w:before="200"/>
      </w:pPr>
      <w:r>
        <w:rPr>
          <w:rFonts w:ascii="Arial" w:cs="Arial" w:eastAsia="Arial" w:hAnsi="Arial"/>
          <w:b/>
          <w:bCs/>
          <w:color w:val="444444"/>
          <w:sz w:val="24"/>
          <w:szCs w:val="24"/>
        </w:rPr>
        <w:t xml:space="preserve">Systematic Reviews and Meta-Analyses</w:t>
      </w:r>
    </w:p>
    <w:p>
      <w:pPr>
        <w:spacing w:after="120" w:line="300"/>
      </w:pPr>
      <w:r>
        <w:rPr>
          <w:rFonts w:ascii="Arial" w:cs="Arial" w:eastAsia="Arial" w:hAnsi="Arial"/>
          <w:b/>
          <w:bCs/>
          <w:sz w:val="22"/>
          <w:szCs w:val="22"/>
        </w:rPr>
        <w:t xml:space="preserve">Study 1 (2014 meta-analysis):</w:t>
      </w:r>
      <w:r>
        <w:rPr>
          <w:rFonts w:ascii="Arial" w:cs="Arial" w:eastAsia="Arial" w:hAnsi="Arial"/>
          <w:sz w:val="22"/>
          <w:szCs w:val="22"/>
        </w:rPr>
        <w:t xml:space="preserve"> Multiple RCTs of enteric-coated peppermint oil capsules for IBS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Efficacy:</w:t>
      </w:r>
      <w:r>
        <w:rPr>
          <w:rFonts w:ascii="Arial" w:cs="Arial" w:eastAsia="Arial" w:hAnsi="Arial"/>
          <w:sz w:val="22"/>
          <w:szCs w:val="22"/>
        </w:rPr>
        <w:t xml:space="preserve"> Peppermint oil significantly superior to placebo for global IBS symptom improvement</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Magnitude:</w:t>
      </w:r>
      <w:r>
        <w:rPr>
          <w:rFonts w:ascii="Arial" w:cs="Arial" w:eastAsia="Arial" w:hAnsi="Arial"/>
          <w:sz w:val="22"/>
          <w:szCs w:val="22"/>
        </w:rPr>
        <w:t xml:space="preserve"> 40% reduction in total IBS symptom score (peppermint) vs. 24.3% (placebo)</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Symptomatic targets:</w:t>
      </w:r>
      <w:r>
        <w:rPr>
          <w:rFonts w:ascii="Arial" w:cs="Arial" w:eastAsia="Arial" w:hAnsi="Arial"/>
          <w:sz w:val="22"/>
          <w:szCs w:val="22"/>
        </w:rPr>
        <w:t xml:space="preserve"> Abdominal pain, bloating, diarrhea variably responsive</w:t>
      </w:r>
    </w:p>
    <w:p>
      <w:pPr>
        <w:spacing w:after="120" w:line="300"/>
      </w:pPr>
      <w:r>
        <w:rPr>
          <w:rFonts w:ascii="Arial" w:cs="Arial" w:eastAsia="Arial" w:hAnsi="Arial"/>
          <w:b/>
          <w:bCs/>
          <w:sz w:val="22"/>
          <w:szCs w:val="22"/>
        </w:rPr>
        <w:t xml:space="preserve">Study 2 (2022 meta-analysis):</w:t>
      </w:r>
      <w:r>
        <w:rPr>
          <w:rFonts w:ascii="Arial" w:cs="Arial" w:eastAsia="Arial" w:hAnsi="Arial"/>
          <w:sz w:val="22"/>
          <w:szCs w:val="22"/>
        </w:rPr>
        <w:t xml:space="preserve"> More recent, larger pool of RCTs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Conclusion:</w:t>
      </w:r>
      <w:r>
        <w:rPr>
          <w:rFonts w:ascii="Arial" w:cs="Arial" w:eastAsia="Arial" w:hAnsi="Arial"/>
          <w:sz w:val="22"/>
          <w:szCs w:val="22"/>
        </w:rPr>
        <w:t xml:space="preserve"> Peppermint oil is efficacious for IBS, but: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Evidence quality is </w:t>
      </w:r>
      <w:r>
        <w:rPr>
          <w:rFonts w:ascii="Arial" w:cs="Arial" w:eastAsia="Arial" w:hAnsi="Arial"/>
          <w:b/>
          <w:bCs/>
          <w:sz w:val="22"/>
          <w:szCs w:val="22"/>
        </w:rPr>
        <w:t xml:space="preserve">very low</w:t>
      </w:r>
      <w:r>
        <w:rPr>
          <w:rFonts w:ascii="Arial" w:cs="Arial" w:eastAsia="Arial" w:hAnsi="Arial"/>
          <w:sz w:val="22"/>
          <w:szCs w:val="22"/>
        </w:rPr>
        <w:t xml:space="preserve"> per GRADE criteria</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Adverse events more frequent in peppermint vs. placebo groups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Effect sizes modest to moderate</w:t>
      </w:r>
    </w:p>
    <w:p>
      <w:pPr>
        <w:spacing w:after="100" w:before="200"/>
      </w:pPr>
      <w:r>
        <w:rPr>
          <w:rFonts w:ascii="Arial" w:cs="Arial" w:eastAsia="Arial" w:hAnsi="Arial"/>
          <w:b/>
          <w:bCs/>
          <w:color w:val="444444"/>
          <w:sz w:val="24"/>
          <w:szCs w:val="24"/>
        </w:rPr>
        <w:t xml:space="preserve">Clinical Recommendations</w:t>
      </w:r>
    </w:p>
    <w:p>
      <w:pPr>
        <w:spacing w:after="120" w:line="300"/>
      </w:pPr>
      <w:r>
        <w:rPr>
          <w:rFonts w:ascii="Arial" w:cs="Arial" w:eastAsia="Arial" w:hAnsi="Arial"/>
          <w:b/>
          <w:bCs/>
          <w:sz w:val="22"/>
          <w:szCs w:val="22"/>
        </w:rPr>
        <w:t xml:space="preserve">American College of Gastroenterology (ACG) Guidelines: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Recommends enteric-coated peppermint oil for short-term (2–12 week) relief of global IBS symptoms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Conditional recommendation; low quality evidence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Dose: Typically 0.2–0.4 mL (180–400 mg) enteric-coated capsules, 2–3 times daily</w:t>
      </w:r>
    </w:p>
    <w:p>
      <w:pPr>
        <w:spacing w:after="100" w:before="200"/>
      </w:pPr>
      <w:r>
        <w:rPr>
          <w:rFonts w:ascii="Arial" w:cs="Arial" w:eastAsia="Arial" w:hAnsi="Arial"/>
          <w:b/>
          <w:bCs/>
          <w:color w:val="444444"/>
          <w:sz w:val="24"/>
          <w:szCs w:val="24"/>
        </w:rPr>
        <w:t xml:space="preserve">Mechanistic Basis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Antispasmodic:</w:t>
      </w:r>
      <w:r>
        <w:rPr>
          <w:rFonts w:ascii="Arial" w:cs="Arial" w:eastAsia="Arial" w:hAnsi="Arial"/>
          <w:sz w:val="22"/>
          <w:szCs w:val="22"/>
        </w:rPr>
        <w:t xml:space="preserve"> Menthol inhibits L-type calcium channels in intestinal smooth muscle, reducing contractility</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Antimicrobial:</w:t>
      </w:r>
      <w:r>
        <w:rPr>
          <w:rFonts w:ascii="Arial" w:cs="Arial" w:eastAsia="Arial" w:hAnsi="Arial"/>
          <w:sz w:val="22"/>
          <w:szCs w:val="22"/>
        </w:rPr>
        <w:t xml:space="preserve"> Peppermint oil reduces pathogenic overgrowth (SIBO), though clinical significance unclear</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Sensory modulation:</w:t>
      </w:r>
      <w:r>
        <w:rPr>
          <w:rFonts w:ascii="Arial" w:cs="Arial" w:eastAsia="Arial" w:hAnsi="Arial"/>
          <w:sz w:val="22"/>
          <w:szCs w:val="22"/>
        </w:rPr>
        <w:t xml:space="preserve"> Menthol desensitizes TRPV1 on enteric sensory neurons, reducing pain signaling from inflamed mucosa</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Enteric coating:</w:t>
      </w:r>
      <w:r>
        <w:rPr>
          <w:rFonts w:ascii="Arial" w:cs="Arial" w:eastAsia="Arial" w:hAnsi="Arial"/>
          <w:sz w:val="22"/>
          <w:szCs w:val="22"/>
        </w:rPr>
        <w:t xml:space="preserve"> Critical because uncoated capsules release menthol in the stomach, causing heartburn and reflux (most common adverse event)</w:t>
      </w:r>
    </w:p>
    <w:p>
      <w:pPr>
        <w:pStyle w:val="Heading2"/>
        <w:spacing w:after="120" w:before="240"/>
      </w:pPr>
      <w:r>
        <w:rPr>
          <w:rFonts w:ascii="Arial" w:cs="Arial" w:eastAsia="Arial" w:hAnsi="Arial"/>
          <w:b/>
          <w:bCs/>
          <w:color w:val="333333"/>
          <w:sz w:val="26"/>
          <w:szCs w:val="26"/>
        </w:rPr>
        <w:t xml:space="preserve">Itch (Pruritus): Anti-Pruritic Evidence</w:t>
      </w:r>
    </w:p>
    <w:p>
      <w:pPr>
        <w:spacing w:after="100" w:before="200"/>
      </w:pPr>
      <w:r>
        <w:rPr>
          <w:rFonts w:ascii="Arial" w:cs="Arial" w:eastAsia="Arial" w:hAnsi="Arial"/>
          <w:b/>
          <w:bCs/>
          <w:color w:val="444444"/>
          <w:sz w:val="24"/>
          <w:szCs w:val="24"/>
        </w:rPr>
        <w:t xml:space="preserve">Chronic Pruritus Study</w:t>
      </w:r>
    </w:p>
    <w:p>
      <w:pPr>
        <w:spacing w:after="120" w:line="300"/>
      </w:pPr>
      <w:r>
        <w:rPr>
          <w:rFonts w:ascii="Arial" w:cs="Arial" w:eastAsia="Arial" w:hAnsi="Arial"/>
          <w:b/>
          <w:bCs/>
          <w:sz w:val="22"/>
          <w:szCs w:val="22"/>
        </w:rPr>
        <w:t xml:space="preserve">Study:</w:t>
      </w:r>
      <w:r>
        <w:rPr>
          <w:rFonts w:ascii="Arial" w:cs="Arial" w:eastAsia="Arial" w:hAnsi="Arial"/>
          <w:sz w:val="22"/>
          <w:szCs w:val="22"/>
        </w:rPr>
        <w:t xml:space="preserve"> 50 subjects with chronic pruritus (from hepatic, renal, or diabetic causes)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Intervention:</w:t>
      </w:r>
      <w:r>
        <w:rPr>
          <w:rFonts w:ascii="Arial" w:cs="Arial" w:eastAsia="Arial" w:hAnsi="Arial"/>
          <w:sz w:val="22"/>
          <w:szCs w:val="22"/>
        </w:rPr>
        <w:t xml:space="preserve"> Topical peppermint oil (concentration not fully specified) vs. petrolatum control</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Application:</w:t>
      </w:r>
      <w:r>
        <w:rPr>
          <w:rFonts w:ascii="Arial" w:cs="Arial" w:eastAsia="Arial" w:hAnsi="Arial"/>
          <w:sz w:val="22"/>
          <w:szCs w:val="22"/>
        </w:rPr>
        <w:t xml:space="preserve"> Twice daily for 2 weeks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Outcome:</w:t>
      </w:r>
      <w:r>
        <w:rPr>
          <w:rFonts w:ascii="Arial" w:cs="Arial" w:eastAsia="Arial" w:hAnsi="Arial"/>
          <w:sz w:val="22"/>
          <w:szCs w:val="22"/>
        </w:rPr>
        <w:t xml:space="preserve"> Peppermint oil group showed </w:t>
      </w:r>
      <w:r>
        <w:rPr>
          <w:rFonts w:ascii="Arial" w:cs="Arial" w:eastAsia="Arial" w:hAnsi="Arial"/>
          <w:b/>
          <w:bCs/>
          <w:sz w:val="22"/>
          <w:szCs w:val="22"/>
        </w:rPr>
        <w:t xml:space="preserve">significant improvement in all itch parameters measured</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Pruritus severity</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Scratching behavior</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Sleep disturbance from itch</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Petrolatum control:</w:t>
      </w:r>
      <w:r>
        <w:rPr>
          <w:rFonts w:ascii="Arial" w:cs="Arial" w:eastAsia="Arial" w:hAnsi="Arial"/>
          <w:sz w:val="22"/>
          <w:szCs w:val="22"/>
        </w:rPr>
        <w:t xml:space="preserve"> No significant change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Adverse events:</w:t>
      </w:r>
      <w:r>
        <w:rPr>
          <w:rFonts w:ascii="Arial" w:cs="Arial" w:eastAsia="Arial" w:hAnsi="Arial"/>
          <w:sz w:val="22"/>
          <w:szCs w:val="22"/>
        </w:rPr>
        <w:t xml:space="preserve"> Mild burning in skin flexures in 4/25 subjects; otherwise well-tolerated</w:t>
      </w:r>
    </w:p>
    <w:p>
      <w:pPr>
        <w:spacing w:after="100" w:before="200"/>
      </w:pPr>
      <w:r>
        <w:rPr>
          <w:rFonts w:ascii="Arial" w:cs="Arial" w:eastAsia="Arial" w:hAnsi="Arial"/>
          <w:b/>
          <w:bCs/>
          <w:color w:val="444444"/>
          <w:sz w:val="24"/>
          <w:szCs w:val="24"/>
        </w:rPr>
        <w:t xml:space="preserve">Pregnancy-Related Itching (Pruritus Gravidarum)</w:t>
      </w:r>
    </w:p>
    <w:p>
      <w:pPr>
        <w:spacing w:after="120" w:line="300"/>
      </w:pPr>
      <w:r>
        <w:rPr>
          <w:rFonts w:ascii="Arial" w:cs="Arial" w:eastAsia="Arial" w:hAnsi="Arial"/>
          <w:b/>
          <w:bCs/>
          <w:sz w:val="22"/>
          <w:szCs w:val="22"/>
        </w:rPr>
        <w:t xml:space="preserve">Study:</w:t>
      </w:r>
      <w:r>
        <w:rPr>
          <w:rFonts w:ascii="Arial" w:cs="Arial" w:eastAsia="Arial" w:hAnsi="Arial"/>
          <w:sz w:val="22"/>
          <w:szCs w:val="22"/>
        </w:rPr>
        <w:t xml:space="preserve"> Triple-blind RCT; 96 pregnant subjects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Intervention:</w:t>
      </w:r>
      <w:r>
        <w:rPr>
          <w:rFonts w:ascii="Arial" w:cs="Arial" w:eastAsia="Arial" w:hAnsi="Arial"/>
          <w:sz w:val="22"/>
          <w:szCs w:val="22"/>
        </w:rPr>
        <w:t xml:space="preserve"> 0.5% peppermint oil in sesame oil vs. placebo oil, applied twice daily for 2 weeks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Outcome:</w:t>
      </w:r>
      <w:r>
        <w:rPr>
          <w:rFonts w:ascii="Arial" w:cs="Arial" w:eastAsia="Arial" w:hAnsi="Arial"/>
          <w:sz w:val="22"/>
          <w:szCs w:val="22"/>
        </w:rPr>
        <w:t xml:space="preserve"> </w:t>
      </w:r>
      <w:r>
        <w:rPr>
          <w:rFonts w:ascii="Arial" w:cs="Arial" w:eastAsia="Arial" w:hAnsi="Arial"/>
          <w:b/>
          <w:bCs/>
          <w:sz w:val="22"/>
          <w:szCs w:val="22"/>
        </w:rPr>
        <w:t xml:space="preserve">Significant reduction in itch severity</w:t>
      </w:r>
      <w:r>
        <w:rPr>
          <w:rFonts w:ascii="Arial" w:cs="Arial" w:eastAsia="Arial" w:hAnsi="Arial"/>
          <w:sz w:val="22"/>
          <w:szCs w:val="22"/>
        </w:rPr>
        <w:t xml:space="preserve"> in peppermint group; placebo group unchanged</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Safety:</w:t>
      </w:r>
      <w:r>
        <w:rPr>
          <w:rFonts w:ascii="Arial" w:cs="Arial" w:eastAsia="Arial" w:hAnsi="Arial"/>
          <w:sz w:val="22"/>
          <w:szCs w:val="22"/>
        </w:rPr>
        <w:t xml:space="preserve"> Safe in pregnancy; no adverse fetal/maternal outcomes reported</w:t>
      </w:r>
    </w:p>
    <w:p>
      <w:pPr>
        <w:spacing w:after="100" w:before="200"/>
      </w:pPr>
      <w:r>
        <w:rPr>
          <w:rFonts w:ascii="Arial" w:cs="Arial" w:eastAsia="Arial" w:hAnsi="Arial"/>
          <w:b/>
          <w:bCs/>
          <w:color w:val="444444"/>
          <w:sz w:val="24"/>
          <w:szCs w:val="24"/>
        </w:rPr>
        <w:t xml:space="preserve">Mechanistic Basis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TRPM8 activation:</w:t>
      </w:r>
      <w:r>
        <w:rPr>
          <w:rFonts w:ascii="Arial" w:cs="Arial" w:eastAsia="Arial" w:hAnsi="Arial"/>
          <w:sz w:val="22"/>
          <w:szCs w:val="22"/>
        </w:rPr>
        <w:t xml:space="preserve"> Menthol stimulates cold receptors on pruritogenic C-fibers, gating itch signals at spinal level</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Histamine pathway inhibition:</w:t>
      </w:r>
      <w:r>
        <w:rPr>
          <w:rFonts w:ascii="Arial" w:cs="Arial" w:eastAsia="Arial" w:hAnsi="Arial"/>
          <w:sz w:val="22"/>
          <w:szCs w:val="22"/>
        </w:rPr>
        <w:t xml:space="preserve"> Menthol inhibits histamine release from mast cells and blocks H1/H2 receptor signaling</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Non-histaminergic itch:</w:t>
      </w:r>
      <w:r>
        <w:rPr>
          <w:rFonts w:ascii="Arial" w:cs="Arial" w:eastAsia="Arial" w:hAnsi="Arial"/>
          <w:sz w:val="22"/>
          <w:szCs w:val="22"/>
        </w:rPr>
        <w:t xml:space="preserve"> Effective against both histamine-dependent (allergic) and non-histamine itch (neuropathic, uremic, cholestatic)</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Transient vs. sustained:</w:t>
      </w:r>
      <w:r>
        <w:rPr>
          <w:rFonts w:ascii="Arial" w:cs="Arial" w:eastAsia="Arial" w:hAnsi="Arial"/>
          <w:sz w:val="22"/>
          <w:szCs w:val="22"/>
        </w:rPr>
        <w:t xml:space="preserve"> Initial cooling blocks itch; with repeated application, menthol desensitization reduces efficacy—best used as acute intervention rather than chronic monotherapy</w:t>
      </w:r>
    </w:p>
    <w:p>
      <w:pPr>
        <w:pStyle w:val="Heading2"/>
        <w:spacing w:after="120" w:before="240"/>
      </w:pPr>
      <w:r>
        <w:rPr>
          <w:rFonts w:ascii="Arial" w:cs="Arial" w:eastAsia="Arial" w:hAnsi="Arial"/>
          <w:b/>
          <w:bCs/>
          <w:color w:val="333333"/>
          <w:sz w:val="26"/>
          <w:szCs w:val="26"/>
        </w:rPr>
        <w:t xml:space="preserve">Nasal Congestion: The Evidence Gap (Myth Correction)</w:t>
      </w:r>
    </w:p>
    <w:p>
      <w:pPr>
        <w:spacing w:after="120" w:line="300"/>
      </w:pPr>
      <w:r>
        <w:rPr>
          <w:rFonts w:ascii="Arial" w:cs="Arial" w:eastAsia="Arial" w:hAnsi="Arial"/>
          <w:b/>
          <w:bCs/>
          <w:sz w:val="22"/>
          <w:szCs w:val="22"/>
        </w:rPr>
        <w:t xml:space="preserve">See Section 13 for detailed discussion.</w:t>
      </w:r>
      <w:r>
        <w:rPr>
          <w:rFonts w:ascii="Arial" w:cs="Arial" w:eastAsia="Arial" w:hAnsi="Arial"/>
          <w:sz w:val="22"/>
          <w:szCs w:val="22"/>
        </w:rPr>
        <w:t xml:space="preserve"> In summary: menthol does not measurably reduce airway resistance, but creates profound subjective sensation of improved breathing through trigeminal (cold) nerve stimulation.</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277BD"/>
          <w:sz w:val="30"/>
          <w:szCs w:val="30"/>
        </w:rPr>
        <w:t xml:space="preserve">6. Cross-Botanical Sources and Menthol Concentration</w:t>
      </w:r>
    </w:p>
    <w:p>
      <w:pPr>
        <w:pStyle w:val="Heading2"/>
        <w:spacing w:after="120" w:before="240"/>
      </w:pPr>
      <w:r>
        <w:rPr>
          <w:rFonts w:ascii="Arial" w:cs="Arial" w:eastAsia="Arial" w:hAnsi="Arial"/>
          <w:b/>
          <w:bCs/>
          <w:color w:val="333333"/>
          <w:sz w:val="26"/>
          <w:szCs w:val="26"/>
        </w:rPr>
        <w:t xml:space="preserve">Primary Natural Sources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277BD" w:val="clear"/>
            <w:tcMar>
              <w:top w:type="dxa" w:w="60"/>
              <w:left w:type="dxa" w:w="100"/>
              <w:bottom w:type="dxa" w:w="60"/>
              <w:right w:type="dxa" w:w="100"/>
            </w:tcMar>
          </w:tcPr>
          <w:p>
            <w:r>
              <w:rPr>
                <w:rFonts w:ascii="Arial" w:cs="Arial" w:eastAsia="Arial" w:hAnsi="Arial"/>
                <w:b/>
                <w:bCs/>
                <w:color w:val="FFFFFF"/>
                <w:sz w:val="20"/>
                <w:szCs w:val="20"/>
              </w:rPr>
              <w:t xml:space="preserve">Botanical Source</w:t>
            </w:r>
          </w:p>
        </w:tc>
        <w:tc>
          <w:tcPr>
            <w:tcW w:type="dxa" w:w="2340"/>
            <w:tcBorders>
              <w:top w:val="single" w:color="CCCCCC" w:sz="1"/>
              <w:left w:val="single" w:color="CCCCCC" w:sz="1"/>
              <w:bottom w:val="single" w:color="CCCCCC" w:sz="1"/>
              <w:right w:val="single" w:color="CCCCCC" w:sz="1"/>
            </w:tcBorders>
            <w:shd w:fill="0277BD" w:val="clear"/>
            <w:tcMar>
              <w:top w:type="dxa" w:w="60"/>
              <w:left w:type="dxa" w:w="100"/>
              <w:bottom w:type="dxa" w:w="60"/>
              <w:right w:type="dxa" w:w="100"/>
            </w:tcMar>
          </w:tcPr>
          <w:p>
            <w:r>
              <w:rPr>
                <w:rFonts w:ascii="Arial" w:cs="Arial" w:eastAsia="Arial" w:hAnsi="Arial"/>
                <w:b/>
                <w:bCs/>
                <w:color w:val="FFFFFF"/>
                <w:sz w:val="20"/>
                <w:szCs w:val="20"/>
              </w:rPr>
              <w:t xml:space="preserve">Menthol Content</w:t>
            </w:r>
          </w:p>
        </w:tc>
        <w:tc>
          <w:tcPr>
            <w:tcW w:type="dxa" w:w="2340"/>
            <w:tcBorders>
              <w:top w:val="single" w:color="CCCCCC" w:sz="1"/>
              <w:left w:val="single" w:color="CCCCCC" w:sz="1"/>
              <w:bottom w:val="single" w:color="CCCCCC" w:sz="1"/>
              <w:right w:val="single" w:color="CCCCCC" w:sz="1"/>
            </w:tcBorders>
            <w:shd w:fill="0277BD" w:val="clear"/>
            <w:tcMar>
              <w:top w:type="dxa" w:w="60"/>
              <w:left w:type="dxa" w:w="100"/>
              <w:bottom w:type="dxa" w:w="60"/>
              <w:right w:type="dxa" w:w="100"/>
            </w:tcMar>
          </w:tcPr>
          <w:p>
            <w:r>
              <w:rPr>
                <w:rFonts w:ascii="Arial" w:cs="Arial" w:eastAsia="Arial" w:hAnsi="Arial"/>
                <w:b/>
                <w:bCs/>
                <w:color w:val="FFFFFF"/>
                <w:sz w:val="20"/>
                <w:szCs w:val="20"/>
              </w:rPr>
              <w:t xml:space="preserve">Harvesting Notes</w:t>
            </w:r>
          </w:p>
        </w:tc>
        <w:tc>
          <w:tcPr>
            <w:tcW w:type="dxa" w:w="2340"/>
            <w:tcBorders>
              <w:top w:val="single" w:color="CCCCCC" w:sz="1"/>
              <w:left w:val="single" w:color="CCCCCC" w:sz="1"/>
              <w:bottom w:val="single" w:color="CCCCCC" w:sz="1"/>
              <w:right w:val="single" w:color="CCCCCC" w:sz="1"/>
            </w:tcBorders>
            <w:shd w:fill="0277BD" w:val="clear"/>
            <w:tcMar>
              <w:top w:type="dxa" w:w="60"/>
              <w:left w:type="dxa" w:w="100"/>
              <w:bottom w:type="dxa" w:w="60"/>
              <w:right w:type="dxa" w:w="100"/>
            </w:tcMar>
          </w:tcPr>
          <w:p>
            <w:r>
              <w:rPr>
                <w:rFonts w:ascii="Arial" w:cs="Arial" w:eastAsia="Arial" w:hAnsi="Arial"/>
                <w:b/>
                <w:bCs/>
                <w:color w:val="FFFFFF"/>
                <w:sz w:val="20"/>
                <w:szCs w:val="20"/>
              </w:rPr>
              <w:t xml:space="preserve">Commercial Use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Mentha × piperita</w:t>
            </w:r>
            <w:r>
              <w:rPr>
                <w:rFonts w:ascii="Arial" w:cs="Arial" w:eastAsia="Arial" w:hAnsi="Arial"/>
                <w:b w:val="false"/>
                <w:bCs w:val="false"/>
                <w:color w:val="333333"/>
                <w:sz w:val="20"/>
                <w:szCs w:val="20"/>
              </w:rPr>
              <w:t xml:space="preserve"> (Peppermint)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30–50% (typically 41%)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Leaves; most potent post-flowering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Culinary, pharmaceutical, cosmetic</w:t>
            </w:r>
          </w:p>
        </w:tc>
      </w:tr>
      <w:tr>
        <w:tc>
          <w:tcPr>
            <w:tcW w:type="dxa" w:w="234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Mentha arvensis</w:t>
            </w:r>
            <w:r>
              <w:rPr>
                <w:rFonts w:ascii="Arial" w:cs="Arial" w:eastAsia="Arial" w:hAnsi="Arial"/>
                <w:b w:val="false"/>
                <w:bCs w:val="false"/>
                <w:color w:val="333333"/>
                <w:sz w:val="20"/>
                <w:szCs w:val="20"/>
              </w:rPr>
              <w:t xml:space="preserve"> (Cornmint/Japanese mint)</w:t>
            </w:r>
          </w:p>
        </w:tc>
        <w:tc>
          <w:tcPr>
            <w:tcW w:type="dxa" w:w="234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70–90% (can exceed 90%)</w:t>
            </w:r>
          </w:p>
        </w:tc>
        <w:tc>
          <w:tcPr>
            <w:tcW w:type="dxa" w:w="234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Highest menthol-yielding species</w:t>
            </w:r>
            <w:r>
              <w:rPr>
                <w:rFonts w:ascii="Arial" w:cs="Arial" w:eastAsia="Arial" w:hAnsi="Arial"/>
                <w:b w:val="false"/>
                <w:bCs w:val="false"/>
                <w:color w:val="333333"/>
                <w:sz w:val="20"/>
                <w:szCs w:val="20"/>
              </w:rPr>
              <w:t xml:space="preserve">; leaves and whole plant</w:t>
            </w:r>
          </w:p>
        </w:tc>
        <w:tc>
          <w:tcPr>
            <w:tcW w:type="dxa" w:w="234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Dominant commercial source</w:t>
            </w:r>
            <w:r>
              <w:rPr>
                <w:rFonts w:ascii="Arial" w:cs="Arial" w:eastAsia="Arial" w:hAnsi="Arial"/>
                <w:b w:val="false"/>
                <w:bCs w:val="false"/>
                <w:color w:val="333333"/>
                <w:sz w:val="20"/>
                <w:szCs w:val="20"/>
              </w:rPr>
              <w:t xml:space="preserve"> for menthol extraction (&gt;70% of global supply)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Mentha canadensis</w:t>
            </w:r>
            <w:r>
              <w:rPr>
                <w:rFonts w:ascii="Arial" w:cs="Arial" w:eastAsia="Arial" w:hAnsi="Arial"/>
                <w:b w:val="false"/>
                <w:bCs w:val="false"/>
                <w:color w:val="333333"/>
                <w:sz w:val="20"/>
                <w:szCs w:val="20"/>
              </w:rPr>
              <w:t xml:space="preserve"> (North American mint)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40–80%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Geographic variant of *M. arvensis*; abundant in Canada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Regional commercial production</w:t>
            </w:r>
          </w:p>
        </w:tc>
      </w:tr>
      <w:tr>
        <w:tc>
          <w:tcPr>
            <w:tcW w:type="dxa" w:w="234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Mentha haplocalyx</w:t>
            </w:r>
            <w:r>
              <w:rPr>
                <w:rFonts w:ascii="Arial" w:cs="Arial" w:eastAsia="Arial" w:hAnsi="Arial"/>
                <w:b w:val="false"/>
                <w:bCs w:val="false"/>
                <w:color w:val="333333"/>
                <w:sz w:val="20"/>
                <w:szCs w:val="20"/>
              </w:rPr>
              <w:t xml:space="preserve"> (Field mint, Bo He)</w:t>
            </w:r>
          </w:p>
        </w:tc>
        <w:tc>
          <w:tcPr>
            <w:tcW w:type="dxa" w:w="234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20–60%</w:t>
            </w:r>
          </w:p>
        </w:tc>
        <w:tc>
          <w:tcPr>
            <w:tcW w:type="dxa" w:w="234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Used in TCM; lower yields than *M. arvensis*</w:t>
            </w:r>
          </w:p>
        </w:tc>
        <w:tc>
          <w:tcPr>
            <w:tcW w:type="dxa" w:w="234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Traditional medicine; some modern cosmetics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Mentha longifolia</w:t>
            </w:r>
            <w:r>
              <w:rPr>
                <w:rFonts w:ascii="Arial" w:cs="Arial" w:eastAsia="Arial" w:hAnsi="Arial"/>
                <w:b w:val="false"/>
                <w:bCs w:val="false"/>
                <w:color w:val="333333"/>
                <w:sz w:val="20"/>
                <w:szCs w:val="20"/>
              </w:rPr>
              <w:t xml:space="preserve"> (Horsemint)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10–40%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More robust in arid climates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Regional culinary use</w:t>
            </w:r>
          </w:p>
        </w:tc>
      </w:tr>
      <w:tr>
        <w:tc>
          <w:tcPr>
            <w:tcW w:type="dxa" w:w="234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Mentha citrata</w:t>
            </w:r>
            <w:r>
              <w:rPr>
                <w:rFonts w:ascii="Arial" w:cs="Arial" w:eastAsia="Arial" w:hAnsi="Arial"/>
                <w:b w:val="false"/>
                <w:bCs w:val="false"/>
                <w:color w:val="333333"/>
                <w:sz w:val="20"/>
                <w:szCs w:val="20"/>
              </w:rPr>
              <w:t xml:space="preserve"> (Eau-de-Cologne mint)</w:t>
            </w:r>
          </w:p>
        </w:tc>
        <w:tc>
          <w:tcPr>
            <w:tcW w:type="dxa" w:w="234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5–15%</w:t>
            </w:r>
          </w:p>
        </w:tc>
        <w:tc>
          <w:tcPr>
            <w:tcW w:type="dxa" w:w="234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Linalool-rich; lower menthol</w:t>
            </w:r>
          </w:p>
        </w:tc>
        <w:tc>
          <w:tcPr>
            <w:tcW w:type="dxa" w:w="234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Perfumery, specialty beverages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Mentha spicata</w:t>
            </w:r>
            <w:r>
              <w:rPr>
                <w:rFonts w:ascii="Arial" w:cs="Arial" w:eastAsia="Arial" w:hAnsi="Arial"/>
                <w:b w:val="false"/>
                <w:bCs w:val="false"/>
                <w:color w:val="333333"/>
                <w:sz w:val="20"/>
                <w:szCs w:val="20"/>
              </w:rPr>
              <w:t xml:space="preserve"> (Spearmint)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0.5–5%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Carvone-dominant (40–70%)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Culinary (mojitos, tabbouleh); minimal menthol</w:t>
            </w:r>
          </w:p>
        </w:tc>
      </w:tr>
      <w:tr>
        <w:tc>
          <w:tcPr>
            <w:tcW w:type="dxa" w:w="234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Mentha pulegium</w:t>
            </w:r>
            <w:r>
              <w:rPr>
                <w:rFonts w:ascii="Arial" w:cs="Arial" w:eastAsia="Arial" w:hAnsi="Arial"/>
                <w:b w:val="false"/>
                <w:bCs w:val="false"/>
                <w:color w:val="333333"/>
                <w:sz w:val="20"/>
                <w:szCs w:val="20"/>
              </w:rPr>
              <w:t xml:space="preserve"> (Pennyroyal)</w:t>
            </w:r>
          </w:p>
        </w:tc>
        <w:tc>
          <w:tcPr>
            <w:tcW w:type="dxa" w:w="234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2–10%</w:t>
            </w:r>
          </w:p>
        </w:tc>
        <w:tc>
          <w:tcPr>
            <w:tcW w:type="dxa" w:w="234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TOXIC</w:t>
            </w:r>
            <w:r>
              <w:rPr>
                <w:rFonts w:ascii="Arial" w:cs="Arial" w:eastAsia="Arial" w:hAnsi="Arial"/>
                <w:b w:val="false"/>
                <w:bCs w:val="false"/>
                <w:color w:val="333333"/>
                <w:sz w:val="20"/>
                <w:szCs w:val="20"/>
              </w:rPr>
              <w:t xml:space="preserve">; contains 40–90% pulegone (hepatotoxic)</w:t>
            </w:r>
          </w:p>
        </w:tc>
        <w:tc>
          <w:tcPr>
            <w:tcW w:type="dxa" w:w="2340"/>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Prohibited in many countries</w:t>
            </w:r>
            <w:r>
              <w:rPr>
                <w:rFonts w:ascii="Arial" w:cs="Arial" w:eastAsia="Arial" w:hAnsi="Arial"/>
                <w:b w:val="false"/>
                <w:bCs w:val="false"/>
                <w:color w:val="333333"/>
                <w:sz w:val="20"/>
                <w:szCs w:val="20"/>
              </w:rPr>
              <w:t xml:space="preserve">; toxicology reference only</w:t>
            </w:r>
          </w:p>
        </w:tc>
      </w:tr>
    </w:tbl>
    <w:p>
      <w:pPr>
        <w:spacing w:after="120"/>
      </w:pPr>
    </w:p>
    <w:p>
      <w:pPr>
        <w:pStyle w:val="Heading2"/>
        <w:spacing w:after="120" w:before="240"/>
      </w:pPr>
      <w:r>
        <w:rPr>
          <w:rFonts w:ascii="Arial" w:cs="Arial" w:eastAsia="Arial" w:hAnsi="Arial"/>
          <w:b/>
          <w:bCs/>
          <w:color w:val="333333"/>
          <w:sz w:val="26"/>
          <w:szCs w:val="26"/>
        </w:rPr>
        <w:t xml:space="preserve">Global Commercial Production Scale</w:t>
      </w:r>
    </w:p>
    <w:p>
      <w:pPr>
        <w:spacing w:after="120" w:line="300"/>
      </w:pPr>
      <w:r>
        <w:rPr>
          <w:rFonts w:ascii="Arial" w:cs="Arial" w:eastAsia="Arial" w:hAnsi="Arial"/>
          <w:b/>
          <w:bCs/>
          <w:sz w:val="22"/>
          <w:szCs w:val="22"/>
        </w:rPr>
        <w:t xml:space="preserve">Annual menthol production:</w:t>
      </w:r>
      <w:r>
        <w:rPr>
          <w:rFonts w:ascii="Arial" w:cs="Arial" w:eastAsia="Arial" w:hAnsi="Arial"/>
          <w:sz w:val="22"/>
          <w:szCs w:val="22"/>
        </w:rPr>
        <w:t xml:space="preserve"> Estimates vary widely but suggest:</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1998 figure:</w:t>
      </w:r>
      <w:r>
        <w:rPr>
          <w:rFonts w:ascii="Arial" w:cs="Arial" w:eastAsia="Arial" w:hAnsi="Arial"/>
          <w:sz w:val="22"/>
          <w:szCs w:val="22"/>
        </w:rPr>
        <w:t xml:space="preserve"> ~11,800 tonnes globally</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Recent estimates (2010s–2020s):</w:t>
      </w:r>
      <w:r>
        <w:rPr>
          <w:rFonts w:ascii="Arial" w:cs="Arial" w:eastAsia="Arial" w:hAnsi="Arial"/>
          <w:sz w:val="22"/>
          <w:szCs w:val="22"/>
        </w:rPr>
        <w:t xml:space="preserve"> 15,000–30,000+ tonnes annually (higher estimates include synthetic production)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India's dominance:</w:t>
      </w:r>
      <w:r>
        <w:rPr>
          <w:rFonts w:ascii="Arial" w:cs="Arial" w:eastAsia="Arial" w:hAnsi="Arial"/>
          <w:sz w:val="22"/>
          <w:szCs w:val="22"/>
        </w:rPr>
        <w:t xml:space="preserve"> India produces ~70–90% of global natural menthol, primarily from *Mentha arvensis* cultivation in Uttar Pradesh</w:t>
      </w:r>
    </w:p>
    <w:p>
      <w:pPr>
        <w:spacing w:after="120" w:line="300"/>
      </w:pPr>
      <w:r>
        <w:rPr>
          <w:rFonts w:ascii="Arial" w:cs="Arial" w:eastAsia="Arial" w:hAnsi="Arial"/>
          <w:b/>
          <w:bCs/>
          <w:sz w:val="22"/>
          <w:szCs w:val="22"/>
        </w:rPr>
        <w:t xml:space="preserve">Production methods: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Natural extraction:</w:t>
      </w:r>
      <w:r>
        <w:rPr>
          <w:rFonts w:ascii="Arial" w:cs="Arial" w:eastAsia="Arial" w:hAnsi="Arial"/>
          <w:sz w:val="22"/>
          <w:szCs w:val="22"/>
        </w:rPr>
        <w:t xml:space="preserve"> Freezing crystallization of peppermint essential oil; labor-intensive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Synthetic production:</w:t>
      </w:r>
      <w:r>
        <w:rPr>
          <w:rFonts w:ascii="Arial" w:cs="Arial" w:eastAsia="Arial" w:hAnsi="Arial"/>
          <w:sz w:val="22"/>
          <w:szCs w:val="22"/>
        </w:rPr>
        <w:t xml:space="preserve"> Chemical synthesis from m-cresol, citral, or myrcene (see Section 9)</w:t>
      </w:r>
    </w:p>
    <w:p>
      <w:pPr>
        <w:pStyle w:val="Heading2"/>
        <w:spacing w:after="120" w:before="240"/>
      </w:pPr>
      <w:r>
        <w:rPr>
          <w:rFonts w:ascii="Arial" w:cs="Arial" w:eastAsia="Arial" w:hAnsi="Arial"/>
          <w:b/>
          <w:bCs/>
          <w:color w:val="333333"/>
          <w:sz w:val="26"/>
          <w:szCs w:val="26"/>
        </w:rPr>
        <w:t xml:space="preserve">Minor Botanical Sources and Trace Menthol</w:t>
      </w:r>
    </w:p>
    <w:p>
      <w:pPr>
        <w:spacing w:after="120" w:line="300"/>
      </w:pPr>
      <w:r>
        <w:rPr>
          <w:rFonts w:ascii="Arial" w:cs="Arial" w:eastAsia="Arial" w:hAnsi="Arial"/>
          <w:sz w:val="22"/>
          <w:szCs w:val="22"/>
        </w:rPr>
        <w:t xml:space="preserve">Menthol occurs in trace amounts (&lt;1–2%) in: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Eucalyptus species</w:t>
      </w:r>
      <w:r>
        <w:rPr>
          <w:rFonts w:ascii="Arial" w:cs="Arial" w:eastAsia="Arial" w:hAnsi="Arial"/>
          <w:sz w:val="22"/>
          <w:szCs w:val="22"/>
        </w:rPr>
        <w:t xml:space="preserve"> (Eucalyptus globulus, Eucalyptus radiata)</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Achillea</w:t>
      </w:r>
      <w:r>
        <w:rPr>
          <w:rFonts w:ascii="Arial" w:cs="Arial" w:eastAsia="Arial" w:hAnsi="Arial"/>
          <w:sz w:val="22"/>
          <w:szCs w:val="22"/>
        </w:rPr>
        <w:t xml:space="preserve"> (yarrow) species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Lavender</w:t>
      </w:r>
      <w:r>
        <w:rPr>
          <w:rFonts w:ascii="Arial" w:cs="Arial" w:eastAsia="Arial" w:hAnsi="Arial"/>
          <w:sz w:val="22"/>
          <w:szCs w:val="22"/>
        </w:rPr>
        <w:t xml:space="preserve"> (minute amounts)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Lemon balm</w:t>
      </w:r>
      <w:r>
        <w:rPr>
          <w:rFonts w:ascii="Arial" w:cs="Arial" w:eastAsia="Arial" w:hAnsi="Arial"/>
          <w:sz w:val="22"/>
          <w:szCs w:val="22"/>
        </w:rPr>
        <w:t xml:space="preserve"> (Melissa officinalis)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Some Thymus</w:t>
      </w:r>
      <w:r>
        <w:rPr>
          <w:rFonts w:ascii="Arial" w:cs="Arial" w:eastAsia="Arial" w:hAnsi="Arial"/>
          <w:sz w:val="22"/>
          <w:szCs w:val="22"/>
        </w:rPr>
        <w:t xml:space="preserve"> (thyme) species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277BD"/>
          <w:sz w:val="30"/>
          <w:szCs w:val="30"/>
        </w:rPr>
        <w:t xml:space="preserve">7. Molecular Cousins and Related Monoterpenes</w:t>
      </w:r>
    </w:p>
    <w:p>
      <w:pPr>
        <w:pStyle w:val="Heading2"/>
        <w:spacing w:after="120" w:before="240"/>
      </w:pPr>
      <w:r>
        <w:rPr>
          <w:rFonts w:ascii="Arial" w:cs="Arial" w:eastAsia="Arial" w:hAnsi="Arial"/>
          <w:b/>
          <w:bCs/>
          <w:color w:val="333333"/>
          <w:sz w:val="26"/>
          <w:szCs w:val="26"/>
        </w:rPr>
        <w:t xml:space="preserve">Menthone (Biosynthetic Precursor)</w:t>
      </w:r>
    </w:p>
    <w:p>
      <w:pPr>
        <w:spacing w:after="120" w:line="300"/>
      </w:pPr>
      <w:r>
        <w:rPr>
          <w:rFonts w:ascii="Arial" w:cs="Arial" w:eastAsia="Arial" w:hAnsi="Arial"/>
          <w:b/>
          <w:bCs/>
          <w:sz w:val="22"/>
          <w:szCs w:val="22"/>
        </w:rPr>
        <w:t xml:space="preserve">IUPAC:</w:t>
      </w:r>
      <w:r>
        <w:rPr>
          <w:rFonts w:ascii="Arial" w:cs="Arial" w:eastAsia="Arial" w:hAnsi="Arial"/>
          <w:sz w:val="22"/>
          <w:szCs w:val="22"/>
        </w:rPr>
        <w:t xml:space="preserve"> (-)-5-methyl-2-(propan-2-yl)cyclohexanone</w:t>
      </w:r>
    </w:p>
    <w:p>
      <w:pPr>
        <w:spacing w:after="120" w:line="300"/>
      </w:pPr>
      <w:r>
        <w:rPr>
          <w:rFonts w:ascii="Arial" w:cs="Arial" w:eastAsia="Arial" w:hAnsi="Arial"/>
          <w:b/>
          <w:bCs/>
          <w:sz w:val="22"/>
          <w:szCs w:val="22"/>
        </w:rPr>
        <w:t xml:space="preserve">Formula:</w:t>
      </w:r>
      <w:r>
        <w:rPr>
          <w:rFonts w:ascii="Arial" w:cs="Arial" w:eastAsia="Arial" w:hAnsi="Arial"/>
          <w:sz w:val="22"/>
          <w:szCs w:val="22"/>
        </w:rPr>
        <w:t xml:space="preserve"> C₁₀H₁₈O (ketone, not alcohol)</w:t>
      </w:r>
    </w:p>
    <w:p>
      <w:pPr>
        <w:spacing w:after="120" w:line="300"/>
      </w:pPr>
      <w:r>
        <w:rPr>
          <w:rFonts w:ascii="Arial" w:cs="Arial" w:eastAsia="Arial" w:hAnsi="Arial"/>
          <w:b/>
          <w:bCs/>
          <w:sz w:val="22"/>
          <w:szCs w:val="22"/>
        </w:rPr>
        <w:t xml:space="preserve">Content in peppermint:</w:t>
      </w:r>
      <w:r>
        <w:rPr>
          <w:rFonts w:ascii="Arial" w:cs="Arial" w:eastAsia="Arial" w:hAnsi="Arial"/>
          <w:sz w:val="22"/>
          <w:szCs w:val="22"/>
        </w:rPr>
        <w:t xml:space="preserve"> 15–30% (typically ~23%)</w:t>
      </w:r>
    </w:p>
    <w:p>
      <w:pPr>
        <w:spacing w:after="120" w:line="300"/>
      </w:pPr>
      <w:r>
        <w:rPr>
          <w:rFonts w:ascii="Arial" w:cs="Arial" w:eastAsia="Arial" w:hAnsi="Arial"/>
          <w:b/>
          <w:bCs/>
          <w:sz w:val="22"/>
          <w:szCs w:val="22"/>
        </w:rPr>
        <w:t xml:space="preserve">Sensory profile:</w:t>
      </w:r>
      <w:r>
        <w:rPr>
          <w:rFonts w:ascii="Arial" w:cs="Arial" w:eastAsia="Arial" w:hAnsi="Arial"/>
          <w:sz w:val="22"/>
          <w:szCs w:val="22"/>
        </w:rPr>
        <w:t xml:space="preserve"> Minty but less cooling than menthol; more herbaceous, slightly minty-peppery</w:t>
      </w:r>
    </w:p>
    <w:p>
      <w:pPr>
        <w:spacing w:after="120" w:line="300"/>
      </w:pPr>
      <w:r>
        <w:rPr>
          <w:rFonts w:ascii="Arial" w:cs="Arial" w:eastAsia="Arial" w:hAnsi="Arial"/>
          <w:b/>
          <w:bCs/>
          <w:sz w:val="22"/>
          <w:szCs w:val="22"/>
        </w:rPr>
        <w:t xml:space="preserve">TRPM8 activity:</w:t>
      </w:r>
      <w:r>
        <w:rPr>
          <w:rFonts w:ascii="Arial" w:cs="Arial" w:eastAsia="Arial" w:hAnsi="Arial"/>
          <w:sz w:val="22"/>
          <w:szCs w:val="22"/>
        </w:rPr>
        <w:t xml:space="preserve"> Weak agonist compared to menthol</w:t>
      </w:r>
    </w:p>
    <w:p>
      <w:pPr>
        <w:spacing w:after="120" w:line="300"/>
      </w:pPr>
      <w:r>
        <w:rPr>
          <w:rFonts w:ascii="Arial" w:cs="Arial" w:eastAsia="Arial" w:hAnsi="Arial"/>
          <w:b/>
          <w:bCs/>
          <w:sz w:val="22"/>
          <w:szCs w:val="22"/>
        </w:rPr>
        <w:t xml:space="preserve">Reductase conversion:</w:t>
      </w:r>
      <w:r>
        <w:rPr>
          <w:rFonts w:ascii="Arial" w:cs="Arial" w:eastAsia="Arial" w:hAnsi="Arial"/>
          <w:sz w:val="22"/>
          <w:szCs w:val="22"/>
        </w:rPr>
        <w:t xml:space="preserve"> Two pathways exist: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Menthone → menthol (via (-)-menthone:menthol reductase [MMR])</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Menthone → neomenthol (via (-)-menthone:neomenthol reductase [MNMR])</w:t>
      </w:r>
    </w:p>
    <w:p>
      <w:pPr>
        <w:spacing w:after="120" w:line="300"/>
      </w:pPr>
      <w:r>
        <w:rPr>
          <w:rFonts w:ascii="Arial" w:cs="Arial" w:eastAsia="Arial" w:hAnsi="Arial"/>
          <w:sz w:val="22"/>
          <w:szCs w:val="22"/>
        </w:rPr>
        <w:t xml:space="preserve">Menthone is the </w:t>
      </w:r>
      <w:r>
        <w:rPr>
          <w:rFonts w:ascii="Arial" w:cs="Arial" w:eastAsia="Arial" w:hAnsi="Arial"/>
          <w:b/>
          <w:bCs/>
          <w:sz w:val="22"/>
          <w:szCs w:val="22"/>
        </w:rPr>
        <w:t xml:space="preserve">immediate biosynthetic precursor</w:t>
      </w:r>
      <w:r>
        <w:rPr>
          <w:rFonts w:ascii="Arial" w:cs="Arial" w:eastAsia="Arial" w:hAnsi="Arial"/>
          <w:sz w:val="22"/>
          <w:szCs w:val="22"/>
        </w:rPr>
        <w:t xml:space="preserve"> to menthol in step 7 of the pathway; its concentration can be manipulated agronomically by selecting cultivars with lower MMR expression.</w:t>
      </w:r>
    </w:p>
    <w:p>
      <w:pPr>
        <w:pStyle w:val="Heading2"/>
        <w:spacing w:after="120" w:before="240"/>
      </w:pPr>
      <w:r>
        <w:rPr>
          <w:rFonts w:ascii="Arial" w:cs="Arial" w:eastAsia="Arial" w:hAnsi="Arial"/>
          <w:b/>
          <w:bCs/>
          <w:color w:val="333333"/>
          <w:sz w:val="26"/>
          <w:szCs w:val="26"/>
        </w:rPr>
        <w:t xml:space="preserve">Pulegone (Toxic Intermediate)</w:t>
      </w:r>
    </w:p>
    <w:p>
      <w:pPr>
        <w:spacing w:after="120" w:line="300"/>
      </w:pPr>
      <w:r>
        <w:rPr>
          <w:rFonts w:ascii="Arial" w:cs="Arial" w:eastAsia="Arial" w:hAnsi="Arial"/>
          <w:b/>
          <w:bCs/>
          <w:sz w:val="22"/>
          <w:szCs w:val="22"/>
        </w:rPr>
        <w:t xml:space="preserve">IUPAC:</w:t>
      </w:r>
      <w:r>
        <w:rPr>
          <w:rFonts w:ascii="Arial" w:cs="Arial" w:eastAsia="Arial" w:hAnsi="Arial"/>
          <w:sz w:val="22"/>
          <w:szCs w:val="22"/>
        </w:rPr>
        <w:t xml:space="preserve"> 5-methyl-2-(propan-2-yl)cyclohex-2-enone</w:t>
      </w:r>
    </w:p>
    <w:p>
      <w:pPr>
        <w:spacing w:after="120" w:line="300"/>
      </w:pPr>
      <w:r>
        <w:rPr>
          <w:rFonts w:ascii="Arial" w:cs="Arial" w:eastAsia="Arial" w:hAnsi="Arial"/>
          <w:b/>
          <w:bCs/>
          <w:sz w:val="22"/>
          <w:szCs w:val="22"/>
        </w:rPr>
        <w:t xml:space="preserve">Formula:</w:t>
      </w:r>
      <w:r>
        <w:rPr>
          <w:rFonts w:ascii="Arial" w:cs="Arial" w:eastAsia="Arial" w:hAnsi="Arial"/>
          <w:sz w:val="22"/>
          <w:szCs w:val="22"/>
        </w:rPr>
        <w:t xml:space="preserve"> C₁₀H₁₆O (ketone with C=C double bond)</w:t>
      </w:r>
    </w:p>
    <w:p>
      <w:pPr>
        <w:spacing w:after="120" w:line="300"/>
      </w:pPr>
      <w:r>
        <w:rPr>
          <w:rFonts w:ascii="Arial" w:cs="Arial" w:eastAsia="Arial" w:hAnsi="Arial"/>
          <w:b/>
          <w:bCs/>
          <w:sz w:val="22"/>
          <w:szCs w:val="22"/>
        </w:rPr>
        <w:t xml:space="preserve">Content in peppermint:</w:t>
      </w:r>
      <w:r>
        <w:rPr>
          <w:rFonts w:ascii="Arial" w:cs="Arial" w:eastAsia="Arial" w:hAnsi="Arial"/>
          <w:sz w:val="22"/>
          <w:szCs w:val="22"/>
        </w:rPr>
        <w:t xml:space="preserve"> ~0–5% (very low due to rapid reduction)</w:t>
      </w:r>
    </w:p>
    <w:p>
      <w:pPr>
        <w:spacing w:after="120" w:line="300"/>
      </w:pPr>
      <w:r>
        <w:rPr>
          <w:rFonts w:ascii="Arial" w:cs="Arial" w:eastAsia="Arial" w:hAnsi="Arial"/>
          <w:b/>
          <w:bCs/>
          <w:sz w:val="22"/>
          <w:szCs w:val="22"/>
        </w:rPr>
        <w:t xml:space="preserve">Content in pennyroyal oil:</w:t>
      </w:r>
      <w:r>
        <w:rPr>
          <w:rFonts w:ascii="Arial" w:cs="Arial" w:eastAsia="Arial" w:hAnsi="Arial"/>
          <w:sz w:val="22"/>
          <w:szCs w:val="22"/>
        </w:rPr>
        <w:t xml:space="preserve"> 40–90% (principal component)</w:t>
      </w:r>
    </w:p>
    <w:p>
      <w:pPr>
        <w:spacing w:after="120" w:line="300"/>
      </w:pPr>
      <w:r>
        <w:rPr>
          <w:rFonts w:ascii="Arial" w:cs="Arial" w:eastAsia="Arial" w:hAnsi="Arial"/>
          <w:b/>
          <w:bCs/>
          <w:sz w:val="22"/>
          <w:szCs w:val="22"/>
        </w:rPr>
        <w:t xml:space="preserve">Toxicity:</w:t>
      </w:r>
      <w:r>
        <w:rPr>
          <w:rFonts w:ascii="Arial" w:cs="Arial" w:eastAsia="Arial" w:hAnsi="Arial"/>
          <w:sz w:val="22"/>
          <w:szCs w:val="22"/>
        </w:rPr>
        <w:t xml:space="preserve"> </w:t>
      </w:r>
      <w:r>
        <w:rPr>
          <w:rFonts w:ascii="Arial" w:cs="Arial" w:eastAsia="Arial" w:hAnsi="Arial"/>
          <w:b/>
          <w:bCs/>
          <w:sz w:val="22"/>
          <w:szCs w:val="22"/>
        </w:rPr>
        <w:t xml:space="preserve">HEPATOTOXIC, NEUROTOXIC, NEPHROTOXIC</w:t>
      </w:r>
      <w:r>
        <w:rPr>
          <w:rFonts w:ascii="Arial" w:cs="Arial" w:eastAsia="Arial" w:hAnsi="Arial"/>
          <w:sz w:val="22"/>
          <w:szCs w:val="22"/>
        </w:rPr>
        <w:t xml:space="preserve">; LD₅₀ in rats ~150 mg/kg</w:t>
      </w:r>
    </w:p>
    <w:p>
      <w:pPr>
        <w:spacing w:after="120" w:line="300"/>
      </w:pPr>
      <w:r>
        <w:rPr>
          <w:rFonts w:ascii="Arial" w:cs="Arial" w:eastAsia="Arial" w:hAnsi="Arial"/>
          <w:b/>
          <w:bCs/>
          <w:sz w:val="22"/>
          <w:szCs w:val="22"/>
        </w:rPr>
        <w:t xml:space="preserve">Human toxicity data:</w:t>
      </w:r>
      <w:r>
        <w:rPr>
          <w:rFonts w:ascii="Arial" w:cs="Arial" w:eastAsia="Arial" w:hAnsi="Arial"/>
          <w:sz w:val="22"/>
          <w:szCs w:val="22"/>
        </w:rPr>
        <w:t xml:space="preserve"> Cases of severe hepatotoxicity documented from oral consumption of 10+ mL pennyroyal oil</w:t>
      </w:r>
    </w:p>
    <w:p>
      <w:pPr>
        <w:spacing w:after="120" w:line="300"/>
      </w:pPr>
      <w:r>
        <w:rPr>
          <w:rFonts w:ascii="Arial" w:cs="Arial" w:eastAsia="Arial" w:hAnsi="Arial"/>
          <w:b/>
          <w:bCs/>
          <w:sz w:val="22"/>
          <w:szCs w:val="22"/>
        </w:rPr>
        <w:t xml:space="preserve">Mechanism of toxicity:</w:t>
      </w:r>
      <w:r>
        <w:rPr>
          <w:rFonts w:ascii="Arial" w:cs="Arial" w:eastAsia="Arial" w:hAnsi="Arial"/>
          <w:sz w:val="22"/>
          <w:szCs w:val="22"/>
        </w:rPr>
        <w:t xml:space="preserve"> Metabolized to reactive electrophiles (menthofuran, γ-ketoenal) that covalently bind hepatic proteins and deplete glutathione, leading to oxidative hepatocyte necrosis.</w:t>
      </w:r>
    </w:p>
    <w:p>
      <w:pPr>
        <w:spacing w:after="120" w:line="300"/>
      </w:pPr>
      <w:r>
        <w:rPr>
          <w:rFonts w:ascii="Arial" w:cs="Arial" w:eastAsia="Arial" w:hAnsi="Arial"/>
          <w:b/>
          <w:bCs/>
          <w:sz w:val="22"/>
          <w:szCs w:val="22"/>
        </w:rPr>
        <w:t xml:space="preserve">Regulatory status: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Prohibited as a synthetic flavoring agent in the USA</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Classified as possibly carcinogenic to humans (IARC Group 2B)</w:t>
      </w:r>
    </w:p>
    <w:p>
      <w:pPr>
        <w:pStyle w:val="Heading2"/>
        <w:spacing w:after="120" w:before="240"/>
      </w:pPr>
      <w:r>
        <w:rPr>
          <w:rFonts w:ascii="Arial" w:cs="Arial" w:eastAsia="Arial" w:hAnsi="Arial"/>
          <w:b/>
          <w:bCs/>
          <w:color w:val="333333"/>
          <w:sz w:val="26"/>
          <w:szCs w:val="26"/>
        </w:rPr>
        <w:t xml:space="preserve">Menthofuran (Oxidative Metabolite)</w:t>
      </w:r>
    </w:p>
    <w:p>
      <w:pPr>
        <w:spacing w:after="120" w:line="300"/>
      </w:pPr>
      <w:r>
        <w:rPr>
          <w:rFonts w:ascii="Arial" w:cs="Arial" w:eastAsia="Arial" w:hAnsi="Arial"/>
          <w:b/>
          <w:bCs/>
          <w:sz w:val="22"/>
          <w:szCs w:val="22"/>
        </w:rPr>
        <w:t xml:space="preserve">IUPAC:</w:t>
      </w:r>
      <w:r>
        <w:rPr>
          <w:rFonts w:ascii="Arial" w:cs="Arial" w:eastAsia="Arial" w:hAnsi="Arial"/>
          <w:sz w:val="22"/>
          <w:szCs w:val="22"/>
        </w:rPr>
        <w:t xml:space="preserve"> 1-methyl-4-(propan-2-yl)furan-3(2H)-one</w:t>
      </w:r>
    </w:p>
    <w:p>
      <w:pPr>
        <w:spacing w:after="120" w:line="300"/>
      </w:pPr>
      <w:r>
        <w:rPr>
          <w:rFonts w:ascii="Arial" w:cs="Arial" w:eastAsia="Arial" w:hAnsi="Arial"/>
          <w:b/>
          <w:bCs/>
          <w:sz w:val="22"/>
          <w:szCs w:val="22"/>
        </w:rPr>
        <w:t xml:space="preserve">Formula:</w:t>
      </w:r>
      <w:r>
        <w:rPr>
          <w:rFonts w:ascii="Arial" w:cs="Arial" w:eastAsia="Arial" w:hAnsi="Arial"/>
          <w:sz w:val="22"/>
          <w:szCs w:val="22"/>
        </w:rPr>
        <w:t xml:space="preserve"> C₁₀H₁₄O₂</w:t>
      </w:r>
    </w:p>
    <w:p>
      <w:pPr>
        <w:spacing w:after="120" w:line="300"/>
      </w:pPr>
      <w:r>
        <w:rPr>
          <w:rFonts w:ascii="Arial" w:cs="Arial" w:eastAsia="Arial" w:hAnsi="Arial"/>
          <w:b/>
          <w:bCs/>
          <w:sz w:val="22"/>
          <w:szCs w:val="22"/>
        </w:rPr>
        <w:t xml:space="preserve">Content in peppermint:</w:t>
      </w:r>
      <w:r>
        <w:rPr>
          <w:rFonts w:ascii="Arial" w:cs="Arial" w:eastAsia="Arial" w:hAnsi="Arial"/>
          <w:sz w:val="22"/>
          <w:szCs w:val="22"/>
        </w:rPr>
        <w:t xml:space="preserve"> 1–17% (variable; increases with oxidative stress or age)</w:t>
      </w:r>
    </w:p>
    <w:p>
      <w:pPr>
        <w:spacing w:after="120" w:line="300"/>
      </w:pPr>
      <w:r>
        <w:rPr>
          <w:rFonts w:ascii="Arial" w:cs="Arial" w:eastAsia="Arial" w:hAnsi="Arial"/>
          <w:b/>
          <w:bCs/>
          <w:sz w:val="22"/>
          <w:szCs w:val="22"/>
        </w:rPr>
        <w:t xml:space="preserve">Sensory:</w:t>
      </w:r>
      <w:r>
        <w:rPr>
          <w:rFonts w:ascii="Arial" w:cs="Arial" w:eastAsia="Arial" w:hAnsi="Arial"/>
          <w:sz w:val="22"/>
          <w:szCs w:val="22"/>
        </w:rPr>
        <w:t xml:space="preserve"> Minty-woody, less fresh than menthol</w:t>
      </w:r>
    </w:p>
    <w:p>
      <w:pPr>
        <w:spacing w:after="120" w:line="300"/>
      </w:pPr>
      <w:r>
        <w:rPr>
          <w:rFonts w:ascii="Arial" w:cs="Arial" w:eastAsia="Arial" w:hAnsi="Arial"/>
          <w:b/>
          <w:bCs/>
          <w:sz w:val="22"/>
          <w:szCs w:val="22"/>
        </w:rPr>
        <w:t xml:space="preserve">Toxicological significance:</w:t>
      </w:r>
      <w:r>
        <w:rPr>
          <w:rFonts w:ascii="Arial" w:cs="Arial" w:eastAsia="Arial" w:hAnsi="Arial"/>
          <w:sz w:val="22"/>
          <w:szCs w:val="22"/>
        </w:rPr>
        <w:t xml:space="preserve"> </w:t>
      </w:r>
      <w:r>
        <w:rPr>
          <w:rFonts w:ascii="Arial" w:cs="Arial" w:eastAsia="Arial" w:hAnsi="Arial"/>
          <w:b/>
          <w:bCs/>
          <w:sz w:val="22"/>
          <w:szCs w:val="22"/>
        </w:rPr>
        <w:t xml:space="preserve">Primary hepatotoxic metabolite of pulegone</w:t>
      </w:r>
      <w:r>
        <w:rPr>
          <w:rFonts w:ascii="Arial" w:cs="Arial" w:eastAsia="Arial" w:hAnsi="Arial"/>
          <w:sz w:val="22"/>
          <w:szCs w:val="22"/>
        </w:rPr>
        <w:t xml:space="preserve">; binds to hepatic proteins and mediates pulegone-induced liver injury; present in low amounts in peppermint but not considered a toxicological concern at normal consumption levels</w:t>
      </w:r>
    </w:p>
    <w:p>
      <w:pPr>
        <w:spacing w:after="120" w:line="300"/>
      </w:pPr>
      <w:r>
        <w:rPr>
          <w:rFonts w:ascii="Arial" w:cs="Arial" w:eastAsia="Arial" w:hAnsi="Arial"/>
          <w:sz w:val="22"/>
          <w:szCs w:val="22"/>
        </w:rPr>
        <w:t xml:space="preserve">Menthofuran represents a </w:t>
      </w:r>
      <w:r>
        <w:rPr>
          <w:rFonts w:ascii="Arial" w:cs="Arial" w:eastAsia="Arial" w:hAnsi="Arial"/>
          <w:b/>
          <w:bCs/>
          <w:sz w:val="22"/>
          <w:szCs w:val="22"/>
        </w:rPr>
        <w:t xml:space="preserve">branching point</w:t>
      </w:r>
      <w:r>
        <w:rPr>
          <w:rFonts w:ascii="Arial" w:cs="Arial" w:eastAsia="Arial" w:hAnsi="Arial"/>
          <w:sz w:val="22"/>
          <w:szCs w:val="22"/>
        </w:rPr>
        <w:t xml:space="preserve"> in the pathway: some pulegone is reduced to menthone (desired), while some is oxidized to menthofuran (undesired). Plant genotype and environmental stress determine the ratio.</w:t>
      </w:r>
    </w:p>
    <w:p>
      <w:pPr>
        <w:pStyle w:val="Heading2"/>
        <w:spacing w:after="120" w:before="240"/>
      </w:pPr>
      <w:r>
        <w:rPr>
          <w:rFonts w:ascii="Arial" w:cs="Arial" w:eastAsia="Arial" w:hAnsi="Arial"/>
          <w:b/>
          <w:bCs/>
          <w:color w:val="333333"/>
          <w:sz w:val="26"/>
          <w:szCs w:val="26"/>
        </w:rPr>
        <w:t xml:space="preserve">Isomenthol, Neomenthol, Neoisomenthol (Minor Isomers)</w:t>
      </w:r>
    </w:p>
    <w:p>
      <w:pPr>
        <w:spacing w:after="120" w:line="300"/>
      </w:pPr>
      <w:r>
        <w:rPr>
          <w:rFonts w:ascii="Arial" w:cs="Arial" w:eastAsia="Arial" w:hAnsi="Arial"/>
          <w:sz w:val="22"/>
          <w:szCs w:val="22"/>
        </w:rPr>
        <w:t xml:space="preserve">These are the three minor stereoisomeric alcohols produced in small amounts (collectively ~5% of peppermint oil) by the two different menthone reductases (MMR vs. MNMR):</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Isomenthol:</w:t>
      </w:r>
      <w:r>
        <w:rPr>
          <w:rFonts w:ascii="Arial" w:cs="Arial" w:eastAsia="Arial" w:hAnsi="Arial"/>
          <w:sz w:val="22"/>
          <w:szCs w:val="22"/>
        </w:rPr>
        <w:t xml:space="preserve"> (1R,2R,5R)-menthol; produced by MNMR from isomenthone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Neomenthol:</w:t>
      </w:r>
      <w:r>
        <w:rPr>
          <w:rFonts w:ascii="Arial" w:cs="Arial" w:eastAsia="Arial" w:hAnsi="Arial"/>
          <w:sz w:val="22"/>
          <w:szCs w:val="22"/>
        </w:rPr>
        <w:t xml:space="preserve"> (1R,2R,5S)-menthol; produced by MNMR from menthone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Neoisomenthol:</w:t>
      </w:r>
      <w:r>
        <w:rPr>
          <w:rFonts w:ascii="Arial" w:cs="Arial" w:eastAsia="Arial" w:hAnsi="Arial"/>
          <w:sz w:val="22"/>
          <w:szCs w:val="22"/>
        </w:rPr>
        <w:t xml:space="preserve"> (1R,2S,5S)-menthol; produced by MMR from isomenthone</w:t>
      </w:r>
    </w:p>
    <w:p>
      <w:pPr>
        <w:spacing w:after="120" w:line="300"/>
      </w:pPr>
      <w:r>
        <w:rPr>
          <w:rFonts w:ascii="Arial" w:cs="Arial" w:eastAsia="Arial" w:hAnsi="Arial"/>
          <w:b/>
          <w:bCs/>
          <w:sz w:val="22"/>
          <w:szCs w:val="22"/>
        </w:rPr>
        <w:t xml:space="preserve">Sensory properties:</w:t>
      </w:r>
      <w:r>
        <w:rPr>
          <w:rFonts w:ascii="Arial" w:cs="Arial" w:eastAsia="Arial" w:hAnsi="Arial"/>
          <w:sz w:val="22"/>
          <w:szCs w:val="22"/>
        </w:rPr>
        <w:t xml:space="preserve"> Slightly less potent cooling than (-)-menthol, but still TRPM8-active</w:t>
      </w:r>
    </w:p>
    <w:p>
      <w:pPr>
        <w:spacing w:after="120" w:line="300"/>
      </w:pPr>
      <w:r>
        <w:rPr>
          <w:rFonts w:ascii="Arial" w:cs="Arial" w:eastAsia="Arial" w:hAnsi="Arial"/>
          <w:b/>
          <w:bCs/>
          <w:sz w:val="22"/>
          <w:szCs w:val="22"/>
        </w:rPr>
        <w:t xml:space="preserve">Functional relevance:</w:t>
      </w:r>
      <w:r>
        <w:rPr>
          <w:rFonts w:ascii="Arial" w:cs="Arial" w:eastAsia="Arial" w:hAnsi="Arial"/>
          <w:sz w:val="22"/>
          <w:szCs w:val="22"/>
        </w:rPr>
        <w:t xml:space="preserve"> Minor; primarily increase complexity of peppermint oil's aroma profile</w:t>
      </w:r>
    </w:p>
    <w:p>
      <w:pPr>
        <w:spacing w:after="120" w:line="300"/>
      </w:pPr>
      <w:r>
        <w:rPr>
          <w:rFonts w:ascii="Arial" w:cs="Arial" w:eastAsia="Arial" w:hAnsi="Arial"/>
          <w:b/>
          <w:bCs/>
          <w:sz w:val="22"/>
          <w:szCs w:val="22"/>
        </w:rPr>
        <w:t xml:space="preserve">Content varies:</w:t>
      </w:r>
      <w:r>
        <w:rPr>
          <w:rFonts w:ascii="Arial" w:cs="Arial" w:eastAsia="Arial" w:hAnsi="Arial"/>
          <w:sz w:val="22"/>
          <w:szCs w:val="22"/>
        </w:rPr>
        <w:t xml:space="preserve"> Cultivars with higher MNMR:MMR expression ratios produce more neomenthol and isomenthol</w:t>
      </w:r>
    </w:p>
    <w:p>
      <w:pPr>
        <w:pStyle w:val="Heading2"/>
        <w:spacing w:after="120" w:before="240"/>
      </w:pPr>
      <w:r>
        <w:rPr>
          <w:rFonts w:ascii="Arial" w:cs="Arial" w:eastAsia="Arial" w:hAnsi="Arial"/>
          <w:b/>
          <w:bCs/>
          <w:color w:val="333333"/>
          <w:sz w:val="26"/>
          <w:szCs w:val="26"/>
        </w:rPr>
        <w:t xml:space="preserve">Menthyl Acetate and Other Esters</w:t>
      </w:r>
    </w:p>
    <w:p>
      <w:pPr>
        <w:spacing w:after="120" w:line="300"/>
      </w:pPr>
      <w:r>
        <w:rPr>
          <w:rFonts w:ascii="Arial" w:cs="Arial" w:eastAsia="Arial" w:hAnsi="Arial"/>
          <w:b/>
          <w:bCs/>
          <w:sz w:val="22"/>
          <w:szCs w:val="22"/>
        </w:rPr>
        <w:t xml:space="preserve">Formula:</w:t>
      </w:r>
      <w:r>
        <w:rPr>
          <w:rFonts w:ascii="Arial" w:cs="Arial" w:eastAsia="Arial" w:hAnsi="Arial"/>
          <w:sz w:val="22"/>
          <w:szCs w:val="22"/>
        </w:rPr>
        <w:t xml:space="preserve"> C₁₂H₂₂O₂</w:t>
      </w:r>
    </w:p>
    <w:p>
      <w:pPr>
        <w:spacing w:after="120" w:line="300"/>
      </w:pPr>
      <w:r>
        <w:rPr>
          <w:rFonts w:ascii="Arial" w:cs="Arial" w:eastAsia="Arial" w:hAnsi="Arial"/>
          <w:b/>
          <w:bCs/>
          <w:sz w:val="22"/>
          <w:szCs w:val="22"/>
        </w:rPr>
        <w:t xml:space="preserve">Content in peppermint:</w:t>
      </w:r>
      <w:r>
        <w:rPr>
          <w:rFonts w:ascii="Arial" w:cs="Arial" w:eastAsia="Arial" w:hAnsi="Arial"/>
          <w:sz w:val="22"/>
          <w:szCs w:val="22"/>
        </w:rPr>
        <w:t xml:space="preserve"> 3–10%</w:t>
      </w:r>
    </w:p>
    <w:p>
      <w:pPr>
        <w:spacing w:after="120" w:line="300"/>
      </w:pPr>
      <w:r>
        <w:rPr>
          <w:rFonts w:ascii="Arial" w:cs="Arial" w:eastAsia="Arial" w:hAnsi="Arial"/>
          <w:b/>
          <w:bCs/>
          <w:sz w:val="22"/>
          <w:szCs w:val="22"/>
        </w:rPr>
        <w:t xml:space="preserve">Sensory:</w:t>
      </w:r>
      <w:r>
        <w:rPr>
          <w:rFonts w:ascii="Arial" w:cs="Arial" w:eastAsia="Arial" w:hAnsi="Arial"/>
          <w:sz w:val="22"/>
          <w:szCs w:val="22"/>
        </w:rPr>
        <w:t xml:space="preserve"> Fresh, fruity-minty, less cooling than menthol</w:t>
      </w:r>
    </w:p>
    <w:p>
      <w:pPr>
        <w:spacing w:after="120" w:line="300"/>
      </w:pPr>
      <w:r>
        <w:rPr>
          <w:rFonts w:ascii="Arial" w:cs="Arial" w:eastAsia="Arial" w:hAnsi="Arial"/>
          <w:b/>
          <w:bCs/>
          <w:sz w:val="22"/>
          <w:szCs w:val="22"/>
        </w:rPr>
        <w:t xml:space="preserve">TRPM8 activity:</w:t>
      </w:r>
      <w:r>
        <w:rPr>
          <w:rFonts w:ascii="Arial" w:cs="Arial" w:eastAsia="Arial" w:hAnsi="Arial"/>
          <w:sz w:val="22"/>
          <w:szCs w:val="22"/>
        </w:rPr>
        <w:t xml:space="preserve"> None (lacks hydroxyl group required for TRPM8 binding)</w:t>
      </w:r>
    </w:p>
    <w:p>
      <w:pPr>
        <w:spacing w:after="120" w:line="300"/>
      </w:pPr>
      <w:r>
        <w:rPr>
          <w:rFonts w:ascii="Arial" w:cs="Arial" w:eastAsia="Arial" w:hAnsi="Arial"/>
          <w:sz w:val="22"/>
          <w:szCs w:val="22"/>
        </w:rPr>
        <w:t xml:space="preserve">Menthyl acetate is a natural ester found in peppermint oil that contributes to the aroma but has no cold receptor activity; it is sometimes used as a "filler" in synthetic peppermint oils to increase volume and reduce cost while maintaining flavor profile.</w:t>
      </w:r>
    </w:p>
    <w:p>
      <w:pPr>
        <w:pStyle w:val="Heading2"/>
        <w:spacing w:after="120" w:before="240"/>
      </w:pPr>
      <w:r>
        <w:rPr>
          <w:rFonts w:ascii="Arial" w:cs="Arial" w:eastAsia="Arial" w:hAnsi="Arial"/>
          <w:b/>
          <w:bCs/>
          <w:color w:val="333333"/>
          <w:sz w:val="26"/>
          <w:szCs w:val="26"/>
        </w:rPr>
        <w:t xml:space="preserve">Thymol (Phenolic Isomer)</w:t>
      </w:r>
    </w:p>
    <w:p>
      <w:pPr>
        <w:spacing w:after="120" w:line="300"/>
      </w:pPr>
      <w:r>
        <w:rPr>
          <w:rFonts w:ascii="Arial" w:cs="Arial" w:eastAsia="Arial" w:hAnsi="Arial"/>
          <w:b/>
          <w:bCs/>
          <w:sz w:val="22"/>
          <w:szCs w:val="22"/>
        </w:rPr>
        <w:t xml:space="preserve">IUPAC:</w:t>
      </w:r>
      <w:r>
        <w:rPr>
          <w:rFonts w:ascii="Arial" w:cs="Arial" w:eastAsia="Arial" w:hAnsi="Arial"/>
          <w:sz w:val="22"/>
          <w:szCs w:val="22"/>
        </w:rPr>
        <w:t xml:space="preserve"> 5-methyl-2-(propan-2-yl)phenol</w:t>
      </w:r>
    </w:p>
    <w:p>
      <w:pPr>
        <w:spacing w:after="120" w:line="300"/>
      </w:pPr>
      <w:r>
        <w:rPr>
          <w:rFonts w:ascii="Arial" w:cs="Arial" w:eastAsia="Arial" w:hAnsi="Arial"/>
          <w:b/>
          <w:bCs/>
          <w:sz w:val="22"/>
          <w:szCs w:val="22"/>
        </w:rPr>
        <w:t xml:space="preserve">Formula:</w:t>
      </w:r>
      <w:r>
        <w:rPr>
          <w:rFonts w:ascii="Arial" w:cs="Arial" w:eastAsia="Arial" w:hAnsi="Arial"/>
          <w:sz w:val="22"/>
          <w:szCs w:val="22"/>
        </w:rPr>
        <w:t xml:space="preserve"> C₁₀H₁₄O (phenol, not alcohol)</w:t>
      </w:r>
    </w:p>
    <w:p>
      <w:pPr>
        <w:spacing w:after="120" w:line="300"/>
      </w:pPr>
      <w:r>
        <w:rPr>
          <w:rFonts w:ascii="Arial" w:cs="Arial" w:eastAsia="Arial" w:hAnsi="Arial"/>
          <w:b/>
          <w:bCs/>
          <w:sz w:val="22"/>
          <w:szCs w:val="22"/>
        </w:rPr>
        <w:t xml:space="preserve">Biosynthetic origin:</w:t>
      </w:r>
      <w:r>
        <w:rPr>
          <w:rFonts w:ascii="Arial" w:cs="Arial" w:eastAsia="Arial" w:hAnsi="Arial"/>
          <w:sz w:val="22"/>
          <w:szCs w:val="22"/>
        </w:rPr>
        <w:t xml:space="preserve"> Separate pathway in *Thymus* species; NOT derived from menthol</w:t>
      </w:r>
    </w:p>
    <w:p>
      <w:pPr>
        <w:spacing w:after="120" w:line="300"/>
      </w:pPr>
      <w:r>
        <w:rPr>
          <w:rFonts w:ascii="Arial" w:cs="Arial" w:eastAsia="Arial" w:hAnsi="Arial"/>
          <w:b/>
          <w:bCs/>
          <w:sz w:val="22"/>
          <w:szCs w:val="22"/>
        </w:rPr>
        <w:t xml:space="preserve">Sensory:</w:t>
      </w:r>
      <w:r>
        <w:rPr>
          <w:rFonts w:ascii="Arial" w:cs="Arial" w:eastAsia="Arial" w:hAnsi="Arial"/>
          <w:sz w:val="22"/>
          <w:szCs w:val="22"/>
        </w:rPr>
        <w:t xml:space="preserve"> Spicy, warm, less cooling than menthol</w:t>
      </w:r>
    </w:p>
    <w:p>
      <w:pPr>
        <w:spacing w:after="120" w:line="300"/>
      </w:pPr>
      <w:r>
        <w:rPr>
          <w:rFonts w:ascii="Arial" w:cs="Arial" w:eastAsia="Arial" w:hAnsi="Arial"/>
          <w:b/>
          <w:bCs/>
          <w:sz w:val="22"/>
          <w:szCs w:val="22"/>
        </w:rPr>
        <w:t xml:space="preserve">TRP activity:</w:t>
      </w:r>
      <w:r>
        <w:rPr>
          <w:rFonts w:ascii="Arial" w:cs="Arial" w:eastAsia="Arial" w:hAnsi="Arial"/>
          <w:sz w:val="22"/>
          <w:szCs w:val="22"/>
        </w:rPr>
        <w:t xml:space="preserve"> TRPA1 agonist (not TRPM8); produces irritant/pungent sensation</w:t>
      </w:r>
    </w:p>
    <w:p>
      <w:pPr>
        <w:spacing w:after="120" w:line="300"/>
      </w:pPr>
      <w:r>
        <w:rPr>
          <w:rFonts w:ascii="Arial" w:cs="Arial" w:eastAsia="Arial" w:hAnsi="Arial"/>
          <w:b/>
          <w:bCs/>
          <w:sz w:val="22"/>
          <w:szCs w:val="22"/>
        </w:rPr>
        <w:t xml:space="preserve">Commercial significance:</w:t>
      </w:r>
      <w:r>
        <w:rPr>
          <w:rFonts w:ascii="Arial" w:cs="Arial" w:eastAsia="Arial" w:hAnsi="Arial"/>
          <w:sz w:val="22"/>
          <w:szCs w:val="22"/>
        </w:rPr>
        <w:t xml:space="preserve"> Thymol is a precursor for synthetic menthol synthesis (via hydrogenation)</w:t>
      </w:r>
    </w:p>
    <w:p>
      <w:pPr>
        <w:spacing w:after="120" w:line="300"/>
      </w:pPr>
      <w:r>
        <w:rPr>
          <w:rFonts w:ascii="Arial" w:cs="Arial" w:eastAsia="Arial" w:hAnsi="Arial"/>
          <w:b/>
          <w:bCs/>
          <w:sz w:val="22"/>
          <w:szCs w:val="22"/>
        </w:rPr>
        <w:t xml:space="preserve">Antimicrobial:</w:t>
      </w:r>
      <w:r>
        <w:rPr>
          <w:rFonts w:ascii="Arial" w:cs="Arial" w:eastAsia="Arial" w:hAnsi="Arial"/>
          <w:sz w:val="22"/>
          <w:szCs w:val="22"/>
        </w:rPr>
        <w:t xml:space="preserve"> More potent antimicrobial than menthol</w:t>
      </w:r>
    </w:p>
    <w:p>
      <w:pPr>
        <w:pStyle w:val="Heading2"/>
        <w:spacing w:after="120" w:before="240"/>
      </w:pPr>
      <w:r>
        <w:rPr>
          <w:rFonts w:ascii="Arial" w:cs="Arial" w:eastAsia="Arial" w:hAnsi="Arial"/>
          <w:b/>
          <w:bCs/>
          <w:color w:val="333333"/>
          <w:sz w:val="26"/>
          <w:szCs w:val="26"/>
        </w:rPr>
        <w:t xml:space="preserve">Carvacrol (Thymol Isomer)</w:t>
      </w:r>
    </w:p>
    <w:p>
      <w:pPr>
        <w:spacing w:after="120" w:line="300"/>
      </w:pPr>
      <w:r>
        <w:rPr>
          <w:rFonts w:ascii="Arial" w:cs="Arial" w:eastAsia="Arial" w:hAnsi="Arial"/>
          <w:b/>
          <w:bCs/>
          <w:sz w:val="22"/>
          <w:szCs w:val="22"/>
        </w:rPr>
        <w:t xml:space="preserve">IUPAC:</w:t>
      </w:r>
      <w:r>
        <w:rPr>
          <w:rFonts w:ascii="Arial" w:cs="Arial" w:eastAsia="Arial" w:hAnsi="Arial"/>
          <w:sz w:val="22"/>
          <w:szCs w:val="22"/>
        </w:rPr>
        <w:t xml:space="preserve"> 5-methyl-2-(propan-2-yl)phenol (structural isomer of thymol)</w:t>
      </w:r>
    </w:p>
    <w:p>
      <w:pPr>
        <w:spacing w:after="120" w:line="300"/>
      </w:pPr>
      <w:r>
        <w:rPr>
          <w:rFonts w:ascii="Arial" w:cs="Arial" w:eastAsia="Arial" w:hAnsi="Arial"/>
          <w:b/>
          <w:bCs/>
          <w:sz w:val="22"/>
          <w:szCs w:val="22"/>
        </w:rPr>
        <w:t xml:space="preserve">Formula:</w:t>
      </w:r>
      <w:r>
        <w:rPr>
          <w:rFonts w:ascii="Arial" w:cs="Arial" w:eastAsia="Arial" w:hAnsi="Arial"/>
          <w:sz w:val="22"/>
          <w:szCs w:val="22"/>
        </w:rPr>
        <w:t xml:space="preserve"> C₁₀H₁₄O</w:t>
      </w:r>
    </w:p>
    <w:p>
      <w:pPr>
        <w:spacing w:after="120" w:line="300"/>
      </w:pPr>
      <w:r>
        <w:rPr>
          <w:rFonts w:ascii="Arial" w:cs="Arial" w:eastAsia="Arial" w:hAnsi="Arial"/>
          <w:b/>
          <w:bCs/>
          <w:sz w:val="22"/>
          <w:szCs w:val="22"/>
        </w:rPr>
        <w:t xml:space="preserve">Sensory:</w:t>
      </w:r>
      <w:r>
        <w:rPr>
          <w:rFonts w:ascii="Arial" w:cs="Arial" w:eastAsia="Arial" w:hAnsi="Arial"/>
          <w:sz w:val="22"/>
          <w:szCs w:val="22"/>
        </w:rPr>
        <w:t xml:space="preserve"> Warm, spicy, peppery; NOT cooling</w:t>
      </w:r>
    </w:p>
    <w:p>
      <w:pPr>
        <w:spacing w:after="120" w:line="300"/>
      </w:pPr>
      <w:r>
        <w:rPr>
          <w:rFonts w:ascii="Arial" w:cs="Arial" w:eastAsia="Arial" w:hAnsi="Arial"/>
          <w:b/>
          <w:bCs/>
          <w:sz w:val="22"/>
          <w:szCs w:val="22"/>
        </w:rPr>
        <w:t xml:space="preserve">Sources:</w:t>
      </w:r>
      <w:r>
        <w:rPr>
          <w:rFonts w:ascii="Arial" w:cs="Arial" w:eastAsia="Arial" w:hAnsi="Arial"/>
          <w:sz w:val="22"/>
          <w:szCs w:val="22"/>
        </w:rPr>
        <w:t xml:space="preserve"> Oregano, marjoram</w:t>
      </w:r>
    </w:p>
    <w:p>
      <w:pPr>
        <w:spacing w:after="120" w:line="300"/>
      </w:pPr>
      <w:r>
        <w:rPr>
          <w:rFonts w:ascii="Arial" w:cs="Arial" w:eastAsia="Arial" w:hAnsi="Arial"/>
          <w:b/>
          <w:bCs/>
          <w:sz w:val="22"/>
          <w:szCs w:val="22"/>
        </w:rPr>
        <w:t xml:space="preserve">TRPA1 agonist:</w:t>
      </w:r>
      <w:r>
        <w:rPr>
          <w:rFonts w:ascii="Arial" w:cs="Arial" w:eastAsia="Arial" w:hAnsi="Arial"/>
          <w:sz w:val="22"/>
          <w:szCs w:val="22"/>
        </w:rPr>
        <w:t xml:space="preserve"> Strong pungent activity via TRPA1</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277BD"/>
          <w:sz w:val="30"/>
          <w:szCs w:val="30"/>
        </w:rPr>
        <w:t xml:space="preserve">8. Wine, Beverage, and Culinary Applications</w:t>
      </w:r>
    </w:p>
    <w:p>
      <w:pPr>
        <w:pStyle w:val="Heading2"/>
        <w:spacing w:after="120" w:before="240"/>
      </w:pPr>
      <w:r>
        <w:rPr>
          <w:rFonts w:ascii="Arial" w:cs="Arial" w:eastAsia="Arial" w:hAnsi="Arial"/>
          <w:b/>
          <w:bCs/>
          <w:color w:val="333333"/>
          <w:sz w:val="26"/>
          <w:szCs w:val="26"/>
        </w:rPr>
        <w:t xml:space="preserve">Mint in Beverages</w:t>
      </w:r>
    </w:p>
    <w:p>
      <w:pPr>
        <w:spacing w:after="100" w:before="200"/>
      </w:pPr>
      <w:r>
        <w:rPr>
          <w:rFonts w:ascii="Arial" w:cs="Arial" w:eastAsia="Arial" w:hAnsi="Arial"/>
          <w:b/>
          <w:bCs/>
          <w:color w:val="444444"/>
          <w:sz w:val="24"/>
          <w:szCs w:val="24"/>
        </w:rPr>
        <w:t xml:space="preserve">Cocktails and Mixed Drinks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Mojito:</w:t>
      </w:r>
      <w:r>
        <w:rPr>
          <w:rFonts w:ascii="Arial" w:cs="Arial" w:eastAsia="Arial" w:hAnsi="Arial"/>
          <w:sz w:val="22"/>
          <w:szCs w:val="22"/>
        </w:rPr>
        <w:t xml:space="preserve"> White rum, lime juice, fresh mint leaves (spearmint or peppermint), sugar, soda water. Mint leaves are muddled to release menthol and other volatile components.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Mint Julep:</w:t>
      </w:r>
      <w:r>
        <w:rPr>
          <w:rFonts w:ascii="Arial" w:cs="Arial" w:eastAsia="Arial" w:hAnsi="Arial"/>
          <w:sz w:val="22"/>
          <w:szCs w:val="22"/>
        </w:rPr>
        <w:t xml:space="preserve"> Bourbon, sugar, water, fresh mint, crushed ice. Classic American preparation with prolonged mint contact time.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Grasshopper:</w:t>
      </w:r>
      <w:r>
        <w:rPr>
          <w:rFonts w:ascii="Arial" w:cs="Arial" w:eastAsia="Arial" w:hAnsi="Arial"/>
          <w:sz w:val="22"/>
          <w:szCs w:val="22"/>
        </w:rPr>
        <w:t xml:space="preserve"> Crème de menthe (peppermint liqueur), crème de cacao, cream.</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Moscow Mule (variant):</w:t>
      </w:r>
      <w:r>
        <w:rPr>
          <w:rFonts w:ascii="Arial" w:cs="Arial" w:eastAsia="Arial" w:hAnsi="Arial"/>
          <w:sz w:val="22"/>
          <w:szCs w:val="22"/>
        </w:rPr>
        <w:t xml:space="preserve"> Vodka, ginger beer, lime, fresh mint (contemporary variation).</w:t>
      </w:r>
    </w:p>
    <w:p>
      <w:pPr>
        <w:spacing w:after="120" w:line="300"/>
      </w:pPr>
      <w:r>
        <w:rPr>
          <w:rFonts w:ascii="Arial" w:cs="Arial" w:eastAsia="Arial" w:hAnsi="Arial"/>
          <w:b/>
          <w:bCs/>
          <w:sz w:val="22"/>
          <w:szCs w:val="22"/>
        </w:rPr>
        <w:t xml:space="preserve">Menthol role:</w:t>
      </w:r>
      <w:r>
        <w:rPr>
          <w:rFonts w:ascii="Arial" w:cs="Arial" w:eastAsia="Arial" w:hAnsi="Arial"/>
          <w:sz w:val="22"/>
          <w:szCs w:val="22"/>
        </w:rPr>
        <w:t xml:space="preserve"> Fresh sensory lift; TRPM8-mediated cooling enhances perception of "refreshment"; volatile components evaporate during preparation, reducing menthol content in final drink.</w:t>
      </w:r>
    </w:p>
    <w:p>
      <w:pPr>
        <w:spacing w:after="100" w:before="200"/>
      </w:pPr>
      <w:r>
        <w:rPr>
          <w:rFonts w:ascii="Arial" w:cs="Arial" w:eastAsia="Arial" w:hAnsi="Arial"/>
          <w:b/>
          <w:bCs/>
          <w:color w:val="444444"/>
          <w:sz w:val="24"/>
          <w:szCs w:val="24"/>
        </w:rPr>
        <w:t xml:space="preserve">Herbal and Medicinal Teas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Peppermint tea:</w:t>
      </w:r>
      <w:r>
        <w:rPr>
          <w:rFonts w:ascii="Arial" w:cs="Arial" w:eastAsia="Arial" w:hAnsi="Arial"/>
          <w:sz w:val="22"/>
          <w:szCs w:val="22"/>
        </w:rPr>
        <w:t xml:space="preserve"> Steeped dried peppermint leaves; menthol ~0.5–2% by weight in brewed tea</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Spearmint tea:</w:t>
      </w:r>
      <w:r>
        <w:rPr>
          <w:rFonts w:ascii="Arial" w:cs="Arial" w:eastAsia="Arial" w:hAnsi="Arial"/>
          <w:sz w:val="22"/>
          <w:szCs w:val="22"/>
        </w:rPr>
        <w:t xml:space="preserve"> Lower menthol content; more suitable for children and pregnancy</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Traditional preparation:</w:t>
      </w:r>
      <w:r>
        <w:rPr>
          <w:rFonts w:ascii="Arial" w:cs="Arial" w:eastAsia="Arial" w:hAnsi="Arial"/>
          <w:sz w:val="22"/>
          <w:szCs w:val="22"/>
        </w:rPr>
        <w:t xml:space="preserve"> Mediterranean, Middle Eastern, North African beverage cultures</w:t>
      </w:r>
    </w:p>
    <w:p>
      <w:pPr>
        <w:spacing w:after="120" w:line="300"/>
      </w:pPr>
      <w:r>
        <w:rPr>
          <w:rFonts w:ascii="Arial" w:cs="Arial" w:eastAsia="Arial" w:hAnsi="Arial"/>
          <w:b/>
          <w:bCs/>
          <w:sz w:val="22"/>
          <w:szCs w:val="22"/>
        </w:rPr>
        <w:t xml:space="preserve">Menthol delivery:</w:t>
      </w:r>
      <w:r>
        <w:rPr>
          <w:rFonts w:ascii="Arial" w:cs="Arial" w:eastAsia="Arial" w:hAnsi="Arial"/>
          <w:sz w:val="22"/>
          <w:szCs w:val="22"/>
        </w:rPr>
        <w:t xml:space="preserve"> Hot water extracts menthol effectively; inhalation of steam provides additional TRPM8 activation (nasal trigeminal stimulation).</w:t>
      </w:r>
    </w:p>
    <w:p>
      <w:pPr>
        <w:spacing w:after="100" w:before="200"/>
      </w:pPr>
      <w:r>
        <w:rPr>
          <w:rFonts w:ascii="Arial" w:cs="Arial" w:eastAsia="Arial" w:hAnsi="Arial"/>
          <w:b/>
          <w:bCs/>
          <w:color w:val="444444"/>
          <w:sz w:val="24"/>
          <w:szCs w:val="24"/>
        </w:rPr>
        <w:t xml:space="preserve">Crème de Menthe and Peppermint Liqueurs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Color:</w:t>
      </w:r>
      <w:r>
        <w:rPr>
          <w:rFonts w:ascii="Arial" w:cs="Arial" w:eastAsia="Arial" w:hAnsi="Arial"/>
          <w:sz w:val="22"/>
          <w:szCs w:val="22"/>
        </w:rPr>
        <w:t xml:space="preserve"> Green (artificial color) or clear (clear versions contain menthol-rich peppermint oil)</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Concentration:</w:t>
      </w:r>
      <w:r>
        <w:rPr>
          <w:rFonts w:ascii="Arial" w:cs="Arial" w:eastAsia="Arial" w:hAnsi="Arial"/>
          <w:sz w:val="22"/>
          <w:szCs w:val="22"/>
        </w:rPr>
        <w:t xml:space="preserve"> Commercial liqueurs typically contain peppermint oil at 0.5–2% v/v</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Menthol content:</w:t>
      </w:r>
      <w:r>
        <w:rPr>
          <w:rFonts w:ascii="Arial" w:cs="Arial" w:eastAsia="Arial" w:hAnsi="Arial"/>
          <w:sz w:val="22"/>
          <w:szCs w:val="22"/>
        </w:rPr>
        <w:t xml:space="preserve"> Final spirit contains ~0.1–1% menthol</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Flavor application:</w:t>
      </w:r>
      <w:r>
        <w:rPr>
          <w:rFonts w:ascii="Arial" w:cs="Arial" w:eastAsia="Arial" w:hAnsi="Arial"/>
          <w:sz w:val="22"/>
          <w:szCs w:val="22"/>
        </w:rPr>
        <w:t xml:space="preserve"> Digestif; after-dinner drink to aid digestion (supported by peppermint's antispasmodic properties)</w:t>
      </w:r>
    </w:p>
    <w:p>
      <w:pPr>
        <w:spacing w:after="100" w:before="200"/>
      </w:pPr>
      <w:r>
        <w:rPr>
          <w:rFonts w:ascii="Arial" w:cs="Arial" w:eastAsia="Arial" w:hAnsi="Arial"/>
          <w:b/>
          <w:bCs/>
          <w:color w:val="444444"/>
          <w:sz w:val="24"/>
          <w:szCs w:val="24"/>
        </w:rPr>
        <w:t xml:space="preserve">"Menthol" Descriptor in Wine</w:t>
      </w:r>
    </w:p>
    <w:p>
      <w:pPr>
        <w:spacing w:after="120" w:line="300"/>
      </w:pPr>
      <w:r>
        <w:rPr>
          <w:rFonts w:ascii="Arial" w:cs="Arial" w:eastAsia="Arial" w:hAnsi="Arial"/>
          <w:sz w:val="22"/>
          <w:szCs w:val="22"/>
        </w:rPr>
        <w:t xml:space="preserve">Rare; occasionally used to describe high-altitude or cool-climate white wines (e.g., certain Rieslings or Sauvignon Blancs) that exhibit fresh, herbaceous notes reminiscent of spearmint or peppermint, though actual menthol content is negligible. Descriptor reflects aroma perception rather than chemical menthol.</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277BD"/>
          <w:sz w:val="30"/>
          <w:szCs w:val="30"/>
        </w:rPr>
        <w:t xml:space="preserve">9. Perfumery and Fragrance Chemistry</w:t>
      </w:r>
    </w:p>
    <w:p>
      <w:pPr>
        <w:pStyle w:val="Heading2"/>
        <w:spacing w:after="120" w:before="240"/>
      </w:pPr>
      <w:r>
        <w:rPr>
          <w:rFonts w:ascii="Arial" w:cs="Arial" w:eastAsia="Arial" w:hAnsi="Arial"/>
          <w:b/>
          <w:bCs/>
          <w:color w:val="333333"/>
          <w:sz w:val="26"/>
          <w:szCs w:val="26"/>
        </w:rPr>
        <w:t xml:space="preserve">Menthol as a Fragrance Note</w:t>
      </w:r>
    </w:p>
    <w:p>
      <w:pPr>
        <w:spacing w:after="120" w:line="300"/>
      </w:pPr>
      <w:r>
        <w:rPr>
          <w:rFonts w:ascii="Arial" w:cs="Arial" w:eastAsia="Arial" w:hAnsi="Arial"/>
          <w:b/>
          <w:bCs/>
          <w:sz w:val="22"/>
          <w:szCs w:val="22"/>
        </w:rPr>
        <w:t xml:space="preserve">Classification:</w:t>
      </w:r>
      <w:r>
        <w:rPr>
          <w:rFonts w:ascii="Arial" w:cs="Arial" w:eastAsia="Arial" w:hAnsi="Arial"/>
          <w:sz w:val="22"/>
          <w:szCs w:val="22"/>
        </w:rPr>
        <w:t xml:space="preserve"> Top note; volatile, fresh, cooling</w:t>
      </w:r>
    </w:p>
    <w:p>
      <w:pPr>
        <w:spacing w:after="120" w:line="300"/>
      </w:pPr>
      <w:r>
        <w:rPr>
          <w:rFonts w:ascii="Arial" w:cs="Arial" w:eastAsia="Arial" w:hAnsi="Arial"/>
          <w:b/>
          <w:bCs/>
          <w:sz w:val="22"/>
          <w:szCs w:val="22"/>
        </w:rPr>
        <w:t xml:space="preserve">Concentration in fragrances:</w:t>
      </w:r>
      <w:r>
        <w:rPr>
          <w:rFonts w:ascii="Arial" w:cs="Arial" w:eastAsia="Arial" w:hAnsi="Arial"/>
          <w:sz w:val="22"/>
          <w:szCs w:val="22"/>
        </w:rPr>
        <w:t xml:space="preserve"> Typically 0.5–3% in composition</w:t>
      </w:r>
    </w:p>
    <w:p>
      <w:pPr>
        <w:spacing w:after="120" w:line="300"/>
      </w:pPr>
      <w:r>
        <w:rPr>
          <w:rFonts w:ascii="Arial" w:cs="Arial" w:eastAsia="Arial" w:hAnsi="Arial"/>
          <w:b/>
          <w:bCs/>
          <w:sz w:val="22"/>
          <w:szCs w:val="22"/>
        </w:rPr>
        <w:t xml:space="preserve">Longevity:</w:t>
      </w:r>
      <w:r>
        <w:rPr>
          <w:rFonts w:ascii="Arial" w:cs="Arial" w:eastAsia="Arial" w:hAnsi="Arial"/>
          <w:sz w:val="22"/>
          <w:szCs w:val="22"/>
        </w:rPr>
        <w:t xml:space="preserve"> Low—evaporates within 5–15 minutes due to high volatility and low boiling point (212 °C creates significant vapor pressure at body temperature)</w:t>
      </w:r>
    </w:p>
    <w:p>
      <w:pPr>
        <w:pStyle w:val="Heading2"/>
        <w:spacing w:after="120" w:before="240"/>
      </w:pPr>
      <w:r>
        <w:rPr>
          <w:rFonts w:ascii="Arial" w:cs="Arial" w:eastAsia="Arial" w:hAnsi="Arial"/>
          <w:b/>
          <w:bCs/>
          <w:color w:val="333333"/>
          <w:sz w:val="26"/>
          <w:szCs w:val="26"/>
        </w:rPr>
        <w:t xml:space="preserve">Sensory Profile in Fragrance</w:t>
      </w:r>
    </w:p>
    <w:p>
      <w:pPr>
        <w:spacing w:after="120" w:line="300"/>
      </w:pPr>
      <w:r>
        <w:rPr>
          <w:rFonts w:ascii="Arial" w:cs="Arial" w:eastAsia="Arial" w:hAnsi="Arial"/>
          <w:sz w:val="22"/>
          <w:szCs w:val="22"/>
        </w:rPr>
        <w:t xml:space="preserve">Menthol creates: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Initial brightness and freshness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Cooling, invigorating opening</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Transparency</w:t>
      </w:r>
      <w:r>
        <w:rPr>
          <w:rFonts w:ascii="Arial" w:cs="Arial" w:eastAsia="Arial" w:hAnsi="Arial"/>
          <w:sz w:val="22"/>
          <w:szCs w:val="22"/>
        </w:rPr>
        <w:t xml:space="preserve"> (does not "dull" the composition with heavy base notes)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Herbaceous, green quality</w:t>
      </w:r>
    </w:p>
    <w:p>
      <w:pPr>
        <w:spacing w:after="120" w:line="300"/>
      </w:pPr>
      <w:r>
        <w:rPr>
          <w:rFonts w:ascii="Arial" w:cs="Arial" w:eastAsia="Arial" w:hAnsi="Arial"/>
          <w:b/>
          <w:bCs/>
          <w:sz w:val="22"/>
          <w:szCs w:val="22"/>
        </w:rPr>
        <w:t xml:space="preserve">Peppermint essential oil</w:t>
      </w:r>
      <w:r>
        <w:rPr>
          <w:rFonts w:ascii="Arial" w:cs="Arial" w:eastAsia="Arial" w:hAnsi="Arial"/>
          <w:sz w:val="22"/>
          <w:szCs w:val="22"/>
        </w:rPr>
        <w:t xml:space="preserve"> (30–50% menthol) is preferred over pure menthol in fragrances because: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Contains synergistic minor components (menthone, menthyl acetate) that add complexity</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Less prone to crystallization/precipitation in final formulation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More balanced sensory profile</w:t>
      </w:r>
    </w:p>
    <w:p>
      <w:pPr>
        <w:pStyle w:val="Heading2"/>
        <w:spacing w:after="120" w:before="240"/>
      </w:pPr>
      <w:r>
        <w:rPr>
          <w:rFonts w:ascii="Arial" w:cs="Arial" w:eastAsia="Arial" w:hAnsi="Arial"/>
          <w:b/>
          <w:bCs/>
          <w:color w:val="333333"/>
          <w:sz w:val="26"/>
          <w:szCs w:val="26"/>
        </w:rPr>
        <w:t xml:space="preserve">Mojito Accord in Contemporary Fragrance</w:t>
      </w:r>
    </w:p>
    <w:p>
      <w:pPr>
        <w:spacing w:after="120" w:line="300"/>
      </w:pPr>
      <w:r>
        <w:rPr>
          <w:rFonts w:ascii="Arial" w:cs="Arial" w:eastAsia="Arial" w:hAnsi="Arial"/>
          <w:sz w:val="22"/>
          <w:szCs w:val="22"/>
        </w:rPr>
        <w:t xml:space="preserve">The "mojito accord" is a popular niche fragrance concept combining:</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Lime</w:t>
      </w:r>
      <w:r>
        <w:rPr>
          <w:rFonts w:ascii="Arial" w:cs="Arial" w:eastAsia="Arial" w:hAnsi="Arial"/>
          <w:sz w:val="22"/>
          <w:szCs w:val="22"/>
        </w:rPr>
        <w:t xml:space="preserve"> (citral, limonene): Sharp, tart, bright</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Mint/Menthol:</w:t>
      </w:r>
      <w:r>
        <w:rPr>
          <w:rFonts w:ascii="Arial" w:cs="Arial" w:eastAsia="Arial" w:hAnsi="Arial"/>
          <w:sz w:val="22"/>
          <w:szCs w:val="22"/>
        </w:rPr>
        <w:t xml:space="preserve"> Fresh cooling lift</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Rum note</w:t>
      </w:r>
      <w:r>
        <w:rPr>
          <w:rFonts w:ascii="Arial" w:cs="Arial" w:eastAsia="Arial" w:hAnsi="Arial"/>
          <w:sz w:val="22"/>
          <w:szCs w:val="22"/>
        </w:rPr>
        <w:t xml:space="preserve"> (via vanillin, ethyl alcohol, woody notes): Warm, boozy</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Sugar/Sweetness</w:t>
      </w:r>
      <w:r>
        <w:rPr>
          <w:rFonts w:ascii="Arial" w:cs="Arial" w:eastAsia="Arial" w:hAnsi="Arial"/>
          <w:sz w:val="22"/>
          <w:szCs w:val="22"/>
        </w:rPr>
        <w:t xml:space="preserve"> (via vanilla, tonka, maltol): Creamy, sweet</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Soda/Fizz</w:t>
      </w:r>
      <w:r>
        <w:rPr>
          <w:rFonts w:ascii="Arial" w:cs="Arial" w:eastAsia="Arial" w:hAnsi="Arial"/>
          <w:sz w:val="22"/>
          <w:szCs w:val="22"/>
        </w:rPr>
        <w:t xml:space="preserve"> (via aldehydes): Bubbly, effervescent</w:t>
      </w:r>
    </w:p>
    <w:p>
      <w:pPr>
        <w:spacing w:after="120" w:line="300"/>
      </w:pPr>
      <w:r>
        <w:rPr>
          <w:rFonts w:ascii="Arial" w:cs="Arial" w:eastAsia="Arial" w:hAnsi="Arial"/>
          <w:b/>
          <w:bCs/>
          <w:sz w:val="22"/>
          <w:szCs w:val="22"/>
        </w:rPr>
        <w:t xml:space="preserve">Menthol's role:</w:t>
      </w:r>
      <w:r>
        <w:rPr>
          <w:rFonts w:ascii="Arial" w:cs="Arial" w:eastAsia="Arial" w:hAnsi="Arial"/>
          <w:sz w:val="22"/>
          <w:szCs w:val="22"/>
        </w:rPr>
        <w:t xml:space="preserve"> Provides the cooling contrast to warm rum and sweetness; enhances the perception of "refreshment" and "cold drink."</w:t>
      </w:r>
    </w:p>
    <w:p>
      <w:pPr>
        <w:pStyle w:val="Heading2"/>
        <w:spacing w:after="120" w:before="240"/>
      </w:pPr>
      <w:r>
        <w:rPr>
          <w:rFonts w:ascii="Arial" w:cs="Arial" w:eastAsia="Arial" w:hAnsi="Arial"/>
          <w:b/>
          <w:bCs/>
          <w:color w:val="333333"/>
          <w:sz w:val="26"/>
          <w:szCs w:val="26"/>
        </w:rPr>
        <w:t xml:space="preserve">Toothpaste, Cosmetics, and Consumer Products</w:t>
      </w:r>
    </w:p>
    <w:p>
      <w:pPr>
        <w:spacing w:after="120" w:line="300"/>
      </w:pPr>
      <w:r>
        <w:rPr>
          <w:rFonts w:ascii="Arial" w:cs="Arial" w:eastAsia="Arial" w:hAnsi="Arial"/>
          <w:b/>
          <w:bCs/>
          <w:sz w:val="22"/>
          <w:szCs w:val="22"/>
        </w:rPr>
        <w:t xml:space="preserve">Menthol concentration in products: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Toothpaste:</w:t>
      </w:r>
      <w:r>
        <w:rPr>
          <w:rFonts w:ascii="Arial" w:cs="Arial" w:eastAsia="Arial" w:hAnsi="Arial"/>
          <w:sz w:val="22"/>
          <w:szCs w:val="22"/>
        </w:rPr>
        <w:t xml:space="preserve"> 0.5–1.5% (perceived freshness; no functional benefit for caries prevention, but improves user experience)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Mouthwash:</w:t>
      </w:r>
      <w:r>
        <w:rPr>
          <w:rFonts w:ascii="Arial" w:cs="Arial" w:eastAsia="Arial" w:hAnsi="Arial"/>
          <w:sz w:val="22"/>
          <w:szCs w:val="22"/>
        </w:rPr>
        <w:t xml:space="preserve"> 0.1–1%</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Lip balm:</w:t>
      </w:r>
      <w:r>
        <w:rPr>
          <w:rFonts w:ascii="Arial" w:cs="Arial" w:eastAsia="Arial" w:hAnsi="Arial"/>
          <w:sz w:val="22"/>
          <w:szCs w:val="22"/>
        </w:rPr>
        <w:t xml:space="preserve"> 0.5–2%</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Topical analgesics (Biofreeze, IcyHot):</w:t>
      </w:r>
      <w:r>
        <w:rPr>
          <w:rFonts w:ascii="Arial" w:cs="Arial" w:eastAsia="Arial" w:hAnsi="Arial"/>
          <w:sz w:val="22"/>
          <w:szCs w:val="22"/>
        </w:rPr>
        <w:t xml:space="preserve"> 3–10%</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Shampoo/conditioner:</w:t>
      </w:r>
      <w:r>
        <w:rPr>
          <w:rFonts w:ascii="Arial" w:cs="Arial" w:eastAsia="Arial" w:hAnsi="Arial"/>
          <w:sz w:val="22"/>
          <w:szCs w:val="22"/>
        </w:rPr>
        <w:t xml:space="preserve"> 0.1–0.5%</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Skin creams:</w:t>
      </w:r>
      <w:r>
        <w:rPr>
          <w:rFonts w:ascii="Arial" w:cs="Arial" w:eastAsia="Arial" w:hAnsi="Arial"/>
          <w:sz w:val="22"/>
          <w:szCs w:val="22"/>
        </w:rPr>
        <w:t xml:space="preserve"> 0.1–1%</w:t>
      </w:r>
    </w:p>
    <w:p>
      <w:pPr>
        <w:spacing w:after="120" w:line="300"/>
      </w:pPr>
      <w:r>
        <w:rPr>
          <w:rFonts w:ascii="Arial" w:cs="Arial" w:eastAsia="Arial" w:hAnsi="Arial"/>
          <w:b/>
          <w:bCs/>
          <w:sz w:val="22"/>
          <w:szCs w:val="22"/>
        </w:rPr>
        <w:t xml:space="preserve">Formulation considerations: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Menthol's solubility in water is low; incorporation as: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Essential oil (peppermint oil at 0.5–2%)</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Alcohol extract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Micronized particles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High concentrations (&gt;5%) can cause skin irritation due to TRPA1 activation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Crystallization risk in formulations; requires emulsifiers or solvents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277BD"/>
          <w:sz w:val="30"/>
          <w:szCs w:val="30"/>
        </w:rPr>
        <w:t xml:space="preserve">10. Culinary Applications and Gastronomic History</w:t>
      </w:r>
    </w:p>
    <w:p>
      <w:pPr>
        <w:pStyle w:val="Heading2"/>
        <w:spacing w:after="120" w:before="240"/>
      </w:pPr>
      <w:r>
        <w:rPr>
          <w:rFonts w:ascii="Arial" w:cs="Arial" w:eastAsia="Arial" w:hAnsi="Arial"/>
          <w:b/>
          <w:bCs/>
          <w:color w:val="333333"/>
          <w:sz w:val="26"/>
          <w:szCs w:val="26"/>
        </w:rPr>
        <w:t xml:space="preserve">Global Culinary Traditions</w:t>
      </w:r>
    </w:p>
    <w:p>
      <w:pPr>
        <w:spacing w:after="100" w:before="200"/>
      </w:pPr>
      <w:r>
        <w:rPr>
          <w:rFonts w:ascii="Arial" w:cs="Arial" w:eastAsia="Arial" w:hAnsi="Arial"/>
          <w:b/>
          <w:bCs/>
          <w:color w:val="444444"/>
          <w:sz w:val="24"/>
          <w:szCs w:val="24"/>
        </w:rPr>
        <w:t xml:space="preserve">Middle Eastern Cuisine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Mint in tabbouleh:</w:t>
      </w:r>
      <w:r>
        <w:rPr>
          <w:rFonts w:ascii="Arial" w:cs="Arial" w:eastAsia="Arial" w:hAnsi="Arial"/>
          <w:sz w:val="22"/>
          <w:szCs w:val="22"/>
        </w:rPr>
        <w:t xml:space="preserve"> Finely chopped fresh spearmint mixed with bulgur, tomato, lemon, olive oil (traditional Levantine salad)</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Za'atar with mint:</w:t>
      </w:r>
      <w:r>
        <w:rPr>
          <w:rFonts w:ascii="Arial" w:cs="Arial" w:eastAsia="Arial" w:hAnsi="Arial"/>
          <w:sz w:val="22"/>
          <w:szCs w:val="22"/>
        </w:rPr>
        <w:t xml:space="preserve"> Ground herb blend including sumac and thyme, often supplemented with fresh mint</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Beverages:</w:t>
      </w:r>
      <w:r>
        <w:rPr>
          <w:rFonts w:ascii="Arial" w:cs="Arial" w:eastAsia="Arial" w:hAnsi="Arial"/>
          <w:sz w:val="22"/>
          <w:szCs w:val="22"/>
        </w:rPr>
        <w:t xml:space="preserve"> Fresh mint tea (nana) fundamental to hospitality across Lebanon, Syria, Jordan, Palestine</w:t>
      </w:r>
    </w:p>
    <w:p>
      <w:pPr>
        <w:spacing w:after="100" w:before="200"/>
      </w:pPr>
      <w:r>
        <w:rPr>
          <w:rFonts w:ascii="Arial" w:cs="Arial" w:eastAsia="Arial" w:hAnsi="Arial"/>
          <w:b/>
          <w:bCs/>
          <w:color w:val="444444"/>
          <w:sz w:val="24"/>
          <w:szCs w:val="24"/>
        </w:rPr>
        <w:t xml:space="preserve">Southeast Asian Cuisine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Thai cuisine:</w:t>
      </w:r>
      <w:r>
        <w:rPr>
          <w:rFonts w:ascii="Arial" w:cs="Arial" w:eastAsia="Arial" w:hAnsi="Arial"/>
          <w:sz w:val="22"/>
          <w:szCs w:val="22"/>
        </w:rPr>
        <w:t xml:space="preserve"> Fresh mint (Mentha siamensis) in soups (tom yam), salads (larb), spring rolls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Vietnamese cuisine:</w:t>
      </w:r>
      <w:r>
        <w:rPr>
          <w:rFonts w:ascii="Arial" w:cs="Arial" w:eastAsia="Arial" w:hAnsi="Arial"/>
          <w:sz w:val="22"/>
          <w:szCs w:val="22"/>
        </w:rPr>
        <w:t xml:space="preserve"> Fresh mint in pho (beef soup), fresh spring rolls (goi cuon)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Flavor role:</w:t>
      </w:r>
      <w:r>
        <w:rPr>
          <w:rFonts w:ascii="Arial" w:cs="Arial" w:eastAsia="Arial" w:hAnsi="Arial"/>
          <w:sz w:val="22"/>
          <w:szCs w:val="22"/>
        </w:rPr>
        <w:t xml:space="preserve"> Bright, fresh contrast to rich broths and heavy proteins</w:t>
      </w:r>
    </w:p>
    <w:p>
      <w:pPr>
        <w:spacing w:after="100" w:before="200"/>
      </w:pPr>
      <w:r>
        <w:rPr>
          <w:rFonts w:ascii="Arial" w:cs="Arial" w:eastAsia="Arial" w:hAnsi="Arial"/>
          <w:b/>
          <w:bCs/>
          <w:color w:val="444444"/>
          <w:sz w:val="24"/>
          <w:szCs w:val="24"/>
        </w:rPr>
        <w:t xml:space="preserve">Mediterranean and Southern European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Italian:</w:t>
      </w:r>
      <w:r>
        <w:rPr>
          <w:rFonts w:ascii="Arial" w:cs="Arial" w:eastAsia="Arial" w:hAnsi="Arial"/>
          <w:sz w:val="22"/>
          <w:szCs w:val="22"/>
        </w:rPr>
        <w:t xml:space="preserve"> Mint in pasta dishes (e.g., rigatoni con ragù di melanzane—eggplant pasta), risotto, cocktails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Greek:</w:t>
      </w:r>
      <w:r>
        <w:rPr>
          <w:rFonts w:ascii="Arial" w:cs="Arial" w:eastAsia="Arial" w:hAnsi="Arial"/>
          <w:sz w:val="22"/>
          <w:szCs w:val="22"/>
        </w:rPr>
        <w:t xml:space="preserve"> Mint in tzatziki (yogurt-cucumber sauce), salads, meat marinades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Spain/Portugal:</w:t>
      </w:r>
      <w:r>
        <w:rPr>
          <w:rFonts w:ascii="Arial" w:cs="Arial" w:eastAsia="Arial" w:hAnsi="Arial"/>
          <w:sz w:val="22"/>
          <w:szCs w:val="22"/>
        </w:rPr>
        <w:t xml:space="preserve"> Mint in beverages and conserves</w:t>
      </w:r>
    </w:p>
    <w:p>
      <w:pPr>
        <w:spacing w:after="100" w:before="200"/>
      </w:pPr>
      <w:r>
        <w:rPr>
          <w:rFonts w:ascii="Arial" w:cs="Arial" w:eastAsia="Arial" w:hAnsi="Arial"/>
          <w:b/>
          <w:bCs/>
          <w:color w:val="444444"/>
          <w:sz w:val="24"/>
          <w:szCs w:val="24"/>
        </w:rPr>
        <w:t xml:space="preserve">British and Irish</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Mint sauce/jelly:</w:t>
      </w:r>
      <w:r>
        <w:rPr>
          <w:rFonts w:ascii="Arial" w:cs="Arial" w:eastAsia="Arial" w:hAnsi="Arial"/>
          <w:sz w:val="22"/>
          <w:szCs w:val="22"/>
        </w:rPr>
        <w:t xml:space="preserve"> Condiment for roasted lamb; finely chopped fresh mint with sugar, vinegar, and water</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Peppermint candy:</w:t>
      </w:r>
      <w:r>
        <w:rPr>
          <w:rFonts w:ascii="Arial" w:cs="Arial" w:eastAsia="Arial" w:hAnsi="Arial"/>
          <w:sz w:val="22"/>
          <w:szCs w:val="22"/>
        </w:rPr>
        <w:t xml:space="preserve"> Mint humbugs, peppermint creams; historical confectionery</w:t>
      </w:r>
    </w:p>
    <w:p>
      <w:pPr>
        <w:spacing w:after="100" w:before="200"/>
      </w:pPr>
      <w:r>
        <w:rPr>
          <w:rFonts w:ascii="Arial" w:cs="Arial" w:eastAsia="Arial" w:hAnsi="Arial"/>
          <w:b/>
          <w:bCs/>
          <w:color w:val="444444"/>
          <w:sz w:val="24"/>
          <w:szCs w:val="24"/>
        </w:rPr>
        <w:t xml:space="preserve">Indian Cuisine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Pudina (Hindi name for mint):</w:t>
      </w:r>
      <w:r>
        <w:rPr>
          <w:rFonts w:ascii="Arial" w:cs="Arial" w:eastAsia="Arial" w:hAnsi="Arial"/>
          <w:sz w:val="22"/>
          <w:szCs w:val="22"/>
        </w:rPr>
        <w:t xml:space="preserve"> Used fresh in chutneys, raita (yogurt side dish), beverages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Ayurvedic use:</w:t>
      </w:r>
      <w:r>
        <w:rPr>
          <w:rFonts w:ascii="Arial" w:cs="Arial" w:eastAsia="Arial" w:hAnsi="Arial"/>
          <w:sz w:val="22"/>
          <w:szCs w:val="22"/>
        </w:rPr>
        <w:t xml:space="preserve"> Mint considered cooling (rajasic); balances pitta dosha</w:t>
      </w:r>
    </w:p>
    <w:p>
      <w:pPr>
        <w:pStyle w:val="Heading2"/>
        <w:spacing w:after="120" w:before="240"/>
      </w:pPr>
      <w:r>
        <w:rPr>
          <w:rFonts w:ascii="Arial" w:cs="Arial" w:eastAsia="Arial" w:hAnsi="Arial"/>
          <w:b/>
          <w:bCs/>
          <w:color w:val="333333"/>
          <w:sz w:val="26"/>
          <w:szCs w:val="26"/>
        </w:rPr>
        <w:t xml:space="preserve">Peppermint in Confectionery and Chocolate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Peppermint candy:</w:t>
      </w:r>
      <w:r>
        <w:rPr>
          <w:rFonts w:ascii="Arial" w:cs="Arial" w:eastAsia="Arial" w:hAnsi="Arial"/>
          <w:sz w:val="22"/>
          <w:szCs w:val="22"/>
        </w:rPr>
        <w:t xml:space="preserve"> Hard candies (sticks, drops), soft centers, bark</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Chocolate-mint pairing:</w:t>
      </w:r>
      <w:r>
        <w:rPr>
          <w:rFonts w:ascii="Arial" w:cs="Arial" w:eastAsia="Arial" w:hAnsi="Arial"/>
          <w:sz w:val="22"/>
          <w:szCs w:val="22"/>
        </w:rPr>
        <w:t xml:space="preserve"> Peppermint essential oil (or menthol extract) added to dark and milk chocolate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concentration: 0.5–1.5%</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Interaction: Menthol's TRPM8 activation combined with chocolate's sensory pleasure (umami, fat satiety) creates popular flavor combination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Historical note:</w:t>
      </w:r>
      <w:r>
        <w:rPr>
          <w:rFonts w:ascii="Arial" w:cs="Arial" w:eastAsia="Arial" w:hAnsi="Arial"/>
          <w:sz w:val="22"/>
          <w:szCs w:val="22"/>
        </w:rPr>
        <w:t xml:space="preserve"> Peppermint candy rose in popularity in 19th-century Europe due to increased mint cultivation and essential oil availability</w:t>
      </w:r>
    </w:p>
    <w:p>
      <w:pPr>
        <w:pStyle w:val="Heading2"/>
        <w:spacing w:after="120" w:before="240"/>
      </w:pPr>
      <w:r>
        <w:rPr>
          <w:rFonts w:ascii="Arial" w:cs="Arial" w:eastAsia="Arial" w:hAnsi="Arial"/>
          <w:b/>
          <w:bCs/>
          <w:color w:val="333333"/>
          <w:sz w:val="26"/>
          <w:szCs w:val="26"/>
        </w:rPr>
        <w:t xml:space="preserve">Chewing Gum</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Menthol/peppermint oil content:</w:t>
      </w:r>
      <w:r>
        <w:rPr>
          <w:rFonts w:ascii="Arial" w:cs="Arial" w:eastAsia="Arial" w:hAnsi="Arial"/>
          <w:sz w:val="22"/>
          <w:szCs w:val="22"/>
        </w:rPr>
        <w:t xml:space="preserve"> 0.5–2% by weight</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Function:</w:t>
      </w:r>
      <w:r>
        <w:rPr>
          <w:rFonts w:ascii="Arial" w:cs="Arial" w:eastAsia="Arial" w:hAnsi="Arial"/>
          <w:sz w:val="22"/>
          <w:szCs w:val="22"/>
        </w:rPr>
        <w:t xml:space="preserve"> Flavor carrier; freshening effect; subjective impression of "freshness" promotes continued use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Dosage</w:t>
      </w:r>
      <w:r>
        <w:rPr>
          <w:rFonts w:ascii="Arial" w:cs="Arial" w:eastAsia="Arial" w:hAnsi="Arial"/>
          <w:sz w:val="22"/>
          <w:szCs w:val="22"/>
        </w:rPr>
        <w:t xml:space="preserve">: A single piece of gum delivers ~5–20 mg menthol</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277BD"/>
          <w:sz w:val="30"/>
          <w:szCs w:val="30"/>
        </w:rPr>
        <w:t xml:space="preserve">11. Traditional Medicine: Historical and Cross-Cultural Perspectives</w:t>
      </w:r>
    </w:p>
    <w:p>
      <w:pPr>
        <w:pStyle w:val="Heading2"/>
        <w:spacing w:after="120" w:before="240"/>
      </w:pPr>
      <w:r>
        <w:rPr>
          <w:rFonts w:ascii="Arial" w:cs="Arial" w:eastAsia="Arial" w:hAnsi="Arial"/>
          <w:b/>
          <w:bCs/>
          <w:color w:val="333333"/>
          <w:sz w:val="26"/>
          <w:szCs w:val="26"/>
        </w:rPr>
        <w:t xml:space="preserve">Ancient Greek and Roman Medicine</w:t>
      </w:r>
    </w:p>
    <w:p>
      <w:pPr>
        <w:spacing w:after="120" w:line="300"/>
      </w:pPr>
      <w:r>
        <w:rPr>
          <w:rFonts w:ascii="Arial" w:cs="Arial" w:eastAsia="Arial" w:hAnsi="Arial"/>
          <w:b/>
          <w:bCs/>
          <w:sz w:val="22"/>
          <w:szCs w:val="22"/>
        </w:rPr>
        <w:t xml:space="preserve">Pliny the Elder (1st century CE):</w:t>
      </w:r>
      <w:r>
        <w:rPr>
          <w:rFonts w:ascii="Arial" w:cs="Arial" w:eastAsia="Arial" w:hAnsi="Arial"/>
          <w:sz w:val="22"/>
          <w:szCs w:val="22"/>
        </w:rPr>
        <w:t xml:space="preserve"> Documented mint's use for digestive complaints and as a sexual stimulant in *Naturalis Historia*.</w:t>
      </w:r>
    </w:p>
    <w:p>
      <w:pPr>
        <w:spacing w:after="120" w:line="300"/>
      </w:pPr>
      <w:r>
        <w:rPr>
          <w:rFonts w:ascii="Arial" w:cs="Arial" w:eastAsia="Arial" w:hAnsi="Arial"/>
          <w:b/>
          <w:bCs/>
          <w:sz w:val="22"/>
          <w:szCs w:val="22"/>
        </w:rPr>
        <w:t xml:space="preserve">Dioscorides (1st century CE):</w:t>
      </w:r>
      <w:r>
        <w:rPr>
          <w:rFonts w:ascii="Arial" w:cs="Arial" w:eastAsia="Arial" w:hAnsi="Arial"/>
          <w:sz w:val="22"/>
          <w:szCs w:val="22"/>
        </w:rPr>
        <w:t xml:space="preserve"> Recommended mint (Mentha viridis, spearmint) for stomach ailments and wind (gas).</w:t>
      </w:r>
    </w:p>
    <w:p>
      <w:pPr>
        <w:spacing w:after="120" w:line="300"/>
      </w:pPr>
      <w:r>
        <w:rPr>
          <w:rFonts w:ascii="Arial" w:cs="Arial" w:eastAsia="Arial" w:hAnsi="Arial"/>
          <w:b/>
          <w:bCs/>
          <w:sz w:val="22"/>
          <w:szCs w:val="22"/>
        </w:rPr>
        <w:t xml:space="preserve">Etymology:</w:t>
      </w:r>
      <w:r>
        <w:rPr>
          <w:rFonts w:ascii="Arial" w:cs="Arial" w:eastAsia="Arial" w:hAnsi="Arial"/>
          <w:sz w:val="22"/>
          <w:szCs w:val="22"/>
        </w:rPr>
        <w:t xml:space="preserve"> The genus *Mentha* derives from Greek mythology—the nymph Menthe was transformed into a mint plant by Hades' wife Persephone out of jealousy, immortalizing her in the aromatic herb.</w:t>
      </w:r>
    </w:p>
    <w:p>
      <w:pPr>
        <w:pStyle w:val="Heading2"/>
        <w:spacing w:after="120" w:before="240"/>
      </w:pPr>
      <w:r>
        <w:rPr>
          <w:rFonts w:ascii="Arial" w:cs="Arial" w:eastAsia="Arial" w:hAnsi="Arial"/>
          <w:b/>
          <w:bCs/>
          <w:color w:val="333333"/>
          <w:sz w:val="26"/>
          <w:szCs w:val="26"/>
        </w:rPr>
        <w:t xml:space="preserve">European Herbalism</w:t>
      </w:r>
    </w:p>
    <w:p>
      <w:pPr>
        <w:spacing w:after="120" w:line="300"/>
      </w:pPr>
      <w:r>
        <w:rPr>
          <w:rFonts w:ascii="Arial" w:cs="Arial" w:eastAsia="Arial" w:hAnsi="Arial"/>
          <w:b/>
          <w:bCs/>
          <w:sz w:val="22"/>
          <w:szCs w:val="22"/>
        </w:rPr>
        <w:t xml:space="preserve">Medieval and Renaissance:</w:t>
      </w:r>
      <w:r>
        <w:rPr>
          <w:rFonts w:ascii="Arial" w:cs="Arial" w:eastAsia="Arial" w:hAnsi="Arial"/>
          <w:sz w:val="22"/>
          <w:szCs w:val="22"/>
        </w:rPr>
        <w:t xml:space="preserve"> Peppermint (post-17th century; result of spontaneous hybrid *Mentha aquatica × Mentha spicata*) became central to European herbal medicine.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Uses:</w:t>
      </w:r>
      <w:r>
        <w:rPr>
          <w:rFonts w:ascii="Arial" w:cs="Arial" w:eastAsia="Arial" w:hAnsi="Arial"/>
          <w:sz w:val="22"/>
          <w:szCs w:val="22"/>
        </w:rPr>
        <w:t xml:space="preserve"> Digestive stimulant, carminative (gas relief), febrifuge (fever reduction), emmenagogue (menstrual promotion)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Preparation:</w:t>
      </w:r>
      <w:r>
        <w:rPr>
          <w:rFonts w:ascii="Arial" w:cs="Arial" w:eastAsia="Arial" w:hAnsi="Arial"/>
          <w:sz w:val="22"/>
          <w:szCs w:val="22"/>
        </w:rPr>
        <w:t xml:space="preserve"> Infusions (tea), tinctures, essential oil application</w:t>
      </w:r>
    </w:p>
    <w:p>
      <w:pPr>
        <w:spacing w:after="120" w:line="300"/>
      </w:pPr>
      <w:r>
        <w:rPr>
          <w:rFonts w:ascii="Arial" w:cs="Arial" w:eastAsia="Arial" w:hAnsi="Arial"/>
          <w:b/>
          <w:bCs/>
          <w:sz w:val="22"/>
          <w:szCs w:val="22"/>
        </w:rPr>
        <w:t xml:space="preserve">German Phytomedicine:</w:t>
      </w:r>
      <w:r>
        <w:rPr>
          <w:rFonts w:ascii="Arial" w:cs="Arial" w:eastAsia="Arial" w:hAnsi="Arial"/>
          <w:sz w:val="22"/>
          <w:szCs w:val="22"/>
        </w:rPr>
        <w:t xml:space="preserve"> Peppermint recognized officially; included in pharmacopeias since 19th century. German Commission E monograph approves peppermint for:</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Dyspepsia (indigestion)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IBS symptoms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Tension headache (topical)</w:t>
      </w:r>
    </w:p>
    <w:p>
      <w:pPr>
        <w:pStyle w:val="Heading2"/>
        <w:spacing w:after="120" w:before="240"/>
      </w:pPr>
      <w:r>
        <w:rPr>
          <w:rFonts w:ascii="Arial" w:cs="Arial" w:eastAsia="Arial" w:hAnsi="Arial"/>
          <w:b/>
          <w:bCs/>
          <w:color w:val="333333"/>
          <w:sz w:val="26"/>
          <w:szCs w:val="26"/>
        </w:rPr>
        <w:t xml:space="preserve">Traditional Chinese Medicine (TCM)</w:t>
      </w:r>
    </w:p>
    <w:p>
      <w:pPr>
        <w:spacing w:after="120" w:line="300"/>
      </w:pPr>
      <w:r>
        <w:rPr>
          <w:rFonts w:ascii="Arial" w:cs="Arial" w:eastAsia="Arial" w:hAnsi="Arial"/>
          <w:b/>
          <w:bCs/>
          <w:sz w:val="22"/>
          <w:szCs w:val="22"/>
        </w:rPr>
        <w:t xml:space="preserve">Bo He (薄荷; Mentha haplocalyx or other Mentha species)</w:t>
      </w:r>
    </w:p>
    <w:p>
      <w:pPr>
        <w:spacing w:after="120" w:line="300"/>
      </w:pPr>
      <w:r>
        <w:rPr>
          <w:rFonts w:ascii="Arial" w:cs="Arial" w:eastAsia="Arial" w:hAnsi="Arial"/>
          <w:b/>
          <w:bCs/>
          <w:sz w:val="22"/>
          <w:szCs w:val="22"/>
        </w:rPr>
        <w:t xml:space="preserve">Energetics: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Temperature: Cool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Flavor: Pungent/acrid (spicy)</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Meridians: Liver, lung</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Functions: Release to exterior (expel pathogens), expel wind-heat, move blood, calm shen (spirit)</w:t>
      </w:r>
    </w:p>
    <w:p>
      <w:pPr>
        <w:spacing w:after="120" w:line="300"/>
      </w:pPr>
      <w:r>
        <w:rPr>
          <w:rFonts w:ascii="Arial" w:cs="Arial" w:eastAsia="Arial" w:hAnsi="Arial"/>
          <w:b/>
          <w:bCs/>
          <w:sz w:val="22"/>
          <w:szCs w:val="22"/>
        </w:rPr>
        <w:t xml:space="preserve">Uses: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Early-stage colds/fevers (still has surface symptoms)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Headache, sore throat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Measles (to promote eruption)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Pruritus (itching)</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Liver qi stagnation (emotional constraint)</w:t>
      </w:r>
    </w:p>
    <w:p>
      <w:pPr>
        <w:spacing w:after="120" w:line="300"/>
      </w:pPr>
      <w:r>
        <w:rPr>
          <w:rFonts w:ascii="Arial" w:cs="Arial" w:eastAsia="Arial" w:hAnsi="Arial"/>
          <w:b/>
          <w:bCs/>
          <w:sz w:val="22"/>
          <w:szCs w:val="22"/>
        </w:rPr>
        <w:t xml:space="preserve">Preparation:</w:t>
      </w:r>
      <w:r>
        <w:rPr>
          <w:rFonts w:ascii="Arial" w:cs="Arial" w:eastAsia="Arial" w:hAnsi="Arial"/>
          <w:sz w:val="22"/>
          <w:szCs w:val="22"/>
        </w:rPr>
        <w:t xml:space="preserve"> Decoction (but mint is often added at the end due to volatility); typically 3–9 grams of dried herb</w:t>
      </w:r>
    </w:p>
    <w:p>
      <w:pPr>
        <w:spacing w:after="120" w:line="300"/>
      </w:pPr>
      <w:r>
        <w:rPr>
          <w:rFonts w:ascii="Arial" w:cs="Arial" w:eastAsia="Arial" w:hAnsi="Arial"/>
          <w:b/>
          <w:bCs/>
          <w:sz w:val="22"/>
          <w:szCs w:val="22"/>
        </w:rPr>
        <w:t xml:space="preserve">Classical reference:</w:t>
      </w:r>
      <w:r>
        <w:rPr>
          <w:rFonts w:ascii="Arial" w:cs="Arial" w:eastAsia="Arial" w:hAnsi="Arial"/>
          <w:sz w:val="22"/>
          <w:szCs w:val="22"/>
        </w:rPr>
        <w:t xml:space="preserve"> *Bencao Gangmu* (Ben Cao Gang Mu, Compendium of Materia Medica, 16th century) by Li Shizhen mentions mint extensively.</w:t>
      </w:r>
    </w:p>
    <w:p>
      <w:pPr>
        <w:pStyle w:val="Heading2"/>
        <w:spacing w:after="120" w:before="240"/>
      </w:pPr>
      <w:r>
        <w:rPr>
          <w:rFonts w:ascii="Arial" w:cs="Arial" w:eastAsia="Arial" w:hAnsi="Arial"/>
          <w:b/>
          <w:bCs/>
          <w:color w:val="333333"/>
          <w:sz w:val="26"/>
          <w:szCs w:val="26"/>
        </w:rPr>
        <w:t xml:space="preserve">Ayurvedic Medicine (South Asia)</w:t>
      </w:r>
    </w:p>
    <w:p>
      <w:pPr>
        <w:spacing w:after="120" w:line="300"/>
      </w:pPr>
      <w:r>
        <w:rPr>
          <w:rFonts w:ascii="Arial" w:cs="Arial" w:eastAsia="Arial" w:hAnsi="Arial"/>
          <w:b/>
          <w:bCs/>
          <w:sz w:val="22"/>
          <w:szCs w:val="22"/>
        </w:rPr>
        <w:t xml:space="preserve">Pudina (पुदीना; Hindi name for mint; Mentha piperita or M. arvensis)</w:t>
      </w:r>
    </w:p>
    <w:p>
      <w:pPr>
        <w:spacing w:after="120" w:line="300"/>
      </w:pPr>
      <w:r>
        <w:rPr>
          <w:rFonts w:ascii="Arial" w:cs="Arial" w:eastAsia="Arial" w:hAnsi="Arial"/>
          <w:b/>
          <w:bCs/>
          <w:sz w:val="22"/>
          <w:szCs w:val="22"/>
        </w:rPr>
        <w:t xml:space="preserve">Dosha Classification:</w:t>
      </w:r>
      <w:r>
        <w:rPr>
          <w:rFonts w:ascii="Arial" w:cs="Arial" w:eastAsia="Arial" w:hAnsi="Arial"/>
          <w:sz w:val="22"/>
          <w:szCs w:val="22"/>
        </w:rPr>
        <w:t xml:space="preserve"> Balances all three doshas, but particularly cools pitta (heat/bile) and mobilizes kapha (stagnation)</w:t>
      </w:r>
    </w:p>
    <w:p>
      <w:pPr>
        <w:spacing w:after="120" w:line="300"/>
      </w:pPr>
      <w:r>
        <w:rPr>
          <w:rFonts w:ascii="Arial" w:cs="Arial" w:eastAsia="Arial" w:hAnsi="Arial"/>
          <w:b/>
          <w:bCs/>
          <w:sz w:val="22"/>
          <w:szCs w:val="22"/>
        </w:rPr>
        <w:t xml:space="preserve">Qualities (Gunas):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Rasa (taste): Pungent, slightly sweet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Virya (potency): Cooling</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Vipaka (post-digestive effect): Pungent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Guna (qualities): Light, dry</w:t>
      </w:r>
    </w:p>
    <w:p>
      <w:pPr>
        <w:spacing w:after="120" w:line="300"/>
      </w:pPr>
      <w:r>
        <w:rPr>
          <w:rFonts w:ascii="Arial" w:cs="Arial" w:eastAsia="Arial" w:hAnsi="Arial"/>
          <w:b/>
          <w:bCs/>
          <w:sz w:val="22"/>
          <w:szCs w:val="22"/>
        </w:rPr>
        <w:t xml:space="preserve">Therapeutic Uses: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Digestive:</w:t>
      </w:r>
      <w:r>
        <w:rPr>
          <w:rFonts w:ascii="Arial" w:cs="Arial" w:eastAsia="Arial" w:hAnsi="Arial"/>
          <w:sz w:val="22"/>
          <w:szCs w:val="22"/>
        </w:rPr>
        <w:t xml:space="preserve"> Stimulates agni (digestive fire); aids fat digestion and bile flow; relieves bloating and gas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Respiratory:</w:t>
      </w:r>
      <w:r>
        <w:rPr>
          <w:rFonts w:ascii="Arial" w:cs="Arial" w:eastAsia="Arial" w:hAnsi="Arial"/>
          <w:sz w:val="22"/>
          <w:szCs w:val="22"/>
        </w:rPr>
        <w:t xml:space="preserve"> Opens nasal passages; supports lung function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Skin:</w:t>
      </w:r>
      <w:r>
        <w:rPr>
          <w:rFonts w:ascii="Arial" w:cs="Arial" w:eastAsia="Arial" w:hAnsi="Arial"/>
          <w:sz w:val="22"/>
          <w:szCs w:val="22"/>
        </w:rPr>
        <w:t xml:space="preserve"> Cooling; reduces pitta-type inflammatory conditions (heat rashes, eczema)</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Nervous system:</w:t>
      </w:r>
      <w:r>
        <w:rPr>
          <w:rFonts w:ascii="Arial" w:cs="Arial" w:eastAsia="Arial" w:hAnsi="Arial"/>
          <w:sz w:val="22"/>
          <w:szCs w:val="22"/>
        </w:rPr>
        <w:t xml:space="preserve"> Calming to the mind; balances excess heat in mental activity (anxiety, irritability)</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Menstrual:</w:t>
      </w:r>
      <w:r>
        <w:rPr>
          <w:rFonts w:ascii="Arial" w:cs="Arial" w:eastAsia="Arial" w:hAnsi="Arial"/>
          <w:sz w:val="22"/>
          <w:szCs w:val="22"/>
        </w:rPr>
        <w:t xml:space="preserve"> Traditionally used to support regular menstruation in pitta-excess women</w:t>
      </w:r>
    </w:p>
    <w:p>
      <w:pPr>
        <w:spacing w:after="120" w:line="300"/>
      </w:pPr>
      <w:r>
        <w:rPr>
          <w:rFonts w:ascii="Arial" w:cs="Arial" w:eastAsia="Arial" w:hAnsi="Arial"/>
          <w:b/>
          <w:bCs/>
          <w:sz w:val="22"/>
          <w:szCs w:val="22"/>
        </w:rPr>
        <w:t xml:space="preserve">Preparation:</w:t>
      </w:r>
      <w:r>
        <w:rPr>
          <w:rFonts w:ascii="Arial" w:cs="Arial" w:eastAsia="Arial" w:hAnsi="Arial"/>
          <w:sz w:val="22"/>
          <w:szCs w:val="22"/>
        </w:rPr>
        <w:t xml:space="preserve"> Fresh juice, decoction, medicated oil (infused with coconut or sesame oil)</w:t>
      </w:r>
    </w:p>
    <w:p>
      <w:pPr>
        <w:spacing w:after="120" w:line="300"/>
      </w:pPr>
      <w:r>
        <w:rPr>
          <w:rFonts w:ascii="Arial" w:cs="Arial" w:eastAsia="Arial" w:hAnsi="Arial"/>
          <w:b/>
          <w:bCs/>
          <w:sz w:val="22"/>
          <w:szCs w:val="22"/>
        </w:rPr>
        <w:t xml:space="preserve">Integration with modern practice:</w:t>
      </w:r>
      <w:r>
        <w:rPr>
          <w:rFonts w:ascii="Arial" w:cs="Arial" w:eastAsia="Arial" w:hAnsi="Arial"/>
          <w:sz w:val="22"/>
          <w:szCs w:val="22"/>
        </w:rPr>
        <w:t xml:space="preserve"> Ayurvedic practitioners often recommend peppermint tea (fresh mint steeped in hot water) as a simple accessible digestive support, especially post-meal.</w:t>
      </w:r>
    </w:p>
    <w:p>
      <w:pPr>
        <w:pStyle w:val="Heading2"/>
        <w:spacing w:after="120" w:before="240"/>
      </w:pPr>
      <w:r>
        <w:rPr>
          <w:rFonts w:ascii="Arial" w:cs="Arial" w:eastAsia="Arial" w:hAnsi="Arial"/>
          <w:b/>
          <w:bCs/>
          <w:color w:val="333333"/>
          <w:sz w:val="26"/>
          <w:szCs w:val="26"/>
        </w:rPr>
        <w:t xml:space="preserve">Egyptian and Ancient Middle Eastern Use</w:t>
      </w:r>
    </w:p>
    <w:p>
      <w:pPr>
        <w:spacing w:after="120" w:line="300"/>
      </w:pPr>
      <w:r>
        <w:rPr>
          <w:rFonts w:ascii="Arial" w:cs="Arial" w:eastAsia="Arial" w:hAnsi="Arial"/>
          <w:b/>
          <w:bCs/>
          <w:sz w:val="22"/>
          <w:szCs w:val="22"/>
        </w:rPr>
        <w:t xml:space="preserve">Papyrus documents (1550 BCE, Ebers Papyrus):</w:t>
      </w:r>
      <w:r>
        <w:rPr>
          <w:rFonts w:ascii="Arial" w:cs="Arial" w:eastAsia="Arial" w:hAnsi="Arial"/>
          <w:sz w:val="22"/>
          <w:szCs w:val="22"/>
        </w:rPr>
        <w:t xml:space="preserve"> Mint was noted as beneficial for stomach pain and intestinal complaints.</w:t>
      </w:r>
    </w:p>
    <w:p>
      <w:pPr>
        <w:spacing w:after="120" w:line="300"/>
      </w:pPr>
      <w:r>
        <w:rPr>
          <w:rFonts w:ascii="Arial" w:cs="Arial" w:eastAsia="Arial" w:hAnsi="Arial"/>
          <w:b/>
          <w:bCs/>
          <w:sz w:val="22"/>
          <w:szCs w:val="22"/>
        </w:rPr>
        <w:t xml:space="preserve">Islamic medicine:</w:t>
      </w:r>
      <w:r>
        <w:rPr>
          <w:rFonts w:ascii="Arial" w:cs="Arial" w:eastAsia="Arial" w:hAnsi="Arial"/>
          <w:sz w:val="22"/>
          <w:szCs w:val="22"/>
        </w:rPr>
        <w:t xml:space="preserve"> Mint preserved in water or oil used as a cooling agent and digestive aid; mentioned in medieval Arab medical texts.</w:t>
      </w:r>
    </w:p>
    <w:p>
      <w:pPr>
        <w:spacing w:after="120" w:line="300"/>
      </w:pPr>
      <w:r>
        <w:rPr>
          <w:rFonts w:ascii="Arial" w:cs="Arial" w:eastAsia="Arial" w:hAnsi="Arial"/>
          <w:b/>
          <w:bCs/>
          <w:sz w:val="22"/>
          <w:szCs w:val="22"/>
        </w:rPr>
        <w:t xml:space="preserve">Preservation in mummification:</w:t>
      </w:r>
      <w:r>
        <w:rPr>
          <w:rFonts w:ascii="Arial" w:cs="Arial" w:eastAsia="Arial" w:hAnsi="Arial"/>
          <w:sz w:val="22"/>
          <w:szCs w:val="22"/>
        </w:rPr>
        <w:t xml:space="preserve"> Mint species have been identified in residues and as inclusions in mummified remains, suggesting both medicinal and preservative uses.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277BD"/>
          <w:sz w:val="30"/>
          <w:szCs w:val="30"/>
        </w:rPr>
        <w:t xml:space="preserve">12. Forest Ecology, Invasiveness, and Allelopathic Properties</w:t>
      </w:r>
    </w:p>
    <w:p>
      <w:pPr>
        <w:pStyle w:val="Heading2"/>
        <w:spacing w:after="120" w:before="240"/>
      </w:pPr>
      <w:r>
        <w:rPr>
          <w:rFonts w:ascii="Arial" w:cs="Arial" w:eastAsia="Arial" w:hAnsi="Arial"/>
          <w:b/>
          <w:bCs/>
          <w:color w:val="333333"/>
          <w:sz w:val="26"/>
          <w:szCs w:val="26"/>
        </w:rPr>
        <w:t xml:space="preserve">Mentha Species as Ecological Dominators</w:t>
      </w:r>
    </w:p>
    <w:p>
      <w:pPr>
        <w:spacing w:after="120" w:line="300"/>
      </w:pPr>
      <w:r>
        <w:rPr>
          <w:rFonts w:ascii="Arial" w:cs="Arial" w:eastAsia="Arial" w:hAnsi="Arial"/>
          <w:sz w:val="22"/>
          <w:szCs w:val="22"/>
        </w:rPr>
        <w:t xml:space="preserve">Mentha species are notorious in ecology for aggressive growth and invasiveness:</w:t>
      </w:r>
    </w:p>
    <w:p>
      <w:pPr>
        <w:spacing w:after="120" w:line="300"/>
      </w:pPr>
      <w:r>
        <w:rPr>
          <w:rFonts w:ascii="Arial" w:cs="Arial" w:eastAsia="Arial" w:hAnsi="Arial"/>
          <w:b/>
          <w:bCs/>
          <w:sz w:val="22"/>
          <w:szCs w:val="22"/>
        </w:rPr>
        <w:t xml:space="preserve">Invasiveness characteristics: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Rapid rhizomal (underground stem) spread</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High seed production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Allelopathic inhibition of competing plants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Preferential establishment in disturbed habitats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Poor coexistence with neighboring herbs (lavender, rosemary, sage, thyme all inhibited by Mentha presence)</w:t>
      </w:r>
    </w:p>
    <w:p>
      <w:pPr>
        <w:spacing w:after="120" w:line="300"/>
      </w:pPr>
      <w:r>
        <w:rPr>
          <w:rFonts w:ascii="Arial" w:cs="Arial" w:eastAsia="Arial" w:hAnsi="Arial"/>
          <w:b/>
          <w:bCs/>
          <w:sz w:val="22"/>
          <w:szCs w:val="22"/>
        </w:rPr>
        <w:t xml:space="preserve">Geographic invasiveness:</w:t>
      </w:r>
      <w:r>
        <w:rPr>
          <w:rFonts w:ascii="Arial" w:cs="Arial" w:eastAsia="Arial" w:hAnsi="Arial"/>
          <w:sz w:val="22"/>
          <w:szCs w:val="22"/>
        </w:rPr>
        <w:t xml:space="preserve"> *Mentha spicata* (spearmint) and *Mentha pulegium* (pennyroyal) are classified as invasive in many regions including parts of North America and Australia.</w:t>
      </w:r>
    </w:p>
    <w:p>
      <w:pPr>
        <w:pStyle w:val="Heading2"/>
        <w:spacing w:after="120" w:before="240"/>
      </w:pPr>
      <w:r>
        <w:rPr>
          <w:rFonts w:ascii="Arial" w:cs="Arial" w:eastAsia="Arial" w:hAnsi="Arial"/>
          <w:b/>
          <w:bCs/>
          <w:color w:val="333333"/>
          <w:sz w:val="26"/>
          <w:szCs w:val="26"/>
        </w:rPr>
        <w:t xml:space="preserve">Allelopathic Mechanisms</w:t>
      </w:r>
    </w:p>
    <w:p>
      <w:pPr>
        <w:spacing w:after="120" w:line="300"/>
      </w:pPr>
      <w:r>
        <w:rPr>
          <w:rFonts w:ascii="Arial" w:cs="Arial" w:eastAsia="Arial" w:hAnsi="Arial"/>
          <w:b/>
          <w:bCs/>
          <w:sz w:val="22"/>
          <w:szCs w:val="22"/>
        </w:rPr>
        <w:t xml:space="preserve">Definition:</w:t>
      </w:r>
      <w:r>
        <w:rPr>
          <w:rFonts w:ascii="Arial" w:cs="Arial" w:eastAsia="Arial" w:hAnsi="Arial"/>
          <w:sz w:val="22"/>
          <w:szCs w:val="22"/>
        </w:rPr>
        <w:t xml:space="preserve"> Allelopathy is the release of chemicals by one plant that inhibit the growth of neighboring plants.</w:t>
      </w:r>
    </w:p>
    <w:p>
      <w:pPr>
        <w:spacing w:after="120" w:line="300"/>
      </w:pPr>
      <w:r>
        <w:rPr>
          <w:rFonts w:ascii="Arial" w:cs="Arial" w:eastAsia="Arial" w:hAnsi="Arial"/>
          <w:b/>
          <w:bCs/>
          <w:sz w:val="22"/>
          <w:szCs w:val="22"/>
        </w:rPr>
        <w:t xml:space="preserve">Mentha's allelopathic agents: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Menthone:</w:t>
      </w:r>
      <w:r>
        <w:rPr>
          <w:rFonts w:ascii="Arial" w:cs="Arial" w:eastAsia="Arial" w:hAnsi="Arial"/>
          <w:sz w:val="22"/>
          <w:szCs w:val="22"/>
        </w:rPr>
        <w:t xml:space="preserve"> Primary allelopathic compound; inhibits microtubule assembly in neighboring plant cells, disrupting cell division and growth</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Menthol:</w:t>
      </w:r>
      <w:r>
        <w:rPr>
          <w:rFonts w:ascii="Arial" w:cs="Arial" w:eastAsia="Arial" w:hAnsi="Arial"/>
          <w:sz w:val="22"/>
          <w:szCs w:val="22"/>
        </w:rPr>
        <w:t xml:space="preserve"> Secondary allelopathic agent; has phytotoxic effects on target plants at moderate concentrations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Menthofuran:</w:t>
      </w:r>
      <w:r>
        <w:rPr>
          <w:rFonts w:ascii="Arial" w:cs="Arial" w:eastAsia="Arial" w:hAnsi="Arial"/>
          <w:sz w:val="22"/>
          <w:szCs w:val="22"/>
        </w:rPr>
        <w:t xml:space="preserve"> Also contributes to phytotoxic effects</w:t>
      </w:r>
    </w:p>
    <w:p>
      <w:pPr>
        <w:spacing w:after="120" w:line="300"/>
      </w:pPr>
      <w:r>
        <w:rPr>
          <w:rFonts w:ascii="Arial" w:cs="Arial" w:eastAsia="Arial" w:hAnsi="Arial"/>
          <w:b/>
          <w:bCs/>
          <w:sz w:val="22"/>
          <w:szCs w:val="22"/>
        </w:rPr>
        <w:t xml:space="preserve">Mechanisms: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Volatile emission:</w:t>
      </w:r>
      <w:r>
        <w:rPr>
          <w:rFonts w:ascii="Arial" w:cs="Arial" w:eastAsia="Arial" w:hAnsi="Arial"/>
          <w:sz w:val="22"/>
          <w:szCs w:val="22"/>
        </w:rPr>
        <w:t xml:space="preserve"> Menthone and menthol volatilize from leaves, diffuse through air, and deposit on neighboring plants' leaves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Root exudation:</w:t>
      </w:r>
      <w:r>
        <w:rPr>
          <w:rFonts w:ascii="Arial" w:cs="Arial" w:eastAsia="Arial" w:hAnsi="Arial"/>
          <w:sz w:val="22"/>
          <w:szCs w:val="22"/>
        </w:rPr>
        <w:t xml:space="preserve"> Allelopathic compounds leak from roots into soil, affecting seed germination and seedling establishment of competitors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Leaf litter decomposition:</w:t>
      </w:r>
      <w:r>
        <w:rPr>
          <w:rFonts w:ascii="Arial" w:cs="Arial" w:eastAsia="Arial" w:hAnsi="Arial"/>
          <w:sz w:val="22"/>
          <w:szCs w:val="22"/>
        </w:rPr>
        <w:t xml:space="preserve"> Dead mint leaves decompose, releasing allelopathic compounds into soil</w:t>
      </w:r>
    </w:p>
    <w:p>
      <w:pPr>
        <w:spacing w:after="120" w:line="300"/>
      </w:pPr>
      <w:r>
        <w:rPr>
          <w:rFonts w:ascii="Arial" w:cs="Arial" w:eastAsia="Arial" w:hAnsi="Arial"/>
          <w:b/>
          <w:bCs/>
          <w:sz w:val="22"/>
          <w:szCs w:val="22"/>
        </w:rPr>
        <w:t xml:space="preserve">Research evidence: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*Mentha suaveolens* (apple mint) has been studied as a potential "ecoherbicide" for weed control due to its strong allelopathic effects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Microtubule disruption by menthone has been documented in laboratory studies and linked to growth inhibition in competing plant species</w:t>
      </w:r>
    </w:p>
    <w:p>
      <w:pPr>
        <w:pStyle w:val="Heading2"/>
        <w:spacing w:after="120" w:before="240"/>
      </w:pPr>
      <w:r>
        <w:rPr>
          <w:rFonts w:ascii="Arial" w:cs="Arial" w:eastAsia="Arial" w:hAnsi="Arial"/>
          <w:b/>
          <w:bCs/>
          <w:color w:val="333333"/>
          <w:sz w:val="26"/>
          <w:szCs w:val="26"/>
        </w:rPr>
        <w:t xml:space="preserve">Pollinator Benefits</w:t>
      </w:r>
    </w:p>
    <w:p>
      <w:pPr>
        <w:spacing w:after="120" w:line="300"/>
      </w:pPr>
      <w:r>
        <w:rPr>
          <w:rFonts w:ascii="Arial" w:cs="Arial" w:eastAsia="Arial" w:hAnsi="Arial"/>
          <w:b/>
          <w:bCs/>
          <w:sz w:val="22"/>
          <w:szCs w:val="22"/>
        </w:rPr>
        <w:t xml:space="preserve">Positive ecological roles: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Mint flowers provide nectar and pollen for bees (Apis mellifera), bumblebees, and native bee species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Monoterpenes (including menthol) in floral scents serve as volatile attractants for pollinators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Mint's prolific flowering (summer through early fall) provides late-season forage when other sources are declining</w:t>
      </w:r>
    </w:p>
    <w:p>
      <w:pPr>
        <w:spacing w:after="120" w:line="300"/>
      </w:pPr>
      <w:r>
        <w:rPr>
          <w:rFonts w:ascii="Arial" w:cs="Arial" w:eastAsia="Arial" w:hAnsi="Arial"/>
          <w:b/>
          <w:bCs/>
          <w:sz w:val="22"/>
          <w:szCs w:val="22"/>
        </w:rPr>
        <w:t xml:space="preserve">Aromatic function:</w:t>
      </w:r>
      <w:r>
        <w:rPr>
          <w:rFonts w:ascii="Arial" w:cs="Arial" w:eastAsia="Arial" w:hAnsi="Arial"/>
          <w:sz w:val="22"/>
          <w:szCs w:val="22"/>
        </w:rPr>
        <w:t xml:space="preserve"> Monoterpenes in mint flowers (menthol, menthone, limonene, pinene) signal nectar availability to pollinators over distance.</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277BD"/>
          <w:sz w:val="30"/>
          <w:szCs w:val="30"/>
        </w:rPr>
        <w:t xml:space="preserve">13. Industrial Production: Commercial Scale, Synthetic Routes, and Regulatory Status</w:t>
      </w:r>
    </w:p>
    <w:p>
      <w:pPr>
        <w:pStyle w:val="Heading2"/>
        <w:spacing w:after="120" w:before="240"/>
      </w:pPr>
      <w:r>
        <w:rPr>
          <w:rFonts w:ascii="Arial" w:cs="Arial" w:eastAsia="Arial" w:hAnsi="Arial"/>
          <w:b/>
          <w:bCs/>
          <w:color w:val="333333"/>
          <w:sz w:val="26"/>
          <w:szCs w:val="26"/>
        </w:rPr>
        <w:t xml:space="preserve">Global Production Volumes and Economics</w:t>
      </w:r>
    </w:p>
    <w:p>
      <w:pPr>
        <w:spacing w:after="120" w:line="300"/>
      </w:pPr>
      <w:r>
        <w:rPr>
          <w:rFonts w:ascii="Arial" w:cs="Arial" w:eastAsia="Arial" w:hAnsi="Arial"/>
          <w:b/>
          <w:bCs/>
          <w:sz w:val="22"/>
          <w:szCs w:val="22"/>
        </w:rPr>
        <w:t xml:space="preserve">Historical and recent figures: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1998: ~11,800 tonnes annually (global menthol production)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2010s–2020s: Estimates range from 15,000–30,000+ tonnes annually, depending on whether synthetic production is fully captured</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India's dominance:</w:t>
      </w:r>
      <w:r>
        <w:rPr>
          <w:rFonts w:ascii="Arial" w:cs="Arial" w:eastAsia="Arial" w:hAnsi="Arial"/>
          <w:sz w:val="22"/>
          <w:szCs w:val="22"/>
        </w:rPr>
        <w:t xml:space="preserve"> 70–90% of global natural menthol production; state of Uttar Pradesh accounts for ~90% of India's production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Major producing regions:</w:t>
      </w:r>
      <w:r>
        <w:rPr>
          <w:rFonts w:ascii="Arial" w:cs="Arial" w:eastAsia="Arial" w:hAnsi="Arial"/>
          <w:sz w:val="22"/>
          <w:szCs w:val="22"/>
        </w:rPr>
        <w:t xml:space="preserve"> India (natural), China (natural and synthetic), Japan (cornmint), USA (synthetic), Europe (synthetic)</w:t>
      </w:r>
    </w:p>
    <w:p>
      <w:pPr>
        <w:spacing w:after="120" w:line="300"/>
      </w:pPr>
      <w:r>
        <w:rPr>
          <w:rFonts w:ascii="Arial" w:cs="Arial" w:eastAsia="Arial" w:hAnsi="Arial"/>
          <w:b/>
          <w:bCs/>
          <w:sz w:val="22"/>
          <w:szCs w:val="22"/>
        </w:rPr>
        <w:t xml:space="preserve">Market drivers: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Tobacco industry: Menthol cigarettes represent ~20–30% of global cigarette market, driving demand (though declining in regulated markets)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Pharmaceuticals: Topical analgesics, cough drops, nasal inhalers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Cosmetics and oral care: Toothpaste, mouthwash, skincare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Food and beverage: Flavorings, chewing gum</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Fragrance industry: Fine fragrances, commercial colognes</w:t>
      </w:r>
    </w:p>
    <w:p>
      <w:pPr>
        <w:pStyle w:val="Heading2"/>
        <w:spacing w:after="120" w:before="240"/>
      </w:pPr>
      <w:r>
        <w:rPr>
          <w:rFonts w:ascii="Arial" w:cs="Arial" w:eastAsia="Arial" w:hAnsi="Arial"/>
          <w:b/>
          <w:bCs/>
          <w:color w:val="333333"/>
          <w:sz w:val="26"/>
          <w:szCs w:val="26"/>
        </w:rPr>
        <w:t xml:space="preserve">Natural Menthol Extraction from Peppermint Oil</w:t>
      </w:r>
    </w:p>
    <w:p>
      <w:pPr>
        <w:spacing w:after="120" w:line="300"/>
      </w:pPr>
      <w:r>
        <w:rPr>
          <w:rFonts w:ascii="Arial" w:cs="Arial" w:eastAsia="Arial" w:hAnsi="Arial"/>
          <w:b/>
          <w:bCs/>
          <w:sz w:val="22"/>
          <w:szCs w:val="22"/>
        </w:rPr>
        <w:t xml:space="preserve">Traditional method (crystallization):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Peppermint (*Mentha × piperita*) is harvested at peak essential oil content (typically post-flowering, summer)</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Fresh or dried herb is steam-distilled to produce essential oil (~0.5–1% yield from fresh herb; 3–4% from dried)</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Essential oil (containing 30–50% menthol, plus menthone, menthofuran, limonene, etc.) is cooled to near-freezing</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crystallizes out due to its high melting point (36–45 °C); other terpenes remain liquid</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Crystals are filtered and washed to remove adhering oil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Yield: ~12–15 kg menthol per 100 kg dried peppermint herb (rough estimate)</w:t>
      </w:r>
    </w:p>
    <w:p>
      <w:pPr>
        <w:spacing w:after="120" w:line="300"/>
      </w:pPr>
      <w:r>
        <w:rPr>
          <w:rFonts w:ascii="Arial" w:cs="Arial" w:eastAsia="Arial" w:hAnsi="Arial"/>
          <w:b/>
          <w:bCs/>
          <w:sz w:val="22"/>
          <w:szCs w:val="22"/>
        </w:rPr>
        <w:t xml:space="preserve">Limitations: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Labor-intensive; requires climate-controlled facilities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Significant loss of minor terpenes and other compounds in the essential oil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Environmental burden of distillation (fuel, water)</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Economic viability depends on cheap labor and economies of scale</w:t>
      </w:r>
    </w:p>
    <w:p>
      <w:pPr>
        <w:pStyle w:val="Heading2"/>
        <w:spacing w:after="120" w:before="240"/>
      </w:pPr>
      <w:r>
        <w:rPr>
          <w:rFonts w:ascii="Arial" w:cs="Arial" w:eastAsia="Arial" w:hAnsi="Arial"/>
          <w:b/>
          <w:bCs/>
          <w:color w:val="333333"/>
          <w:sz w:val="26"/>
          <w:szCs w:val="26"/>
        </w:rPr>
        <w:t xml:space="preserve">Mentha arvensis (Cornmint) as the Primary Commercial Source</w:t>
      </w:r>
    </w:p>
    <w:p>
      <w:pPr>
        <w:spacing w:after="120" w:line="300"/>
      </w:pPr>
      <w:r>
        <w:rPr>
          <w:rFonts w:ascii="Arial" w:cs="Arial" w:eastAsia="Arial" w:hAnsi="Arial"/>
          <w:b/>
          <w:bCs/>
          <w:sz w:val="22"/>
          <w:szCs w:val="22"/>
        </w:rPr>
        <w:t xml:space="preserve">Why cornmint dominates: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Higher menthol content (70–90% vs. 30–50% in peppermint)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Higher essential oil yield per plant (~1.5–2% from fresh herb)</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Larger-scale cultivation possible; *M. arvensis* is hardier and more productive in diverse climates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Much more cost-effective</w:t>
      </w:r>
      <w:r>
        <w:rPr>
          <w:rFonts w:ascii="Arial" w:cs="Arial" w:eastAsia="Arial" w:hAnsi="Arial"/>
          <w:sz w:val="22"/>
          <w:szCs w:val="22"/>
        </w:rPr>
        <w:t xml:space="preserve"> for menthol extraction than peppermint</w:t>
      </w:r>
    </w:p>
    <w:p>
      <w:pPr>
        <w:spacing w:after="120" w:line="300"/>
      </w:pPr>
      <w:r>
        <w:rPr>
          <w:rFonts w:ascii="Arial" w:cs="Arial" w:eastAsia="Arial" w:hAnsi="Arial"/>
          <w:b/>
          <w:bCs/>
          <w:sz w:val="22"/>
          <w:szCs w:val="22"/>
        </w:rPr>
        <w:t xml:space="preserve">Production in India:</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Uttar Pradesh, India is the global menthol capital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Cultivation of *Mentha arvensis* on ~100,000–120,000 hectares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Annual production: ~16,000 tonnes of mint oil (~1997 figure); current estimates likely higher</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Employment: Hundreds of thousands of small farmers and laborers</w:t>
      </w:r>
    </w:p>
    <w:p>
      <w:pPr>
        <w:spacing w:after="120" w:line="300"/>
      </w:pPr>
      <w:r>
        <w:rPr>
          <w:rFonts w:ascii="Arial" w:cs="Arial" w:eastAsia="Arial" w:hAnsi="Arial"/>
          <w:b/>
          <w:bCs/>
          <w:sz w:val="22"/>
          <w:szCs w:val="22"/>
        </w:rPr>
        <w:t xml:space="preserve">Global cornmint production:</w:t>
      </w:r>
      <w:r>
        <w:rPr>
          <w:rFonts w:ascii="Arial" w:cs="Arial" w:eastAsia="Arial" w:hAnsi="Arial"/>
          <w:sz w:val="22"/>
          <w:szCs w:val="22"/>
        </w:rPr>
        <w:t xml:space="preserve"> China also produces significant quantities; Japan has traditional cornmint cultivation for medicinal purposes.</w:t>
      </w:r>
    </w:p>
    <w:p>
      <w:pPr>
        <w:pStyle w:val="Heading2"/>
        <w:spacing w:after="120" w:before="240"/>
      </w:pPr>
      <w:r>
        <w:rPr>
          <w:rFonts w:ascii="Arial" w:cs="Arial" w:eastAsia="Arial" w:hAnsi="Arial"/>
          <w:b/>
          <w:bCs/>
          <w:color w:val="333333"/>
          <w:sz w:val="26"/>
          <w:szCs w:val="26"/>
        </w:rPr>
        <w:t xml:space="preserve">Synthetic Menthol Production: Three Dominant Industrial Routes</w:t>
      </w:r>
    </w:p>
    <w:p>
      <w:pPr>
        <w:spacing w:after="100" w:before="200"/>
      </w:pPr>
      <w:r>
        <w:rPr>
          <w:rFonts w:ascii="Arial" w:cs="Arial" w:eastAsia="Arial" w:hAnsi="Arial"/>
          <w:b/>
          <w:bCs/>
          <w:color w:val="444444"/>
          <w:sz w:val="24"/>
          <w:szCs w:val="24"/>
        </w:rPr>
        <w:t xml:space="preserve">Route 1: Symrise (formerly Haarmann &amp; Reimer) - m-Cresol to Thymol to Menthol</w:t>
      </w:r>
    </w:p>
    <w:p>
      <w:pPr>
        <w:spacing w:after="120" w:line="300"/>
      </w:pPr>
      <w:r>
        <w:rPr>
          <w:rFonts w:ascii="Arial" w:cs="Arial" w:eastAsia="Arial" w:hAnsi="Arial"/>
          <w:b/>
          <w:bCs/>
          <w:sz w:val="22"/>
          <w:szCs w:val="22"/>
        </w:rPr>
        <w:t xml:space="preserve">Feedstock:</w:t>
      </w:r>
      <w:r>
        <w:rPr>
          <w:rFonts w:ascii="Arial" w:cs="Arial" w:eastAsia="Arial" w:hAnsi="Arial"/>
          <w:sz w:val="22"/>
          <w:szCs w:val="22"/>
        </w:rPr>
        <w:t xml:space="preserve"> m-Cresol (1,3-dimethylbenzene hydroxy), fossil-based phenolic precursor</w:t>
      </w:r>
    </w:p>
    <w:p>
      <w:pPr>
        <w:spacing w:after="120" w:line="300"/>
      </w:pPr>
      <w:r>
        <w:rPr>
          <w:rFonts w:ascii="Arial" w:cs="Arial" w:eastAsia="Arial" w:hAnsi="Arial"/>
          <w:b/>
          <w:bCs/>
          <w:sz w:val="22"/>
          <w:szCs w:val="22"/>
        </w:rPr>
        <w:t xml:space="preserve">Reaction sequence: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Friedel-Crafts alkylation:</w:t>
      </w:r>
      <w:r>
        <w:rPr>
          <w:rFonts w:ascii="Arial" w:cs="Arial" w:eastAsia="Arial" w:hAnsi="Arial"/>
          <w:sz w:val="22"/>
          <w:szCs w:val="22"/>
        </w:rPr>
        <w:t xml:space="preserve"> m-Cresol + propene → thymol (crude mixture)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Lewis acid catalyst (AlCl₃ or similar)</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Forms the aromatic precursor p-thymol</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Reduction:</w:t>
      </w:r>
      <w:r>
        <w:rPr>
          <w:rFonts w:ascii="Arial" w:cs="Arial" w:eastAsia="Arial" w:hAnsi="Arial"/>
          <w:sz w:val="22"/>
          <w:szCs w:val="22"/>
        </w:rPr>
        <w:t xml:space="preserve"> Thymol → menthol (via hydrogenation)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Heterogeneous catalyst (Ni or Pd on support)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High pressure H₂</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Non-selective; produces mixture of menthol isomers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Resolution:</w:t>
      </w:r>
      <w:r>
        <w:rPr>
          <w:rFonts w:ascii="Arial" w:cs="Arial" w:eastAsia="Arial" w:hAnsi="Arial"/>
          <w:sz w:val="22"/>
          <w:szCs w:val="22"/>
        </w:rPr>
        <w:t xml:space="preserve"> Racemic menthol mixture is separated using chiral resolution (e.g., tartaric acid salt formation) to isolate (-)-menthol enantiomer</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Separation step adds cost and complexity</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Yields ~50–60% (-)-menthol from racemic mixture</w:t>
      </w:r>
    </w:p>
    <w:p>
      <w:pPr>
        <w:spacing w:after="120" w:line="300"/>
      </w:pPr>
      <w:r>
        <w:rPr>
          <w:rFonts w:ascii="Arial" w:cs="Arial" w:eastAsia="Arial" w:hAnsi="Arial"/>
          <w:b/>
          <w:bCs/>
          <w:sz w:val="22"/>
          <w:szCs w:val="22"/>
        </w:rPr>
        <w:t xml:space="preserve">Advantages: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Established technology; industrial-scale deployment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Relatively simple chemistry</w:t>
      </w:r>
    </w:p>
    <w:p>
      <w:pPr>
        <w:spacing w:after="120" w:line="300"/>
      </w:pPr>
      <w:r>
        <w:rPr>
          <w:rFonts w:ascii="Arial" w:cs="Arial" w:eastAsia="Arial" w:hAnsi="Arial"/>
          <w:b/>
          <w:bCs/>
          <w:sz w:val="22"/>
          <w:szCs w:val="22"/>
        </w:rPr>
        <w:t xml:space="preserve">Disadvantages: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Fossil-based feedstock</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Non-selective hydrogenation requires energy-intensive resolution step</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Lower overall atom economy</w:t>
      </w:r>
    </w:p>
    <w:p>
      <w:pPr>
        <w:spacing w:after="100" w:before="200"/>
      </w:pPr>
      <w:r>
        <w:rPr>
          <w:rFonts w:ascii="Arial" w:cs="Arial" w:eastAsia="Arial" w:hAnsi="Arial"/>
          <w:b/>
          <w:bCs/>
          <w:color w:val="444444"/>
          <w:sz w:val="24"/>
          <w:szCs w:val="24"/>
        </w:rPr>
        <w:t xml:space="preserve">Route 2: BASF - Citral to Menthol</w:t>
      </w:r>
    </w:p>
    <w:p>
      <w:pPr>
        <w:spacing w:after="120" w:line="300"/>
      </w:pPr>
      <w:r>
        <w:rPr>
          <w:rFonts w:ascii="Arial" w:cs="Arial" w:eastAsia="Arial" w:hAnsi="Arial"/>
          <w:b/>
          <w:bCs/>
          <w:sz w:val="22"/>
          <w:szCs w:val="22"/>
        </w:rPr>
        <w:t xml:space="preserve">Feedstock:</w:t>
      </w:r>
      <w:r>
        <w:rPr>
          <w:rFonts w:ascii="Arial" w:cs="Arial" w:eastAsia="Arial" w:hAnsi="Arial"/>
          <w:sz w:val="22"/>
          <w:szCs w:val="22"/>
        </w:rPr>
        <w:t xml:space="preserve"> Citral (3,7-dimethyl-2,6-octadien-1-al), a terpene derived from lemon essential oil or synthesized</w:t>
      </w:r>
    </w:p>
    <w:p>
      <w:pPr>
        <w:spacing w:after="120" w:line="300"/>
      </w:pPr>
      <w:r>
        <w:rPr>
          <w:rFonts w:ascii="Arial" w:cs="Arial" w:eastAsia="Arial" w:hAnsi="Arial"/>
          <w:b/>
          <w:bCs/>
          <w:sz w:val="22"/>
          <w:szCs w:val="22"/>
        </w:rPr>
        <w:t xml:space="preserve">Reaction sequence: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Condensation:</w:t>
      </w:r>
      <w:r>
        <w:rPr>
          <w:rFonts w:ascii="Arial" w:cs="Arial" w:eastAsia="Arial" w:hAnsi="Arial"/>
          <w:sz w:val="22"/>
          <w:szCs w:val="22"/>
        </w:rPr>
        <w:t xml:space="preserve"> Citral + acetone → intermediate (via aldol or Grignard-type reaction)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Cyclization and reduction:</w:t>
      </w:r>
      <w:r>
        <w:rPr>
          <w:rFonts w:ascii="Arial" w:cs="Arial" w:eastAsia="Arial" w:hAnsi="Arial"/>
          <w:sz w:val="22"/>
          <w:szCs w:val="22"/>
        </w:rPr>
        <w:t xml:space="preserve"> Multi-step synthesis using chiral homogeneous catalysts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Iridium-based or ruthenium-based chiral catalysts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High enantioselectivity for (-)-menthol formation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Final product:</w:t>
      </w:r>
      <w:r>
        <w:rPr>
          <w:rFonts w:ascii="Arial" w:cs="Arial" w:eastAsia="Arial" w:hAnsi="Arial"/>
          <w:sz w:val="22"/>
          <w:szCs w:val="22"/>
        </w:rPr>
        <w:t xml:space="preserve"> (-)-Menthol directly, no racemic separation needed</w:t>
      </w:r>
    </w:p>
    <w:p>
      <w:pPr>
        <w:spacing w:after="120" w:line="300"/>
      </w:pPr>
      <w:r>
        <w:rPr>
          <w:rFonts w:ascii="Arial" w:cs="Arial" w:eastAsia="Arial" w:hAnsi="Arial"/>
          <w:b/>
          <w:bCs/>
          <w:sz w:val="22"/>
          <w:szCs w:val="22"/>
        </w:rPr>
        <w:t xml:space="preserve">Advantages: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High stereoselectivity:</w:t>
      </w:r>
      <w:r>
        <w:rPr>
          <w:rFonts w:ascii="Arial" w:cs="Arial" w:eastAsia="Arial" w:hAnsi="Arial"/>
          <w:sz w:val="22"/>
          <w:szCs w:val="22"/>
        </w:rPr>
        <w:t xml:space="preserve"> Produces predominantly (-)-menthol enantiomer without laborious separation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Renewable feedstock option (citral from essential oils)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High atom economy</w:t>
      </w:r>
    </w:p>
    <w:p>
      <w:pPr>
        <w:spacing w:after="120" w:line="300"/>
      </w:pPr>
      <w:r>
        <w:rPr>
          <w:rFonts w:ascii="Arial" w:cs="Arial" w:eastAsia="Arial" w:hAnsi="Arial"/>
          <w:b/>
          <w:bCs/>
          <w:sz w:val="22"/>
          <w:szCs w:val="22"/>
        </w:rPr>
        <w:t xml:space="preserve">Disadvantages: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Expensive chiral catalysts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Catalyst recycling and regeneration required</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More complex multi-step synthesis</w:t>
      </w:r>
    </w:p>
    <w:p>
      <w:pPr>
        <w:spacing w:after="120" w:line="300"/>
      </w:pPr>
      <w:r>
        <w:rPr>
          <w:rFonts w:ascii="Arial" w:cs="Arial" w:eastAsia="Arial" w:hAnsi="Arial"/>
          <w:b/>
          <w:bCs/>
          <w:sz w:val="22"/>
          <w:szCs w:val="22"/>
        </w:rPr>
        <w:t xml:space="preserve">Industrial implementation:</w:t>
      </w:r>
      <w:r>
        <w:rPr>
          <w:rFonts w:ascii="Arial" w:cs="Arial" w:eastAsia="Arial" w:hAnsi="Arial"/>
          <w:sz w:val="22"/>
          <w:szCs w:val="22"/>
        </w:rPr>
        <w:t xml:space="preserve"> BASF opened a production plant in Ludwigshafen, Germany (~2012) using this method.</w:t>
      </w:r>
    </w:p>
    <w:p>
      <w:pPr>
        <w:spacing w:after="100" w:before="200"/>
      </w:pPr>
      <w:r>
        <w:rPr>
          <w:rFonts w:ascii="Arial" w:cs="Arial" w:eastAsia="Arial" w:hAnsi="Arial"/>
          <w:b/>
          <w:bCs/>
          <w:color w:val="444444"/>
          <w:sz w:val="24"/>
          <w:szCs w:val="24"/>
        </w:rPr>
        <w:t xml:space="preserve">Route 3: Takasago - Myrcene to Menthol</w:t>
      </w:r>
    </w:p>
    <w:p>
      <w:pPr>
        <w:spacing w:after="120" w:line="300"/>
      </w:pPr>
      <w:r>
        <w:rPr>
          <w:rFonts w:ascii="Arial" w:cs="Arial" w:eastAsia="Arial" w:hAnsi="Arial"/>
          <w:b/>
          <w:bCs/>
          <w:sz w:val="22"/>
          <w:szCs w:val="22"/>
        </w:rPr>
        <w:t xml:space="preserve">Feedstock:</w:t>
      </w:r>
      <w:r>
        <w:rPr>
          <w:rFonts w:ascii="Arial" w:cs="Arial" w:eastAsia="Arial" w:hAnsi="Arial"/>
          <w:sz w:val="22"/>
          <w:szCs w:val="22"/>
        </w:rPr>
        <w:t xml:space="preserve"> Myrcene (7-methyl-3-methylene-1,6-octadiene), a renewable monoterpene from turpentine (pine oil) or can be synthesized</w:t>
      </w:r>
    </w:p>
    <w:p>
      <w:pPr>
        <w:spacing w:after="120" w:line="300"/>
      </w:pPr>
      <w:r>
        <w:rPr>
          <w:rFonts w:ascii="Arial" w:cs="Arial" w:eastAsia="Arial" w:hAnsi="Arial"/>
          <w:b/>
          <w:bCs/>
          <w:sz w:val="22"/>
          <w:szCs w:val="22"/>
        </w:rPr>
        <w:t xml:space="preserve">Reaction sequence: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Isomerization and cyclization:</w:t>
      </w:r>
      <w:r>
        <w:rPr>
          <w:rFonts w:ascii="Arial" w:cs="Arial" w:eastAsia="Arial" w:hAnsi="Arial"/>
          <w:sz w:val="22"/>
          <w:szCs w:val="22"/>
        </w:rPr>
        <w:t xml:space="preserve"> Myrcene → limonene (already matches menthol's carbon skeleton, differing mainly in oxidation level)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Chiral catalysts enable stereoselective conversion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Hydroxylation and reduction:</w:t>
      </w:r>
      <w:r>
        <w:rPr>
          <w:rFonts w:ascii="Arial" w:cs="Arial" w:eastAsia="Arial" w:hAnsi="Arial"/>
          <w:sz w:val="22"/>
          <w:szCs w:val="22"/>
        </w:rPr>
        <w:t xml:space="preserve"> Multi-step oxidation and reduction to menthol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Final steps similar to other routes</w:t>
      </w:r>
    </w:p>
    <w:p>
      <w:pPr>
        <w:spacing w:after="120" w:line="300"/>
      </w:pPr>
      <w:r>
        <w:rPr>
          <w:rFonts w:ascii="Arial" w:cs="Arial" w:eastAsia="Arial" w:hAnsi="Arial"/>
          <w:b/>
          <w:bCs/>
          <w:sz w:val="22"/>
          <w:szCs w:val="22"/>
        </w:rPr>
        <w:t xml:space="preserve">Advantages: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Renewable feedstock:</w:t>
      </w:r>
      <w:r>
        <w:rPr>
          <w:rFonts w:ascii="Arial" w:cs="Arial" w:eastAsia="Arial" w:hAnsi="Arial"/>
          <w:sz w:val="22"/>
          <w:szCs w:val="22"/>
        </w:rPr>
        <w:t xml:space="preserve"> Myrcene is derived from pinewood byproducts; high sustainability potential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Established by Takasago (Japanese fragrance/flavor company); successful commercial production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Lower fossil carbon footprint vs. m-cresol</w:t>
      </w:r>
    </w:p>
    <w:p>
      <w:pPr>
        <w:spacing w:after="120" w:line="300"/>
      </w:pPr>
      <w:r>
        <w:rPr>
          <w:rFonts w:ascii="Arial" w:cs="Arial" w:eastAsia="Arial" w:hAnsi="Arial"/>
          <w:b/>
          <w:bCs/>
          <w:sz w:val="22"/>
          <w:szCs w:val="22"/>
        </w:rPr>
        <w:t xml:space="preserve">Disadvantages: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Requires access to abundant turpentine supplies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Multi-step synthesis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Chiral catalyst costs</w:t>
      </w:r>
    </w:p>
    <w:p>
      <w:pPr>
        <w:spacing w:after="120" w:line="300"/>
      </w:pPr>
      <w:r>
        <w:rPr>
          <w:rFonts w:ascii="Arial" w:cs="Arial" w:eastAsia="Arial" w:hAnsi="Arial"/>
          <w:b/>
          <w:bCs/>
          <w:sz w:val="22"/>
          <w:szCs w:val="22"/>
        </w:rPr>
        <w:t xml:space="preserve">Production scale:</w:t>
      </w:r>
      <w:r>
        <w:rPr>
          <w:rFonts w:ascii="Arial" w:cs="Arial" w:eastAsia="Arial" w:hAnsi="Arial"/>
          <w:sz w:val="22"/>
          <w:szCs w:val="22"/>
        </w:rPr>
        <w:t xml:space="preserve"> Takasago is a major global menthol supplier; significant production in Japan and Southeast Asia.</w:t>
      </w:r>
    </w:p>
    <w:p>
      <w:pPr>
        <w:pStyle w:val="Heading2"/>
        <w:spacing w:after="120" w:before="240"/>
      </w:pPr>
      <w:r>
        <w:rPr>
          <w:rFonts w:ascii="Arial" w:cs="Arial" w:eastAsia="Arial" w:hAnsi="Arial"/>
          <w:b/>
          <w:bCs/>
          <w:color w:val="333333"/>
          <w:sz w:val="26"/>
          <w:szCs w:val="26"/>
        </w:rPr>
        <w:t xml:space="preserve">Comparative Production Economics and Environmental Impact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0277BD" w:val="clear"/>
            <w:tcMar>
              <w:top w:type="dxa" w:w="60"/>
              <w:left w:type="dxa" w:w="100"/>
              <w:bottom w:type="dxa" w:w="60"/>
              <w:right w:type="dxa" w:w="100"/>
            </w:tcMar>
          </w:tcPr>
          <w:p>
            <w:r>
              <w:rPr>
                <w:rFonts w:ascii="Arial" w:cs="Arial" w:eastAsia="Arial" w:hAnsi="Arial"/>
                <w:b/>
                <w:bCs/>
                <w:color w:val="FFFFFF"/>
                <w:sz w:val="20"/>
                <w:szCs w:val="20"/>
              </w:rPr>
              <w:t xml:space="preserve">Route</w:t>
            </w:r>
          </w:p>
        </w:tc>
        <w:tc>
          <w:tcPr>
            <w:tcW w:type="dxa" w:w="1337"/>
            <w:tcBorders>
              <w:top w:val="single" w:color="CCCCCC" w:sz="1"/>
              <w:left w:val="single" w:color="CCCCCC" w:sz="1"/>
              <w:bottom w:val="single" w:color="CCCCCC" w:sz="1"/>
              <w:right w:val="single" w:color="CCCCCC" w:sz="1"/>
            </w:tcBorders>
            <w:shd w:fill="0277BD" w:val="clear"/>
            <w:tcMar>
              <w:top w:type="dxa" w:w="60"/>
              <w:left w:type="dxa" w:w="100"/>
              <w:bottom w:type="dxa" w:w="60"/>
              <w:right w:type="dxa" w:w="100"/>
            </w:tcMar>
          </w:tcPr>
          <w:p>
            <w:r>
              <w:rPr>
                <w:rFonts w:ascii="Arial" w:cs="Arial" w:eastAsia="Arial" w:hAnsi="Arial"/>
                <w:b/>
                <w:bCs/>
                <w:color w:val="FFFFFF"/>
                <w:sz w:val="20"/>
                <w:szCs w:val="20"/>
              </w:rPr>
              <w:t xml:space="preserve">Feedstock</w:t>
            </w:r>
          </w:p>
        </w:tc>
        <w:tc>
          <w:tcPr>
            <w:tcW w:type="dxa" w:w="1337"/>
            <w:tcBorders>
              <w:top w:val="single" w:color="CCCCCC" w:sz="1"/>
              <w:left w:val="single" w:color="CCCCCC" w:sz="1"/>
              <w:bottom w:val="single" w:color="CCCCCC" w:sz="1"/>
              <w:right w:val="single" w:color="CCCCCC" w:sz="1"/>
            </w:tcBorders>
            <w:shd w:fill="0277BD" w:val="clear"/>
            <w:tcMar>
              <w:top w:type="dxa" w:w="60"/>
              <w:left w:type="dxa" w:w="100"/>
              <w:bottom w:type="dxa" w:w="60"/>
              <w:right w:type="dxa" w:w="100"/>
            </w:tcMar>
          </w:tcPr>
          <w:p>
            <w:r>
              <w:rPr>
                <w:rFonts w:ascii="Arial" w:cs="Arial" w:eastAsia="Arial" w:hAnsi="Arial"/>
                <w:b/>
                <w:bCs/>
                <w:color w:val="FFFFFF"/>
                <w:sz w:val="20"/>
                <w:szCs w:val="20"/>
              </w:rPr>
              <w:t xml:space="preserve">Selectivity</w:t>
            </w:r>
          </w:p>
        </w:tc>
        <w:tc>
          <w:tcPr>
            <w:tcW w:type="dxa" w:w="1337"/>
            <w:tcBorders>
              <w:top w:val="single" w:color="CCCCCC" w:sz="1"/>
              <w:left w:val="single" w:color="CCCCCC" w:sz="1"/>
              <w:bottom w:val="single" w:color="CCCCCC" w:sz="1"/>
              <w:right w:val="single" w:color="CCCCCC" w:sz="1"/>
            </w:tcBorders>
            <w:shd w:fill="0277BD" w:val="clear"/>
            <w:tcMar>
              <w:top w:type="dxa" w:w="60"/>
              <w:left w:type="dxa" w:w="100"/>
              <w:bottom w:type="dxa" w:w="60"/>
              <w:right w:type="dxa" w:w="100"/>
            </w:tcMar>
          </w:tcPr>
          <w:p>
            <w:r>
              <w:rPr>
                <w:rFonts w:ascii="Arial" w:cs="Arial" w:eastAsia="Arial" w:hAnsi="Arial"/>
                <w:b/>
                <w:bCs/>
                <w:color w:val="FFFFFF"/>
                <w:sz w:val="20"/>
                <w:szCs w:val="20"/>
              </w:rPr>
              <w:t xml:space="preserve">Enantiomeric Purity</w:t>
            </w:r>
          </w:p>
        </w:tc>
        <w:tc>
          <w:tcPr>
            <w:tcW w:type="dxa" w:w="1337"/>
            <w:tcBorders>
              <w:top w:val="single" w:color="CCCCCC" w:sz="1"/>
              <w:left w:val="single" w:color="CCCCCC" w:sz="1"/>
              <w:bottom w:val="single" w:color="CCCCCC" w:sz="1"/>
              <w:right w:val="single" w:color="CCCCCC" w:sz="1"/>
            </w:tcBorders>
            <w:shd w:fill="0277BD" w:val="clear"/>
            <w:tcMar>
              <w:top w:type="dxa" w:w="60"/>
              <w:left w:type="dxa" w:w="100"/>
              <w:bottom w:type="dxa" w:w="60"/>
              <w:right w:type="dxa" w:w="100"/>
            </w:tcMar>
          </w:tcPr>
          <w:p>
            <w:r>
              <w:rPr>
                <w:rFonts w:ascii="Arial" w:cs="Arial" w:eastAsia="Arial" w:hAnsi="Arial"/>
                <w:b/>
                <w:bCs/>
                <w:color w:val="FFFFFF"/>
                <w:sz w:val="20"/>
                <w:szCs w:val="20"/>
              </w:rPr>
              <w:t xml:space="preserve">Atom Economy</w:t>
            </w:r>
          </w:p>
        </w:tc>
        <w:tc>
          <w:tcPr>
            <w:tcW w:type="dxa" w:w="1337"/>
            <w:tcBorders>
              <w:top w:val="single" w:color="CCCCCC" w:sz="1"/>
              <w:left w:val="single" w:color="CCCCCC" w:sz="1"/>
              <w:bottom w:val="single" w:color="CCCCCC" w:sz="1"/>
              <w:right w:val="single" w:color="CCCCCC" w:sz="1"/>
            </w:tcBorders>
            <w:shd w:fill="0277BD" w:val="clear"/>
            <w:tcMar>
              <w:top w:type="dxa" w:w="60"/>
              <w:left w:type="dxa" w:w="100"/>
              <w:bottom w:type="dxa" w:w="60"/>
              <w:right w:type="dxa" w:w="100"/>
            </w:tcMar>
          </w:tcPr>
          <w:p>
            <w:r>
              <w:rPr>
                <w:rFonts w:ascii="Arial" w:cs="Arial" w:eastAsia="Arial" w:hAnsi="Arial"/>
                <w:b/>
                <w:bCs/>
                <w:color w:val="FFFFFF"/>
                <w:sz w:val="20"/>
                <w:szCs w:val="20"/>
              </w:rPr>
              <w:t xml:space="preserve">Environmental Footprint</w:t>
            </w:r>
          </w:p>
        </w:tc>
        <w:tc>
          <w:tcPr>
            <w:tcW w:type="dxa" w:w="1338"/>
            <w:tcBorders>
              <w:top w:val="single" w:color="CCCCCC" w:sz="1"/>
              <w:left w:val="single" w:color="CCCCCC" w:sz="1"/>
              <w:bottom w:val="single" w:color="CCCCCC" w:sz="1"/>
              <w:right w:val="single" w:color="CCCCCC" w:sz="1"/>
            </w:tcBorders>
            <w:shd w:fill="0277BD" w:val="clear"/>
            <w:tcMar>
              <w:top w:type="dxa" w:w="60"/>
              <w:left w:type="dxa" w:w="100"/>
              <w:bottom w:type="dxa" w:w="60"/>
              <w:right w:type="dxa" w:w="100"/>
            </w:tcMar>
          </w:tcPr>
          <w:p>
            <w:r>
              <w:rPr>
                <w:rFonts w:ascii="Arial" w:cs="Arial" w:eastAsia="Arial" w:hAnsi="Arial"/>
                <w:b/>
                <w:bCs/>
                <w:color w:val="FFFFFF"/>
                <w:sz w:val="20"/>
                <w:szCs w:val="20"/>
              </w:rPr>
              <w:t xml:space="preserve">Cost</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Symrise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Fossil m-cresol</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Low (requires resolution)</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~99% (-)-menthol after resolution</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 (fossil, energy for separation)</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Low–Moderate</w:t>
            </w:r>
          </w:p>
        </w:tc>
      </w:tr>
      <w:tr>
        <w:tc>
          <w:tcPr>
            <w:tcW w:type="dxa" w:w="1337"/>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BASF</w:t>
            </w:r>
          </w:p>
        </w:tc>
        <w:tc>
          <w:tcPr>
            <w:tcW w:type="dxa" w:w="1337"/>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Renewable or fossil citral</w:t>
            </w:r>
          </w:p>
        </w:tc>
        <w:tc>
          <w:tcPr>
            <w:tcW w:type="dxa" w:w="1337"/>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 (chiral catalyst)</w:t>
            </w:r>
          </w:p>
        </w:tc>
        <w:tc>
          <w:tcPr>
            <w:tcW w:type="dxa" w:w="1337"/>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~95–99% (-)-menthol (minimal resolution)</w:t>
            </w:r>
          </w:p>
        </w:tc>
        <w:tc>
          <w:tcPr>
            <w:tcW w:type="dxa" w:w="1337"/>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Moderate–High</w:t>
            </w:r>
          </w:p>
        </w:tc>
        <w:tc>
          <w:tcPr>
            <w:tcW w:type="dxa" w:w="1337"/>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 (catalyst recovery complexity)</w:t>
            </w:r>
          </w:p>
        </w:tc>
        <w:tc>
          <w:tcPr>
            <w:tcW w:type="dxa" w:w="1338"/>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Takasago</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Renewable myrcene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 (chiral catalyst)</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~95–99% (-)-menthol</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Low (renewable feedstock, minimal waste)</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r>
      <w:tr>
        <w:tc>
          <w:tcPr>
            <w:tcW w:type="dxa" w:w="1337"/>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Natural (cornmint extraction)</w:t>
            </w:r>
          </w:p>
        </w:tc>
        <w:tc>
          <w:tcPr>
            <w:tcW w:type="dxa" w:w="1337"/>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Botanical (renewable)</w:t>
            </w:r>
          </w:p>
        </w:tc>
        <w:tc>
          <w:tcPr>
            <w:tcW w:type="dxa" w:w="1337"/>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N/A (biosynthetic)</w:t>
            </w:r>
          </w:p>
        </w:tc>
        <w:tc>
          <w:tcPr>
            <w:tcW w:type="dxa" w:w="1337"/>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&gt;99% (-)-menthol naturally</w:t>
            </w:r>
          </w:p>
        </w:tc>
        <w:tc>
          <w:tcPr>
            <w:tcW w:type="dxa" w:w="1337"/>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100% (in plant)</w:t>
            </w:r>
          </w:p>
        </w:tc>
        <w:tc>
          <w:tcPr>
            <w:tcW w:type="dxa" w:w="1337"/>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Variable (water, energy use in distillation)</w:t>
            </w:r>
          </w:p>
        </w:tc>
        <w:tc>
          <w:tcPr>
            <w:tcW w:type="dxa" w:w="1338"/>
            <w:tcBorders>
              <w:top w:val="single" w:color="CCCCCC" w:sz="1"/>
              <w:left w:val="single" w:color="CCCCCC" w:sz="1"/>
              <w:bottom w:val="single" w:color="CCCCCC" w:sz="1"/>
              <w:right w:val="single" w:color="CCCCCC" w:sz="1"/>
            </w:tcBorders>
            <w:shd w:fill="E1F5FE"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Moderate–High (labor costs)</w:t>
            </w:r>
          </w:p>
        </w:tc>
      </w:tr>
    </w:tbl>
    <w:p>
      <w:pPr>
        <w:spacing w:after="120"/>
      </w:pPr>
    </w:p>
    <w:p>
      <w:pPr>
        <w:spacing w:after="120" w:line="300"/>
      </w:pPr>
      <w:r>
        <w:rPr>
          <w:rFonts w:ascii="Arial" w:cs="Arial" w:eastAsia="Arial" w:hAnsi="Arial"/>
          <w:b/>
          <w:bCs/>
          <w:sz w:val="22"/>
          <w:szCs w:val="22"/>
        </w:rPr>
        <w:t xml:space="preserve">Current market split:</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Natural menthol (primarily from India cornmint):</w:t>
      </w:r>
      <w:r>
        <w:rPr>
          <w:rFonts w:ascii="Arial" w:cs="Arial" w:eastAsia="Arial" w:hAnsi="Arial"/>
          <w:sz w:val="22"/>
          <w:szCs w:val="22"/>
        </w:rPr>
        <w:t xml:space="preserve"> ~70% of global menthol supply</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Synthetic menthol:</w:t>
      </w:r>
      <w:r>
        <w:rPr>
          <w:rFonts w:ascii="Arial" w:cs="Arial" w:eastAsia="Arial" w:hAnsi="Arial"/>
          <w:sz w:val="22"/>
          <w:szCs w:val="22"/>
        </w:rPr>
        <w:t xml:space="preserve"> ~30%, dominated by BASF and Takasago; Symrise declining due to cost of resolution step</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277BD"/>
          <w:sz w:val="30"/>
          <w:szCs w:val="30"/>
        </w:rPr>
        <w:t xml:space="preserve">14. Contrarian Evidence and Safety Considerations</w:t>
      </w:r>
    </w:p>
    <w:p>
      <w:pPr>
        <w:pStyle w:val="Heading2"/>
        <w:spacing w:after="120" w:before="240"/>
      </w:pPr>
      <w:r>
        <w:rPr>
          <w:rFonts w:ascii="Arial" w:cs="Arial" w:eastAsia="Arial" w:hAnsi="Arial"/>
          <w:b/>
          <w:bCs/>
          <w:color w:val="333333"/>
          <w:sz w:val="26"/>
          <w:szCs w:val="26"/>
        </w:rPr>
        <w:t xml:space="preserve">The Nasal Decongestion Myth: Scientific Correction</w:t>
      </w:r>
    </w:p>
    <w:p>
      <w:pPr>
        <w:spacing w:after="120" w:line="300"/>
      </w:pPr>
      <w:r>
        <w:rPr>
          <w:rFonts w:ascii="Arial" w:cs="Arial" w:eastAsia="Arial" w:hAnsi="Arial"/>
          <w:sz w:val="22"/>
          <w:szCs w:val="22"/>
        </w:rPr>
        <w:t xml:space="preserve">One of the most pervasive misconceptions about menthol is its supposed ability to "open nasal passages" or reduce nasal airway resistance. </w:t>
      </w:r>
      <w:r>
        <w:rPr>
          <w:rFonts w:ascii="Arial" w:cs="Arial" w:eastAsia="Arial" w:hAnsi="Arial"/>
          <w:b/>
          <w:bCs/>
          <w:sz w:val="22"/>
          <w:szCs w:val="22"/>
        </w:rPr>
        <w:t xml:space="preserve">This is scientifically unfounded.</w:t>
      </w:r>
    </w:p>
    <w:p>
      <w:pPr>
        <w:spacing w:after="100" w:before="200"/>
      </w:pPr>
      <w:r>
        <w:rPr>
          <w:rFonts w:ascii="Arial" w:cs="Arial" w:eastAsia="Arial" w:hAnsi="Arial"/>
          <w:b/>
          <w:bCs/>
          <w:color w:val="444444"/>
          <w:sz w:val="24"/>
          <w:szCs w:val="24"/>
        </w:rPr>
        <w:t xml:space="preserve">Key Evidence from Eccles and Colleagues</w:t>
      </w:r>
    </w:p>
    <w:p>
      <w:pPr>
        <w:spacing w:after="120" w:line="300"/>
      </w:pPr>
      <w:r>
        <w:rPr>
          <w:rFonts w:ascii="Arial" w:cs="Arial" w:eastAsia="Arial" w:hAnsi="Arial"/>
          <w:b/>
          <w:bCs/>
          <w:sz w:val="22"/>
          <w:szCs w:val="22"/>
        </w:rPr>
        <w:t xml:space="preserve">Classic study (1990):</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Subjects given oral (-)-menthol (11 mg dose) during common cold with nasal congestion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Measured nasal airway resistance</w:t>
      </w:r>
      <w:r>
        <w:rPr>
          <w:rFonts w:ascii="Arial" w:cs="Arial" w:eastAsia="Arial" w:hAnsi="Arial"/>
          <w:sz w:val="22"/>
          <w:szCs w:val="22"/>
        </w:rPr>
        <w:t xml:space="preserve"> using posterior rhinomanometry (objective, non-invasive measurement of airflow resistance)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Result:</w:t>
      </w:r>
      <w:r>
        <w:rPr>
          <w:rFonts w:ascii="Arial" w:cs="Arial" w:eastAsia="Arial" w:hAnsi="Arial"/>
          <w:sz w:val="22"/>
          <w:szCs w:val="22"/>
        </w:rPr>
        <w:t xml:space="preserve"> No significant change in nasal resistance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But:</w:t>
      </w:r>
      <w:r>
        <w:rPr>
          <w:rFonts w:ascii="Arial" w:cs="Arial" w:eastAsia="Arial" w:hAnsi="Arial"/>
          <w:sz w:val="22"/>
          <w:szCs w:val="22"/>
        </w:rPr>
        <w:t xml:space="preserve"> Subjects reported marked subjective sensation of improved nasal airflow</w:t>
      </w:r>
    </w:p>
    <w:p>
      <w:pPr>
        <w:spacing w:after="120" w:line="300"/>
      </w:pPr>
      <w:r>
        <w:rPr>
          <w:rFonts w:ascii="Arial" w:cs="Arial" w:eastAsia="Arial" w:hAnsi="Arial"/>
          <w:b/>
          <w:bCs/>
          <w:sz w:val="22"/>
          <w:szCs w:val="22"/>
        </w:rPr>
        <w:t xml:space="preserve">Mechanism of the illusion: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activates TRPM8 on trigeminal nerve terminals in nasal mucosa</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Cold sensation triggers enhanced sensory awareness of airflow (even when actual airflow unchanged)</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Central misattribution:</w:t>
      </w:r>
      <w:r>
        <w:rPr>
          <w:rFonts w:ascii="Arial" w:cs="Arial" w:eastAsia="Arial" w:hAnsi="Arial"/>
          <w:sz w:val="22"/>
          <w:szCs w:val="22"/>
        </w:rPr>
        <w:t xml:space="preserve"> Brain interprets enhanced cold sensation as "increased airflow"</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Nocebo/placebo effect amplifies the illective opening; expectation enhances the perception</w:t>
      </w:r>
    </w:p>
    <w:p>
      <w:pPr>
        <w:spacing w:after="100" w:before="200"/>
      </w:pPr>
      <w:r>
        <w:rPr>
          <w:rFonts w:ascii="Arial" w:cs="Arial" w:eastAsia="Arial" w:hAnsi="Arial"/>
          <w:b/>
          <w:bCs/>
          <w:color w:val="444444"/>
          <w:sz w:val="24"/>
          <w:szCs w:val="24"/>
        </w:rPr>
        <w:t xml:space="preserve">Follow-Up Studies Confirming the Illusion</w:t>
      </w:r>
    </w:p>
    <w:p>
      <w:pPr>
        <w:spacing w:after="120" w:line="300"/>
      </w:pPr>
      <w:r>
        <w:rPr>
          <w:rFonts w:ascii="Arial" w:cs="Arial" w:eastAsia="Arial" w:hAnsi="Arial"/>
          <w:b/>
          <w:bCs/>
          <w:sz w:val="22"/>
          <w:szCs w:val="22"/>
        </w:rPr>
        <w:t xml:space="preserve">Inhalation of menthol vapor study:</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Subjects inhaled menthol-containing air</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Upper airway resistance measured during menthol inhalation:</w:t>
      </w:r>
      <w:r>
        <w:rPr>
          <w:rFonts w:ascii="Arial" w:cs="Arial" w:eastAsia="Arial" w:hAnsi="Arial"/>
          <w:sz w:val="22"/>
          <w:szCs w:val="22"/>
        </w:rPr>
        <w:t xml:space="preserve"> Similar to sham control (no menthol)</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Subjective sensation of airway opening:</w:t>
      </w:r>
      <w:r>
        <w:rPr>
          <w:rFonts w:ascii="Arial" w:cs="Arial" w:eastAsia="Arial" w:hAnsi="Arial"/>
          <w:sz w:val="22"/>
          <w:szCs w:val="22"/>
        </w:rPr>
        <w:t xml:space="preserve"> Significant in menthol group vs. control</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Conclusion:</w:t>
      </w:r>
      <w:r>
        <w:rPr>
          <w:rFonts w:ascii="Arial" w:cs="Arial" w:eastAsia="Arial" w:hAnsi="Arial"/>
          <w:sz w:val="22"/>
          <w:szCs w:val="22"/>
        </w:rPr>
        <w:t xml:space="preserve"> Menthol creates the *perception* of nasal decongestion without altering actual airway patency</w:t>
      </w:r>
    </w:p>
    <w:p>
      <w:pPr>
        <w:spacing w:after="120" w:line="300"/>
      </w:pPr>
      <w:r>
        <w:rPr>
          <w:rFonts w:ascii="Arial" w:cs="Arial" w:eastAsia="Arial" w:hAnsi="Arial"/>
          <w:b/>
          <w:bCs/>
          <w:sz w:val="22"/>
          <w:szCs w:val="22"/>
        </w:rPr>
        <w:t xml:space="preserve">Clinical implications: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nasal inhalers provide symptomatic relief (improved subjective breathing sensation) but do </w:t>
      </w:r>
      <w:r>
        <w:rPr>
          <w:rFonts w:ascii="Arial" w:cs="Arial" w:eastAsia="Arial" w:hAnsi="Arial"/>
          <w:b/>
          <w:bCs/>
          <w:sz w:val="22"/>
          <w:szCs w:val="22"/>
        </w:rPr>
        <w:t xml:space="preserve">NOT</w:t>
      </w:r>
      <w:r>
        <w:rPr>
          <w:rFonts w:ascii="Arial" w:cs="Arial" w:eastAsia="Arial" w:hAnsi="Arial"/>
          <w:sz w:val="22"/>
          <w:szCs w:val="22"/>
        </w:rPr>
        <w:t xml:space="preserve"> treat the underlying congestion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Useful for comfort and sleep, but will not reduce infection duration or objective airway obstruction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Over-reliance on menthol might delay recognition of persistent nasal obstruction warranting medical evaluation</w:t>
      </w:r>
    </w:p>
    <w:p>
      <w:pPr>
        <w:pStyle w:val="Heading2"/>
        <w:spacing w:after="120" w:before="240"/>
      </w:pPr>
      <w:r>
        <w:rPr>
          <w:rFonts w:ascii="Arial" w:cs="Arial" w:eastAsia="Arial" w:hAnsi="Arial"/>
          <w:b/>
          <w:bCs/>
          <w:color w:val="333333"/>
          <w:sz w:val="26"/>
          <w:szCs w:val="26"/>
        </w:rPr>
        <w:t xml:space="preserve">Menthol Cigarettes: Addiction Enhancement and Health Deception</w:t>
      </w:r>
    </w:p>
    <w:p>
      <w:pPr>
        <w:spacing w:after="100" w:before="200"/>
      </w:pPr>
      <w:r>
        <w:rPr>
          <w:rFonts w:ascii="Arial" w:cs="Arial" w:eastAsia="Arial" w:hAnsi="Arial"/>
          <w:b/>
          <w:bCs/>
          <w:color w:val="444444"/>
          <w:sz w:val="24"/>
          <w:szCs w:val="24"/>
        </w:rPr>
        <w:t xml:space="preserve">The Controversy</w:t>
      </w:r>
    </w:p>
    <w:p>
      <w:pPr>
        <w:spacing w:after="120" w:line="300"/>
      </w:pPr>
      <w:r>
        <w:rPr>
          <w:rFonts w:ascii="Arial" w:cs="Arial" w:eastAsia="Arial" w:hAnsi="Arial"/>
          <w:sz w:val="22"/>
          <w:szCs w:val="22"/>
        </w:rPr>
        <w:t xml:space="preserve">Menthol has been added to cigarettes since the 1920s as a "cooling" flavor that reduces the harsh burning sensation of tobacco smoke. </w:t>
      </w:r>
      <w:r>
        <w:rPr>
          <w:rFonts w:ascii="Arial" w:cs="Arial" w:eastAsia="Arial" w:hAnsi="Arial"/>
          <w:b/>
          <w:bCs/>
          <w:sz w:val="22"/>
          <w:szCs w:val="22"/>
        </w:rPr>
        <w:t xml:space="preserve">This has had profound public health consequences.</w:t>
      </w:r>
    </w:p>
    <w:p>
      <w:pPr>
        <w:spacing w:after="100" w:before="200"/>
      </w:pPr>
      <w:r>
        <w:rPr>
          <w:rFonts w:ascii="Arial" w:cs="Arial" w:eastAsia="Arial" w:hAnsi="Arial"/>
          <w:b/>
          <w:bCs/>
          <w:color w:val="444444"/>
          <w:sz w:val="24"/>
          <w:szCs w:val="24"/>
        </w:rPr>
        <w:t xml:space="preserve">Mechanisms of Increased Addiction and Harm</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Harshness Reduction:</w:t>
      </w:r>
      <w:r>
        <w:rPr>
          <w:rFonts w:ascii="Arial" w:cs="Arial" w:eastAsia="Arial" w:hAnsi="Arial"/>
          <w:sz w:val="22"/>
          <w:szCs w:val="22"/>
        </w:rPr>
        <w:t xml:space="preserve"> Menthol suppresses the irritant sensation from smoke (via TRPA1 desensitization and TRPV1 inhibition), making cigarettes easier to inhale deeply and for longer duration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Enhanced Nicotine Absorption:</w:t>
      </w:r>
      <w:r>
        <w:rPr>
          <w:rFonts w:ascii="Arial" w:cs="Arial" w:eastAsia="Arial" w:hAnsi="Arial"/>
          <w:sz w:val="22"/>
          <w:szCs w:val="22"/>
        </w:rPr>
        <w:t xml:space="preserve"> Deeper inhalation and longer breath-holding increase nicotine uptake, enhancing dependence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Gateway Effect:</w:t>
      </w:r>
      <w:r>
        <w:rPr>
          <w:rFonts w:ascii="Arial" w:cs="Arial" w:eastAsia="Arial" w:hAnsi="Arial"/>
          <w:sz w:val="22"/>
          <w:szCs w:val="22"/>
        </w:rPr>
        <w:t xml:space="preserve"> The reduced harshness appeals to youth and novice smokers who might otherwise find unflavored cigarettes unpalatable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Addiction Synergy:</w:t>
      </w:r>
      <w:r>
        <w:rPr>
          <w:rFonts w:ascii="Arial" w:cs="Arial" w:eastAsia="Arial" w:hAnsi="Arial"/>
          <w:sz w:val="22"/>
          <w:szCs w:val="22"/>
        </w:rPr>
        <w:t xml:space="preserve"> Menthol interacts with nicotine in the brain to enhance addictive signaling (dopamine release in nucleus accumbens)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Quit Resistance:</w:t>
      </w:r>
      <w:r>
        <w:rPr>
          <w:rFonts w:ascii="Arial" w:cs="Arial" w:eastAsia="Arial" w:hAnsi="Arial"/>
          <w:sz w:val="22"/>
          <w:szCs w:val="22"/>
        </w:rPr>
        <w:t xml:space="preserve"> Menthol smokers report greater difficulty quitting compared to non-menthol smokers</w:t>
      </w:r>
    </w:p>
    <w:p>
      <w:pPr>
        <w:spacing w:after="100" w:before="200"/>
      </w:pPr>
      <w:r>
        <w:rPr>
          <w:rFonts w:ascii="Arial" w:cs="Arial" w:eastAsia="Arial" w:hAnsi="Arial"/>
          <w:b/>
          <w:bCs/>
          <w:color w:val="444444"/>
          <w:sz w:val="24"/>
          <w:szCs w:val="24"/>
        </w:rPr>
        <w:t xml:space="preserve">Epidemiological Data</w:t>
      </w:r>
    </w:p>
    <w:p>
      <w:pPr>
        <w:spacing w:after="120" w:line="300"/>
      </w:pPr>
      <w:r>
        <w:rPr>
          <w:rFonts w:ascii="Arial" w:cs="Arial" w:eastAsia="Arial" w:hAnsi="Arial"/>
          <w:b/>
          <w:bCs/>
          <w:sz w:val="22"/>
          <w:szCs w:val="22"/>
        </w:rPr>
        <w:t xml:space="preserve">USA menthol cigarette use: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~18.5 million adult menthol cigarette smokers ages 12+ (as of 2019)</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cigarettes represent </w:t>
      </w:r>
      <w:r>
        <w:rPr>
          <w:rFonts w:ascii="Arial" w:cs="Arial" w:eastAsia="Arial" w:hAnsi="Arial"/>
          <w:b/>
          <w:bCs/>
          <w:sz w:val="22"/>
          <w:szCs w:val="22"/>
        </w:rPr>
        <w:t xml:space="preserve">20–30% of the US cigarette market</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Racial disparities:</w:t>
      </w:r>
      <w:r>
        <w:rPr>
          <w:rFonts w:ascii="Arial" w:cs="Arial" w:eastAsia="Arial" w:hAnsi="Arial"/>
          <w:sz w:val="22"/>
          <w:szCs w:val="22"/>
        </w:rPr>
        <w:t xml:space="preserve"> Among regular smokers: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African American: ~80% smoke menthol cigarettes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Non-Black populations: &lt;30% smoke menthol cigarettes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Youth use:</w:t>
      </w:r>
      <w:r>
        <w:rPr>
          <w:rFonts w:ascii="Arial" w:cs="Arial" w:eastAsia="Arial" w:hAnsi="Arial"/>
          <w:sz w:val="22"/>
          <w:szCs w:val="22"/>
        </w:rPr>
        <w:t xml:space="preserve"> Menthol cigarettes disproportionately used by youth initiation to smoking</w:t>
      </w:r>
    </w:p>
    <w:p>
      <w:pPr>
        <w:spacing w:after="100" w:before="200"/>
      </w:pPr>
      <w:r>
        <w:rPr>
          <w:rFonts w:ascii="Arial" w:cs="Arial" w:eastAsia="Arial" w:hAnsi="Arial"/>
          <w:b/>
          <w:bCs/>
          <w:color w:val="444444"/>
          <w:sz w:val="24"/>
          <w:szCs w:val="24"/>
        </w:rPr>
        <w:t xml:space="preserve">Public Health Response</w:t>
      </w:r>
    </w:p>
    <w:p>
      <w:pPr>
        <w:spacing w:after="120" w:line="300"/>
      </w:pPr>
      <w:r>
        <w:rPr>
          <w:rFonts w:ascii="Arial" w:cs="Arial" w:eastAsia="Arial" w:hAnsi="Arial"/>
          <w:b/>
          <w:bCs/>
          <w:sz w:val="22"/>
          <w:szCs w:val="22"/>
        </w:rPr>
        <w:t xml:space="preserve">FDA Proposed Rule (April 2022):</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Proposed prohibition of menthol as a characterizing flavor in cigarettes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Also proposed ban on all characterizing flavors in cigars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Rationale: Reduction in youth initiation, decreased menthol smoking, decreased tobacco-related disease</w:t>
      </w:r>
    </w:p>
    <w:p>
      <w:pPr>
        <w:spacing w:after="120" w:line="300"/>
      </w:pPr>
      <w:r>
        <w:rPr>
          <w:rFonts w:ascii="Arial" w:cs="Arial" w:eastAsia="Arial" w:hAnsi="Arial"/>
          <w:b/>
          <w:bCs/>
          <w:sz w:val="22"/>
          <w:szCs w:val="22"/>
        </w:rPr>
        <w:t xml:space="preserve">Current status (2026):</w:t>
      </w:r>
      <w:r>
        <w:rPr>
          <w:rFonts w:ascii="Arial" w:cs="Arial" w:eastAsia="Arial" w:hAnsi="Arial"/>
          <w:sz w:val="22"/>
          <w:szCs w:val="22"/>
        </w:rPr>
        <w:t xml:space="preserve"> Implementation delayed due to tobacco industry litigation and regulatory complications. As of 2024, the rule remains proposed but not finalized.</w:t>
      </w:r>
    </w:p>
    <w:p>
      <w:pPr>
        <w:spacing w:after="120" w:line="300"/>
      </w:pPr>
      <w:r>
        <w:rPr>
          <w:rFonts w:ascii="Arial" w:cs="Arial" w:eastAsia="Arial" w:hAnsi="Arial"/>
          <w:b/>
          <w:bCs/>
          <w:sz w:val="22"/>
          <w:szCs w:val="22"/>
        </w:rPr>
        <w:t xml:space="preserve">Global regulation: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EU:</w:t>
      </w:r>
      <w:r>
        <w:rPr>
          <w:rFonts w:ascii="Arial" w:cs="Arial" w:eastAsia="Arial" w:hAnsi="Arial"/>
          <w:sz w:val="22"/>
          <w:szCs w:val="22"/>
        </w:rPr>
        <w:t xml:space="preserve"> Menthol cigarettes banned as of 2020</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Canada:</w:t>
      </w:r>
      <w:r>
        <w:rPr>
          <w:rFonts w:ascii="Arial" w:cs="Arial" w:eastAsia="Arial" w:hAnsi="Arial"/>
          <w:sz w:val="22"/>
          <w:szCs w:val="22"/>
        </w:rPr>
        <w:t xml:space="preserve"> Menthol cigarettes prohibited</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Other jurisdictions:</w:t>
      </w:r>
      <w:r>
        <w:rPr>
          <w:rFonts w:ascii="Arial" w:cs="Arial" w:eastAsia="Arial" w:hAnsi="Arial"/>
          <w:sz w:val="22"/>
          <w:szCs w:val="22"/>
        </w:rPr>
        <w:t xml:space="preserve"> Many have enacted menthol bans; USA remains a major holdout</w:t>
      </w:r>
    </w:p>
    <w:p>
      <w:pPr>
        <w:pStyle w:val="Heading2"/>
        <w:spacing w:after="120" w:before="240"/>
      </w:pPr>
      <w:r>
        <w:rPr>
          <w:rFonts w:ascii="Arial" w:cs="Arial" w:eastAsia="Arial" w:hAnsi="Arial"/>
          <w:b/>
          <w:bCs/>
          <w:color w:val="333333"/>
          <w:sz w:val="26"/>
          <w:szCs w:val="26"/>
        </w:rPr>
        <w:t xml:space="preserve">Pulegone Toxicity: The Biosynthetic Intermediate Risk</w:t>
      </w:r>
    </w:p>
    <w:p>
      <w:pPr>
        <w:spacing w:after="100" w:before="200"/>
      </w:pPr>
      <w:r>
        <w:rPr>
          <w:rFonts w:ascii="Arial" w:cs="Arial" w:eastAsia="Arial" w:hAnsi="Arial"/>
          <w:b/>
          <w:bCs/>
          <w:color w:val="444444"/>
          <w:sz w:val="24"/>
          <w:szCs w:val="24"/>
        </w:rPr>
        <w:t xml:space="preserve">Hepatotoxicity Mechanism</w:t>
      </w:r>
    </w:p>
    <w:p>
      <w:pPr>
        <w:spacing w:after="120" w:line="300"/>
      </w:pPr>
      <w:r>
        <w:rPr>
          <w:rFonts w:ascii="Arial" w:cs="Arial" w:eastAsia="Arial" w:hAnsi="Arial"/>
          <w:b/>
          <w:bCs/>
          <w:sz w:val="22"/>
          <w:szCs w:val="22"/>
        </w:rPr>
        <w:t xml:space="preserve">Pulegone</w:t>
      </w:r>
      <w:r>
        <w:rPr>
          <w:rFonts w:ascii="Arial" w:cs="Arial" w:eastAsia="Arial" w:hAnsi="Arial"/>
          <w:sz w:val="22"/>
          <w:szCs w:val="22"/>
        </w:rPr>
        <w:t xml:space="preserve"> is an intermediate in the menthol biosynthetic pathway that is </w:t>
      </w:r>
      <w:r>
        <w:rPr>
          <w:rFonts w:ascii="Arial" w:cs="Arial" w:eastAsia="Arial" w:hAnsi="Arial"/>
          <w:b/>
          <w:bCs/>
          <w:sz w:val="22"/>
          <w:szCs w:val="22"/>
        </w:rPr>
        <w:t xml:space="preserve">hepatotoxic in rodents and humans</w:t>
      </w:r>
      <w:r>
        <w:rPr>
          <w:rFonts w:ascii="Arial" w:cs="Arial" w:eastAsia="Arial" w:hAnsi="Arial"/>
          <w:sz w:val="22"/>
          <w:szCs w:val="22"/>
        </w:rPr>
        <w:t xml:space="preserve"> due to metabolic activation to reactive electrophiles.</w:t>
      </w:r>
    </w:p>
    <w:p>
      <w:pPr>
        <w:spacing w:after="120" w:line="300"/>
      </w:pPr>
      <w:r>
        <w:rPr>
          <w:rFonts w:ascii="Arial" w:cs="Arial" w:eastAsia="Arial" w:hAnsi="Arial"/>
          <w:b/>
          <w:bCs/>
          <w:sz w:val="22"/>
          <w:szCs w:val="22"/>
        </w:rPr>
        <w:t xml:space="preserve">Metabolic pathway:</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Pulegone is oxidized by hepatic cytochrome P450 (CYP2A6, CYP3A4) to </w:t>
      </w:r>
      <w:r>
        <w:rPr>
          <w:rFonts w:ascii="Arial" w:cs="Arial" w:eastAsia="Arial" w:hAnsi="Arial"/>
          <w:b/>
          <w:bCs/>
          <w:sz w:val="22"/>
          <w:szCs w:val="22"/>
        </w:rPr>
        <w:t xml:space="preserve">menthofuran</w:t>
      </w:r>
      <w:r>
        <w:rPr>
          <w:rFonts w:ascii="Arial" w:cs="Arial" w:eastAsia="Arial" w:hAnsi="Arial"/>
          <w:sz w:val="22"/>
          <w:szCs w:val="22"/>
        </w:rPr>
        <w:t xml:space="preserve"> (and other minor metabolites)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Menthofuran is further oxidized to reactive </w:t>
      </w:r>
      <w:r>
        <w:rPr>
          <w:rFonts w:ascii="Arial" w:cs="Arial" w:eastAsia="Arial" w:hAnsi="Arial"/>
          <w:b/>
          <w:bCs/>
          <w:sz w:val="22"/>
          <w:szCs w:val="22"/>
        </w:rPr>
        <w:t xml:space="preserve">α,β-unsaturated ketone species</w:t>
      </w:r>
      <w:r>
        <w:rPr>
          <w:rFonts w:ascii="Arial" w:cs="Arial" w:eastAsia="Arial" w:hAnsi="Arial"/>
          <w:sz w:val="22"/>
          <w:szCs w:val="22"/>
        </w:rPr>
        <w:t xml:space="preserve"> (γ-ketoenal)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These electrophiles form </w:t>
      </w:r>
      <w:r>
        <w:rPr>
          <w:rFonts w:ascii="Arial" w:cs="Arial" w:eastAsia="Arial" w:hAnsi="Arial"/>
          <w:b/>
          <w:bCs/>
          <w:sz w:val="22"/>
          <w:szCs w:val="22"/>
        </w:rPr>
        <w:t xml:space="preserve">covalent adducts with hepatic proteins</w:t>
      </w:r>
      <w:r>
        <w:rPr>
          <w:rFonts w:ascii="Arial" w:cs="Arial" w:eastAsia="Arial" w:hAnsi="Arial"/>
          <w:sz w:val="22"/>
          <w:szCs w:val="22"/>
        </w:rPr>
        <w:t xml:space="preserve">, particularly glutathione-S-transferases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Protein adducts trigger immune responses and cause hepatocyte necrosis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Simultaneous </w:t>
      </w:r>
      <w:r>
        <w:rPr>
          <w:rFonts w:ascii="Arial" w:cs="Arial" w:eastAsia="Arial" w:hAnsi="Arial"/>
          <w:b/>
          <w:bCs/>
          <w:sz w:val="22"/>
          <w:szCs w:val="22"/>
        </w:rPr>
        <w:t xml:space="preserve">glutathione depletion</w:t>
      </w:r>
      <w:r>
        <w:rPr>
          <w:rFonts w:ascii="Arial" w:cs="Arial" w:eastAsia="Arial" w:hAnsi="Arial"/>
          <w:sz w:val="22"/>
          <w:szCs w:val="22"/>
        </w:rPr>
        <w:t xml:space="preserve"> impairs antioxidant defenses, allowing accumulation of ROS (reactive oxygen species)</w:t>
      </w:r>
    </w:p>
    <w:p>
      <w:pPr>
        <w:spacing w:after="120" w:line="300"/>
      </w:pPr>
      <w:r>
        <w:rPr>
          <w:rFonts w:ascii="Arial" w:cs="Arial" w:eastAsia="Arial" w:hAnsi="Arial"/>
          <w:b/>
          <w:bCs/>
          <w:sz w:val="22"/>
          <w:szCs w:val="22"/>
        </w:rPr>
        <w:t xml:space="preserve">Toxicological data:</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LD₅₀ (oral, rats): ~150 mg/kg body weight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LD₅₀ (oral, mice): ~1,709 mg/kg body weight</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Human toxicity cases:</w:t>
      </w:r>
      <w:r>
        <w:rPr>
          <w:rFonts w:ascii="Arial" w:cs="Arial" w:eastAsia="Arial" w:hAnsi="Arial"/>
          <w:sz w:val="22"/>
          <w:szCs w:val="22"/>
        </w:rPr>
        <w:t xml:space="preserve"> At least 18 documented cases of severe hepatotoxicity from ingestion of 10+ mL pennyroyal oil (which is 40–90% pulegone)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Fatality cases:</w:t>
      </w:r>
      <w:r>
        <w:rPr>
          <w:rFonts w:ascii="Arial" w:cs="Arial" w:eastAsia="Arial" w:hAnsi="Arial"/>
          <w:sz w:val="22"/>
          <w:szCs w:val="22"/>
        </w:rPr>
        <w:t xml:space="preserve"> Several deaths from pennyroyal oil overdose have been documented</w:t>
      </w:r>
    </w:p>
    <w:p>
      <w:pPr>
        <w:spacing w:after="100" w:before="200"/>
      </w:pPr>
      <w:r>
        <w:rPr>
          <w:rFonts w:ascii="Arial" w:cs="Arial" w:eastAsia="Arial" w:hAnsi="Arial"/>
          <w:b/>
          <w:bCs/>
          <w:color w:val="444444"/>
          <w:sz w:val="24"/>
          <w:szCs w:val="24"/>
        </w:rPr>
        <w:t xml:space="preserve">Menthol Safety Despite Pulegone Proximity in Pathway</w:t>
      </w:r>
    </w:p>
    <w:p>
      <w:pPr>
        <w:spacing w:after="120" w:line="300"/>
      </w:pPr>
      <w:r>
        <w:rPr>
          <w:rFonts w:ascii="Arial" w:cs="Arial" w:eastAsia="Arial" w:hAnsi="Arial"/>
          <w:b/>
          <w:bCs/>
          <w:sz w:val="22"/>
          <w:szCs w:val="22"/>
        </w:rPr>
        <w:t xml:space="preserve">Critical distinction: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itself is </w:t>
      </w:r>
      <w:r>
        <w:rPr>
          <w:rFonts w:ascii="Arial" w:cs="Arial" w:eastAsia="Arial" w:hAnsi="Arial"/>
          <w:b/>
          <w:bCs/>
          <w:sz w:val="22"/>
          <w:szCs w:val="22"/>
        </w:rPr>
        <w:t xml:space="preserve">NOT hepatotoxic</w:t>
      </w:r>
      <w:r>
        <w:rPr>
          <w:rFonts w:ascii="Arial" w:cs="Arial" w:eastAsia="Arial" w:hAnsi="Arial"/>
          <w:sz w:val="22"/>
          <w:szCs w:val="22"/>
        </w:rPr>
        <w:t xml:space="preserve"> at normal consumption levels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Pulegone, the biosynthetic intermediate, is toxic</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In peppermint oil, pulegone content is typically </w:t>
      </w:r>
      <w:r>
        <w:rPr>
          <w:rFonts w:ascii="Arial" w:cs="Arial" w:eastAsia="Arial" w:hAnsi="Arial"/>
          <w:b/>
          <w:bCs/>
          <w:sz w:val="22"/>
          <w:szCs w:val="22"/>
        </w:rPr>
        <w:t xml:space="preserve">&lt;5%</w:t>
      </w:r>
      <w:r>
        <w:rPr>
          <w:rFonts w:ascii="Arial" w:cs="Arial" w:eastAsia="Arial" w:hAnsi="Arial"/>
          <w:sz w:val="22"/>
          <w:szCs w:val="22"/>
        </w:rPr>
        <w:t xml:space="preserve"> because of rapid enzymatic reduction to menthone; peppermint oil itself has a strong safety record at normal doses</w:t>
      </w:r>
    </w:p>
    <w:p>
      <w:pPr>
        <w:spacing w:after="120" w:line="300"/>
      </w:pPr>
      <w:r>
        <w:rPr>
          <w:rFonts w:ascii="Arial" w:cs="Arial" w:eastAsia="Arial" w:hAnsi="Arial"/>
          <w:b/>
          <w:bCs/>
          <w:sz w:val="22"/>
          <w:szCs w:val="22"/>
        </w:rPr>
        <w:t xml:space="preserve">Why peppermint is safe: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Menthone reductase efficiently converts pulegone → menthone, preventing pulegone accumulation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Minimal pulegone reaches systemic circulation (absorbed and degraded in GI tract)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The dose of pulegone in typical peppermint tea or oil is negligible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Pennyroyal oil (which is pulegone-rich) is the unsafe botanical; peppermint is distinct</w:t>
      </w:r>
    </w:p>
    <w:p>
      <w:pPr>
        <w:spacing w:after="120" w:line="300"/>
      </w:pPr>
      <w:r>
        <w:rPr>
          <w:rFonts w:ascii="Arial" w:cs="Arial" w:eastAsia="Arial" w:hAnsi="Arial"/>
          <w:b/>
          <w:bCs/>
          <w:sz w:val="22"/>
          <w:szCs w:val="22"/>
        </w:rPr>
        <w:t xml:space="preserve">Regulatory perspective: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Pulegone is </w:t>
      </w:r>
      <w:r>
        <w:rPr>
          <w:rFonts w:ascii="Arial" w:cs="Arial" w:eastAsia="Arial" w:hAnsi="Arial"/>
          <w:b/>
          <w:bCs/>
          <w:sz w:val="22"/>
          <w:szCs w:val="22"/>
        </w:rPr>
        <w:t xml:space="preserve">prohibited as a synthetic flavoring agent</w:t>
      </w:r>
      <w:r>
        <w:rPr>
          <w:rFonts w:ascii="Arial" w:cs="Arial" w:eastAsia="Arial" w:hAnsi="Arial"/>
          <w:sz w:val="22"/>
          <w:szCs w:val="22"/>
        </w:rPr>
        <w:t xml:space="preserve"> in the USA</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Peppermint oil is </w:t>
      </w:r>
      <w:r>
        <w:rPr>
          <w:rFonts w:ascii="Arial" w:cs="Arial" w:eastAsia="Arial" w:hAnsi="Arial"/>
          <w:b/>
          <w:bCs/>
          <w:sz w:val="22"/>
          <w:szCs w:val="22"/>
        </w:rPr>
        <w:t xml:space="preserve">recognized as safe (GRAS)</w:t>
      </w:r>
      <w:r>
        <w:rPr>
          <w:rFonts w:ascii="Arial" w:cs="Arial" w:eastAsia="Arial" w:hAnsi="Arial"/>
          <w:sz w:val="22"/>
          <w:szCs w:val="22"/>
        </w:rPr>
        <w:t xml:space="preserve"> by the FDA for food use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Natural pulegone content in peppermint (typically 0–5%) is accepted as a minor component</w:t>
      </w:r>
    </w:p>
    <w:p>
      <w:pPr>
        <w:spacing w:after="100" w:before="200"/>
      </w:pPr>
      <w:r>
        <w:rPr>
          <w:rFonts w:ascii="Arial" w:cs="Arial" w:eastAsia="Arial" w:hAnsi="Arial"/>
          <w:b/>
          <w:bCs/>
          <w:color w:val="444444"/>
          <w:sz w:val="24"/>
          <w:szCs w:val="24"/>
        </w:rPr>
        <w:t xml:space="preserve">Menthofuran: Secondary Concern</w:t>
      </w:r>
    </w:p>
    <w:p>
      <w:pPr>
        <w:spacing w:after="120" w:line="300"/>
      </w:pPr>
      <w:r>
        <w:rPr>
          <w:rFonts w:ascii="Arial" w:cs="Arial" w:eastAsia="Arial" w:hAnsi="Arial"/>
          <w:sz w:val="22"/>
          <w:szCs w:val="22"/>
        </w:rPr>
        <w:t xml:space="preserve">Menthofuran, a metabolite of pulegone, is present in peppermint oil at 1–17% (average ~5–8%), depending on plant cultivar and storage conditions (oxidized menthol can increase menthofuran over time).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Hepatotoxic potential:</w:t>
      </w:r>
      <w:r>
        <w:rPr>
          <w:rFonts w:ascii="Arial" w:cs="Arial" w:eastAsia="Arial" w:hAnsi="Arial"/>
          <w:sz w:val="22"/>
          <w:szCs w:val="22"/>
        </w:rPr>
        <w:t xml:space="preserve"> Menthofuran contributes to pulegone's hepatotoxicity, though less potent than pulegone itself</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Levels in peppermint:</w:t>
      </w:r>
      <w:r>
        <w:rPr>
          <w:rFonts w:ascii="Arial" w:cs="Arial" w:eastAsia="Arial" w:hAnsi="Arial"/>
          <w:sz w:val="22"/>
          <w:szCs w:val="22"/>
        </w:rPr>
        <w:t xml:space="preserve"> At typical consumption levels, menthofuran exposure is low and not considered a safety concern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Storage impact:</w:t>
      </w:r>
      <w:r>
        <w:rPr>
          <w:rFonts w:ascii="Arial" w:cs="Arial" w:eastAsia="Arial" w:hAnsi="Arial"/>
          <w:sz w:val="22"/>
          <w:szCs w:val="22"/>
        </w:rPr>
        <w:t xml:space="preserve"> Older peppermint oil samples may have higher menthofuran due to oxidative rearrangement</w:t>
      </w:r>
    </w:p>
    <w:p>
      <w:pPr>
        <w:pStyle w:val="Heading2"/>
        <w:spacing w:after="120" w:before="240"/>
      </w:pPr>
      <w:r>
        <w:rPr>
          <w:rFonts w:ascii="Arial" w:cs="Arial" w:eastAsia="Arial" w:hAnsi="Arial"/>
          <w:b/>
          <w:bCs/>
          <w:color w:val="333333"/>
          <w:sz w:val="26"/>
          <w:szCs w:val="26"/>
        </w:rPr>
        <w:t xml:space="preserve">Possible Reproductive and Developmental Toxicity at High Doses</w:t>
      </w:r>
    </w:p>
    <w:p>
      <w:pPr>
        <w:spacing w:after="120" w:line="300"/>
      </w:pPr>
      <w:r>
        <w:rPr>
          <w:rFonts w:ascii="Arial" w:cs="Arial" w:eastAsia="Arial" w:hAnsi="Arial"/>
          <w:sz w:val="22"/>
          <w:szCs w:val="22"/>
        </w:rPr>
        <w:t xml:space="preserve">Limited evidence suggests menthol may affect reproductive function at extremely high doses: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In vitro studies:</w:t>
      </w:r>
      <w:r>
        <w:rPr>
          <w:rFonts w:ascii="Arial" w:cs="Arial" w:eastAsia="Arial" w:hAnsi="Arial"/>
          <w:sz w:val="22"/>
          <w:szCs w:val="22"/>
        </w:rPr>
        <w:t xml:space="preserve"> High menthol concentrations (&gt;100 μM) have been reported to affect sperm motility</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Animal studies:</w:t>
      </w:r>
      <w:r>
        <w:rPr>
          <w:rFonts w:ascii="Arial" w:cs="Arial" w:eastAsia="Arial" w:hAnsi="Arial"/>
          <w:sz w:val="22"/>
          <w:szCs w:val="22"/>
        </w:rPr>
        <w:t xml:space="preserve"> Some rodent studies hint at testicular or uterine effects at very high (non-physiological) doses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Human data:</w:t>
      </w:r>
      <w:r>
        <w:rPr>
          <w:rFonts w:ascii="Arial" w:cs="Arial" w:eastAsia="Arial" w:hAnsi="Arial"/>
          <w:sz w:val="22"/>
          <w:szCs w:val="22"/>
        </w:rPr>
        <w:t xml:space="preserve"> Virtually absent; no clinical cases of menthol-induced reproductive toxicity at normal consumption</w:t>
      </w:r>
    </w:p>
    <w:p>
      <w:pPr>
        <w:spacing w:after="120" w:line="300"/>
      </w:pPr>
      <w:r>
        <w:rPr>
          <w:rFonts w:ascii="Arial" w:cs="Arial" w:eastAsia="Arial" w:hAnsi="Arial"/>
          <w:b/>
          <w:bCs/>
          <w:sz w:val="22"/>
          <w:szCs w:val="22"/>
        </w:rPr>
        <w:t xml:space="preserve">Clinical interpretation: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use at normal dietary/topical levels is not contraindicated in pregnancy or lactation (peppermint tea is traditionally used)</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Extreme doses (grams of pure menthol) are unlikely in normal use but theoretically could pose risks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Pregnant individuals often tolerate peppermint well; clinical trials have documented safety in pregnancy-related symptoms (e.g., pruritus gravidarum)</w:t>
      </w:r>
    </w:p>
    <w:p>
      <w:pPr>
        <w:pStyle w:val="Heading2"/>
        <w:spacing w:after="120" w:before="240"/>
      </w:pPr>
      <w:r>
        <w:rPr>
          <w:rFonts w:ascii="Arial" w:cs="Arial" w:eastAsia="Arial" w:hAnsi="Arial"/>
          <w:b/>
          <w:bCs/>
          <w:color w:val="333333"/>
          <w:sz w:val="26"/>
          <w:szCs w:val="26"/>
        </w:rPr>
        <w:t xml:space="preserve">Menthol Allergy and Sensitization</w:t>
      </w:r>
    </w:p>
    <w:p>
      <w:pPr>
        <w:spacing w:after="120" w:line="300"/>
      </w:pPr>
      <w:r>
        <w:rPr>
          <w:rFonts w:ascii="Arial" w:cs="Arial" w:eastAsia="Arial" w:hAnsi="Arial"/>
          <w:b/>
          <w:bCs/>
          <w:sz w:val="22"/>
          <w:szCs w:val="22"/>
        </w:rPr>
        <w:t xml:space="preserve">Rare but documented:</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Contact dermatitis from topical menthol/peppermint oil in sensitive individuals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Cross-reactivity with other mint family plants possible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Inhalation sensitivity (menthol-induced asthma exacerbation) reported in small subset of asthmatics</w:t>
      </w:r>
    </w:p>
    <w:p>
      <w:pPr>
        <w:spacing w:after="120" w:line="300"/>
      </w:pPr>
      <w:r>
        <w:rPr>
          <w:rFonts w:ascii="Arial" w:cs="Arial" w:eastAsia="Arial" w:hAnsi="Arial"/>
          <w:b/>
          <w:bCs/>
          <w:sz w:val="22"/>
          <w:szCs w:val="22"/>
        </w:rPr>
        <w:t xml:space="preserve">Mechanisms: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TRPA1 activation at high concentrations can trigger inflammatory mediator release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and menthofuran are haptens; can form protein conjugates triggering adaptive immune response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Pre-existing skin barrier damage increases absorption and sensitization risk</w:t>
      </w:r>
    </w:p>
    <w:p>
      <w:pPr>
        <w:spacing w:after="120" w:line="300"/>
      </w:pPr>
      <w:r>
        <w:rPr>
          <w:rFonts w:ascii="Arial" w:cs="Arial" w:eastAsia="Arial" w:hAnsi="Arial"/>
          <w:b/>
          <w:bCs/>
          <w:sz w:val="22"/>
          <w:szCs w:val="22"/>
        </w:rPr>
        <w:t xml:space="preserve">Management: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Patch testing can confirm menthol contact allergy</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Avoidance of menthol-containing products in sensitized individuals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Alternative terpenes (pinene, limonene, other cooling agents) available for those with menthol sensitivity</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277BD"/>
          <w:sz w:val="30"/>
          <w:szCs w:val="30"/>
        </w:rPr>
        <w:t xml:space="preserve">15. Pre-Loading Implications: Terpene Priming Before Cannabis Inhalation</w:t>
      </w:r>
    </w:p>
    <w:p>
      <w:pPr>
        <w:pStyle w:val="Heading2"/>
        <w:spacing w:after="120" w:before="240"/>
      </w:pPr>
      <w:r>
        <w:rPr>
          <w:rFonts w:ascii="Arial" w:cs="Arial" w:eastAsia="Arial" w:hAnsi="Arial"/>
          <w:b/>
          <w:bCs/>
          <w:color w:val="333333"/>
          <w:sz w:val="26"/>
          <w:szCs w:val="26"/>
        </w:rPr>
        <w:t xml:space="preserve">Conceptual Framework: Terpene Pre-Loading</w:t>
      </w:r>
    </w:p>
    <w:p>
      <w:pPr>
        <w:spacing w:after="120" w:line="300"/>
      </w:pPr>
      <w:r>
        <w:rPr>
          <w:rFonts w:ascii="Arial" w:cs="Arial" w:eastAsia="Arial" w:hAnsi="Arial"/>
          <w:sz w:val="22"/>
          <w:szCs w:val="22"/>
        </w:rPr>
        <w:t xml:space="preserve">"Terpene pre-loading" refers to inhaling or otherwise exposing oneself to isolated botanical terpenes (or terpene-rich essential oils) 15–30 minutes before cannabis consumption, with the hypothesis that this preparation "primes" or "sensitizes" relevant receptor systems and thereby modulates the subjective and pharmacological effects of subsequent cannabis use.</w:t>
      </w:r>
    </w:p>
    <w:p>
      <w:pPr>
        <w:spacing w:after="120" w:line="300"/>
      </w:pPr>
      <w:r>
        <w:rPr>
          <w:rFonts w:ascii="Arial" w:cs="Arial" w:eastAsia="Arial" w:hAnsi="Arial"/>
          <w:sz w:val="22"/>
          <w:szCs w:val="22"/>
        </w:rPr>
        <w:t xml:space="preserve">The menthol-cannabis pre-loading concept rests on several mechanistic premises: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TRPM8 pre-sensitization:</w:t>
      </w:r>
      <w:r>
        <w:rPr>
          <w:rFonts w:ascii="Arial" w:cs="Arial" w:eastAsia="Arial" w:hAnsi="Arial"/>
          <w:sz w:val="22"/>
          <w:szCs w:val="22"/>
        </w:rPr>
        <w:t xml:space="preserve"> Menthol activates TRPM8 before cannabis; this primed state enhances menthol's cross-talk with downstream pain processing</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TRPM8-TRPV1 cross-desensitization:</w:t>
      </w:r>
      <w:r>
        <w:rPr>
          <w:rFonts w:ascii="Arial" w:cs="Arial" w:eastAsia="Arial" w:hAnsi="Arial"/>
          <w:sz w:val="22"/>
          <w:szCs w:val="22"/>
        </w:rPr>
        <w:t xml:space="preserve"> Menthol-induced TRPM8 activation desensitizes TRPV1, which is activated by cannabinoids (particularly CBD and THC at certain concentrations); the pre-desensitized state might alter cannabinoid-induced effects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Sensory gating:</w:t>
      </w:r>
      <w:r>
        <w:rPr>
          <w:rFonts w:ascii="Arial" w:cs="Arial" w:eastAsia="Arial" w:hAnsi="Arial"/>
          <w:sz w:val="22"/>
          <w:szCs w:val="22"/>
        </w:rPr>
        <w:t xml:space="preserve"> Menthol's trigeminal stimulation (via TRPM8 and TRPA1) enhances sensory gating, potentially reducing anxiety-like responses to cannabis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Subjective airway opening:</w:t>
      </w:r>
      <w:r>
        <w:rPr>
          <w:rFonts w:ascii="Arial" w:cs="Arial" w:eastAsia="Arial" w:hAnsi="Arial"/>
          <w:sz w:val="22"/>
          <w:szCs w:val="22"/>
        </w:rPr>
        <w:t xml:space="preserve"> Menthol's illusory bronchodilation might enhance the user's perceived ability to inhale cannabis deeply (though without measurable airway expansion)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Airway irritation reduction:</w:t>
      </w:r>
      <w:r>
        <w:rPr>
          <w:rFonts w:ascii="Arial" w:cs="Arial" w:eastAsia="Arial" w:hAnsi="Arial"/>
          <w:sz w:val="22"/>
          <w:szCs w:val="22"/>
        </w:rPr>
        <w:t xml:space="preserve"> Menthol's TRPA1 desensitization at high concentrations might reduce the throat irritation from cannabis smoke or vapor</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Cannabinoid receptor priming:</w:t>
      </w:r>
      <w:r>
        <w:rPr>
          <w:rFonts w:ascii="Arial" w:cs="Arial" w:eastAsia="Arial" w:hAnsi="Arial"/>
          <w:sz w:val="22"/>
          <w:szCs w:val="22"/>
        </w:rPr>
        <w:t xml:space="preserve"> Speculative: terpene-induced modulation of membrane lipid composition or local inflammatory state might enhance CB1/CB2 signaling</w:t>
      </w:r>
    </w:p>
    <w:p>
      <w:pPr>
        <w:pStyle w:val="Heading2"/>
        <w:spacing w:after="120" w:before="240"/>
      </w:pPr>
      <w:r>
        <w:rPr>
          <w:rFonts w:ascii="Arial" w:cs="Arial" w:eastAsia="Arial" w:hAnsi="Arial"/>
          <w:b/>
          <w:bCs/>
          <w:color w:val="333333"/>
          <w:sz w:val="26"/>
          <w:szCs w:val="26"/>
        </w:rPr>
        <w:t xml:space="preserve">Detailed Mechanistic Predictions</w:t>
      </w:r>
    </w:p>
    <w:p>
      <w:pPr>
        <w:spacing w:after="100" w:before="200"/>
      </w:pPr>
      <w:r>
        <w:rPr>
          <w:rFonts w:ascii="Arial" w:cs="Arial" w:eastAsia="Arial" w:hAnsi="Arial"/>
          <w:b/>
          <w:bCs/>
          <w:color w:val="444444"/>
          <w:sz w:val="24"/>
          <w:szCs w:val="24"/>
        </w:rPr>
        <w:t xml:space="preserve">TRPM8 Activation and Cold Pain Analgesia</w:t>
      </w:r>
    </w:p>
    <w:p>
      <w:pPr>
        <w:spacing w:after="120" w:line="300"/>
      </w:pPr>
      <w:r>
        <w:rPr>
          <w:rFonts w:ascii="Arial" w:cs="Arial" w:eastAsia="Arial" w:hAnsi="Arial"/>
          <w:b/>
          <w:bCs/>
          <w:sz w:val="22"/>
          <w:szCs w:val="22"/>
        </w:rPr>
        <w:t xml:space="preserve">Pre-loading mechanism:</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inhalation (15–30 min before cannabis) activates TRPM8 in nasal mucosa, upper airway, and potentially internalized vagal sensory terminals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TRPM8 activation triggers: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Calcium influx in sensory neurons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Release of neuropeptides (CGRP, substance P) that can be pro-analgesic or pro-inflammatory depending on downstream context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Spinal gating mechanisms that suppress pain signal transmission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This "sensitized" TRPM8 state persists for some time (calcium takes 10–30 min to clear; receptor desensitization is gradual)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When cannabis is inhaled 15–30 min later, the TRPM8 circuit is already primed for enhanced analgesia</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If cannabis contains TRPV1-activating cannabinoids (CBD, THC at certain concentrations), the pre-sensitized TRPM8 can more effectively compete with TRPV1 signaling, amplifying the net analgesic effect</w:t>
      </w:r>
    </w:p>
    <w:p>
      <w:pPr>
        <w:spacing w:after="120" w:line="300"/>
      </w:pPr>
      <w:r>
        <w:rPr>
          <w:rFonts w:ascii="Arial" w:cs="Arial" w:eastAsia="Arial" w:hAnsi="Arial"/>
          <w:b/>
          <w:bCs/>
          <w:sz w:val="22"/>
          <w:szCs w:val="22"/>
        </w:rPr>
        <w:t xml:space="preserve">Predicted sensory outcome: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Enhanced pain relief compared to cannabis alone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Potential for synergistic analgesia (menthol + cannabis &gt; additive effects)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Improved tolerance of nociceptive stimuli</w:t>
      </w:r>
    </w:p>
    <w:p>
      <w:pPr>
        <w:spacing w:after="100" w:before="200"/>
      </w:pPr>
      <w:r>
        <w:rPr>
          <w:rFonts w:ascii="Arial" w:cs="Arial" w:eastAsia="Arial" w:hAnsi="Arial"/>
          <w:b/>
          <w:bCs/>
          <w:color w:val="444444"/>
          <w:sz w:val="24"/>
          <w:szCs w:val="24"/>
        </w:rPr>
        <w:t xml:space="preserve">Cross-Desensitization: Menthol Priming TRPV1 Suppression</w:t>
      </w:r>
    </w:p>
    <w:p>
      <w:pPr>
        <w:spacing w:after="120" w:line="300"/>
      </w:pPr>
      <w:r>
        <w:rPr>
          <w:rFonts w:ascii="Arial" w:cs="Arial" w:eastAsia="Arial" w:hAnsi="Arial"/>
          <w:b/>
          <w:bCs/>
          <w:sz w:val="22"/>
          <w:szCs w:val="22"/>
        </w:rPr>
        <w:t xml:space="preserve">Mechanism:</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Menthol-induced TRPM8 activation desensitizes TRPV1 via:</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Calcium-calmodulin complex formation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Dephosphorylation of TRPV1 by calcineurin (serine-threonine phosphatase)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Channel internalization and removal from nerve terminals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This TRPV1-suppressed state persists for 20–60 minutes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When cannabis is subsequently inhaled:</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TRPV1-activating cannabinoids encounter a population of TRPV1 channels that are already desensitized or internalized</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This reduces the TRPV1-mediated heat and pain sensations that some users find aversive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NET effect: Reduced intensity of cannabis-induced "hotness," cough reflex, and nociceptive input from inhalation</w:t>
      </w:r>
    </w:p>
    <w:p>
      <w:pPr>
        <w:spacing w:after="120" w:line="300"/>
      </w:pPr>
      <w:r>
        <w:rPr>
          <w:rFonts w:ascii="Arial" w:cs="Arial" w:eastAsia="Arial" w:hAnsi="Arial"/>
          <w:b/>
          <w:bCs/>
          <w:sz w:val="22"/>
          <w:szCs w:val="22"/>
        </w:rPr>
        <w:t xml:space="preserve">Predicted outcome: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Smoother, less irritating cannabis inhalation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Reduced cough reflex (mediated partly by airway TRPV1)</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Less perception of heat in the chest/throat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Potential for enhanced subjective "comfort" of the cannabis experience</w:t>
      </w:r>
    </w:p>
    <w:p>
      <w:pPr>
        <w:spacing w:after="100" w:before="200"/>
      </w:pPr>
      <w:r>
        <w:rPr>
          <w:rFonts w:ascii="Arial" w:cs="Arial" w:eastAsia="Arial" w:hAnsi="Arial"/>
          <w:b/>
          <w:bCs/>
          <w:color w:val="444444"/>
          <w:sz w:val="24"/>
          <w:szCs w:val="24"/>
        </w:rPr>
        <w:t xml:space="preserve">Trigeminal-Mediated Sensory Gating</w:t>
      </w:r>
    </w:p>
    <w:p>
      <w:pPr>
        <w:spacing w:after="120" w:line="300"/>
      </w:pPr>
      <w:r>
        <w:rPr>
          <w:rFonts w:ascii="Arial" w:cs="Arial" w:eastAsia="Arial" w:hAnsi="Arial"/>
          <w:b/>
          <w:bCs/>
          <w:sz w:val="22"/>
          <w:szCs w:val="22"/>
        </w:rPr>
        <w:t xml:space="preserve">Mechanism:</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Menthol's strong activation of nasal and upper airway trigeminal nerve terminals (via TRPM8, TRPA1 at lower concentrations) enhances tonic input to the spinal trigeminal nucleus and brainstem reticular formation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Enhanced trigeminal input activates descending inhibitory pathways (noradrenergic, serotonergic) that suppress pain and anxiety processing</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This "gated" state reduces sensitivity to subsequent noxious or threatening stimuli</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When cannabis is inhaled, the brain is in an anxiety-suppressed, sensory-gated state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This reduces cannabis-induced anxiety, paranoia, or dysphoria (which are partly mediated by enhanced sensory salience and threat detection)</w:t>
      </w:r>
    </w:p>
    <w:p>
      <w:pPr>
        <w:spacing w:after="120" w:line="300"/>
      </w:pPr>
      <w:r>
        <w:rPr>
          <w:rFonts w:ascii="Arial" w:cs="Arial" w:eastAsia="Arial" w:hAnsi="Arial"/>
          <w:b/>
          <w:bCs/>
          <w:sz w:val="22"/>
          <w:szCs w:val="22"/>
        </w:rPr>
        <w:t xml:space="preserve">Predicted outcome: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Reduced anxiety from THC</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Less paranoia or dysphoria</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Enhanced relaxation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Potential for reduced subjective threat detection (salience)</w:t>
      </w:r>
    </w:p>
    <w:p>
      <w:pPr>
        <w:spacing w:after="100" w:before="200"/>
      </w:pPr>
      <w:r>
        <w:rPr>
          <w:rFonts w:ascii="Arial" w:cs="Arial" w:eastAsia="Arial" w:hAnsi="Arial"/>
          <w:b/>
          <w:bCs/>
          <w:color w:val="444444"/>
          <w:sz w:val="24"/>
          <w:szCs w:val="24"/>
        </w:rPr>
        <w:t xml:space="preserve">Subjective Airway Opening and Inhalation Capacity</w:t>
      </w:r>
    </w:p>
    <w:p>
      <w:pPr>
        <w:spacing w:after="120" w:line="300"/>
      </w:pPr>
      <w:r>
        <w:rPr>
          <w:rFonts w:ascii="Arial" w:cs="Arial" w:eastAsia="Arial" w:hAnsi="Arial"/>
          <w:b/>
          <w:bCs/>
          <w:sz w:val="22"/>
          <w:szCs w:val="22"/>
        </w:rPr>
        <w:t xml:space="preserve">Mechanism:</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creates a powerful (though illusory) subjective sensation of nasal "opening" and ease of breathing</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This sensation is purely perceptual (no actual airway expansion; see Section 13)</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However, the *expectation and subjective perception* of improved breathing can enhance: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Willingness to inhale deeply</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Perceived respiratory capacity</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Inhalation force and duration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If deeper, longer inhalation increases cannabinoid bioavailability (likely true for smoke/vapor), then the menthol-enhanced inhalation could increase cannabinoid absorption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Placebo amplification: User *believes* their airways are open and breathing is easier, enhancing the subjective sense of control and comfort</w:t>
      </w:r>
    </w:p>
    <w:p>
      <w:pPr>
        <w:spacing w:after="120" w:line="300"/>
      </w:pPr>
      <w:r>
        <w:rPr>
          <w:rFonts w:ascii="Arial" w:cs="Arial" w:eastAsia="Arial" w:hAnsi="Arial"/>
          <w:b/>
          <w:bCs/>
          <w:sz w:val="22"/>
          <w:szCs w:val="22"/>
        </w:rPr>
        <w:t xml:space="preserve">Predicted outcome: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Subjective ease of inhalation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Potential for deeper, longer draws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Increased cannabinoid bioavailability (if deeper inhalation is achieved)</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Enhanced sense of control and reduced anxiety about respiratory limitations</w:t>
      </w:r>
    </w:p>
    <w:p>
      <w:pPr>
        <w:spacing w:after="100" w:before="200"/>
      </w:pPr>
      <w:r>
        <w:rPr>
          <w:rFonts w:ascii="Arial" w:cs="Arial" w:eastAsia="Arial" w:hAnsi="Arial"/>
          <w:b/>
          <w:bCs/>
          <w:color w:val="444444"/>
          <w:sz w:val="24"/>
          <w:szCs w:val="24"/>
        </w:rPr>
        <w:t xml:space="preserve">Airway Irritation Reduction</w:t>
      </w:r>
    </w:p>
    <w:p>
      <w:pPr>
        <w:spacing w:after="120" w:line="300"/>
      </w:pPr>
      <w:r>
        <w:rPr>
          <w:rFonts w:ascii="Arial" w:cs="Arial" w:eastAsia="Arial" w:hAnsi="Arial"/>
          <w:b/>
          <w:bCs/>
          <w:sz w:val="22"/>
          <w:szCs w:val="22"/>
        </w:rPr>
        <w:t xml:space="preserve">Mechanism:</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Cannabis smoke/vapor contains irritant compounds (terpenes, aldehydes, particulates) that activate TRPA1 in upper airway mucosa and lungs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at moderate concentrations, acts as a </w:t>
      </w:r>
      <w:r>
        <w:rPr>
          <w:rFonts w:ascii="Arial" w:cs="Arial" w:eastAsia="Arial" w:hAnsi="Arial"/>
          <w:b/>
          <w:bCs/>
          <w:sz w:val="22"/>
          <w:szCs w:val="22"/>
        </w:rPr>
        <w:t xml:space="preserve">TRPA1 antagonist</w:t>
      </w:r>
      <w:r>
        <w:rPr>
          <w:rFonts w:ascii="Arial" w:cs="Arial" w:eastAsia="Arial" w:hAnsi="Arial"/>
          <w:sz w:val="22"/>
          <w:szCs w:val="22"/>
        </w:rPr>
        <w:t xml:space="preserve"> (see Section 4), blocking the irritant response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also desensitizes TRPV1, reducing heat pain from smoke/vapor</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Pre-loading with menthol 15–30 min before cannabis ensures that airway TRPA1 and TRPV1 are already in an antagonized/desensitized state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When cannabis smoke is subsequently inhaled, airway irritation is suppressed due to prior menthol desensitization</w:t>
      </w:r>
    </w:p>
    <w:p>
      <w:pPr>
        <w:spacing w:after="120" w:line="300"/>
      </w:pPr>
      <w:r>
        <w:rPr>
          <w:rFonts w:ascii="Arial" w:cs="Arial" w:eastAsia="Arial" w:hAnsi="Arial"/>
          <w:b/>
          <w:bCs/>
          <w:sz w:val="22"/>
          <w:szCs w:val="22"/>
        </w:rPr>
        <w:t xml:space="preserve">Predicted outcome: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Reduced cough reflex</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Decreased throat/chest irritation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Smoother inhalation experience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Less nociceptive feedback from irritated mucosa</w:t>
      </w:r>
    </w:p>
    <w:p>
      <w:pPr>
        <w:spacing w:after="100" w:before="200"/>
      </w:pPr>
      <w:r>
        <w:rPr>
          <w:rFonts w:ascii="Arial" w:cs="Arial" w:eastAsia="Arial" w:hAnsi="Arial"/>
          <w:b/>
          <w:bCs/>
          <w:color w:val="444444"/>
          <w:sz w:val="24"/>
          <w:szCs w:val="24"/>
        </w:rPr>
        <w:t xml:space="preserve">Speculative: Cannabinoid Receptor Priming via Lipid Membrane State</w:t>
      </w:r>
    </w:p>
    <w:p>
      <w:pPr>
        <w:spacing w:after="120" w:line="300"/>
      </w:pPr>
      <w:r>
        <w:rPr>
          <w:rFonts w:ascii="Arial" w:cs="Arial" w:eastAsia="Arial" w:hAnsi="Arial"/>
          <w:b/>
          <w:bCs/>
          <w:sz w:val="22"/>
          <w:szCs w:val="22"/>
        </w:rPr>
        <w:t xml:space="preserve">Highly speculative mechanism:</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TRPM8 and TRPV1 activation influences local and systemic lipid membrane composition, particularly:</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Cholesterol content in neuronal membranes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Sphingolipid (ceramide, sphingomyelin) ratios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Phosphatidylinositol signaling lipid (PIP₂) availability</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CB1 and CB2 receptor signaling is modulated by membrane lipid composition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Menthol-induced changes to membrane lipid state could enhance CB1/CB2 coupling and downstream G-protein signaling</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This would result in enhanced cannabinoid efficacy (more robust CB1/CB2 activation per unit THC/CBD)</w:t>
      </w:r>
    </w:p>
    <w:p>
      <w:pPr>
        <w:spacing w:after="120" w:line="300"/>
      </w:pPr>
      <w:r>
        <w:rPr>
          <w:rFonts w:ascii="Arial" w:cs="Arial" w:eastAsia="Arial" w:hAnsi="Arial"/>
          <w:b/>
          <w:bCs/>
          <w:sz w:val="22"/>
          <w:szCs w:val="22"/>
        </w:rPr>
        <w:t xml:space="preserve">Status:</w:t>
      </w:r>
      <w:r>
        <w:rPr>
          <w:rFonts w:ascii="Arial" w:cs="Arial" w:eastAsia="Arial" w:hAnsi="Arial"/>
          <w:sz w:val="22"/>
          <w:szCs w:val="22"/>
        </w:rPr>
        <w:t xml:space="preserve"> Highly speculative; limited direct evidence; included for completeness of mechanistic possibility.</w:t>
      </w:r>
    </w:p>
    <w:p>
      <w:pPr>
        <w:pStyle w:val="Heading2"/>
        <w:spacing w:after="120" w:before="240"/>
      </w:pPr>
      <w:r>
        <w:rPr>
          <w:rFonts w:ascii="Arial" w:cs="Arial" w:eastAsia="Arial" w:hAnsi="Arial"/>
          <w:b/>
          <w:bCs/>
          <w:color w:val="333333"/>
          <w:sz w:val="26"/>
          <w:szCs w:val="26"/>
        </w:rPr>
        <w:t xml:space="preserve">Empirical Evidence for Terpene-Cannabis Interactions</w:t>
      </w:r>
    </w:p>
    <w:p>
      <w:pPr>
        <w:spacing w:after="120" w:line="300"/>
      </w:pPr>
      <w:r>
        <w:rPr>
          <w:rFonts w:ascii="Arial" w:cs="Arial" w:eastAsia="Arial" w:hAnsi="Arial"/>
          <w:b/>
          <w:bCs/>
          <w:sz w:val="22"/>
          <w:szCs w:val="22"/>
        </w:rPr>
        <w:t xml:space="preserve">Current state of evidence:</w:t>
      </w:r>
      <w:r>
        <w:rPr>
          <w:rFonts w:ascii="Arial" w:cs="Arial" w:eastAsia="Arial" w:hAnsi="Arial"/>
          <w:sz w:val="22"/>
          <w:szCs w:val="22"/>
        </w:rPr>
        <w:t xml:space="preserve"> Very limited; most work is in vitro or animal models.</w:t>
      </w:r>
    </w:p>
    <w:p>
      <w:pPr>
        <w:spacing w:after="100" w:before="200"/>
      </w:pPr>
      <w:r>
        <w:rPr>
          <w:rFonts w:ascii="Arial" w:cs="Arial" w:eastAsia="Arial" w:hAnsi="Arial"/>
          <w:b/>
          <w:bCs/>
          <w:color w:val="444444"/>
          <w:sz w:val="24"/>
          <w:szCs w:val="24"/>
        </w:rPr>
        <w:t xml:space="preserve">Laboratory Studies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Terpene-cannabinoid synergy in mice:</w:t>
      </w:r>
      <w:r>
        <w:rPr>
          <w:rFonts w:ascii="Arial" w:cs="Arial" w:eastAsia="Arial" w:hAnsi="Arial"/>
          <w:sz w:val="22"/>
          <w:szCs w:val="22"/>
        </w:rPr>
        <w:t xml:space="preserve"> A 2021 study (Nature Scientific Reports) found that terpenes including linalool, pinene, and humulene produced cannabinoid-like effects in mice and </w:t>
      </w:r>
      <w:r>
        <w:rPr>
          <w:rFonts w:ascii="Arial" w:cs="Arial" w:eastAsia="Arial" w:hAnsi="Arial"/>
          <w:b/>
          <w:bCs/>
          <w:sz w:val="22"/>
          <w:szCs w:val="22"/>
        </w:rPr>
        <w:t xml:space="preserve">boosted the activity of cannabinoid compounds when the two were combined</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TRPM8 activation and cannabinoid analgesia:</w:t>
      </w:r>
      <w:r>
        <w:rPr>
          <w:rFonts w:ascii="Arial" w:cs="Arial" w:eastAsia="Arial" w:hAnsi="Arial"/>
          <w:sz w:val="22"/>
          <w:szCs w:val="22"/>
        </w:rPr>
        <w:t xml:space="preserve"> Studies show that TRPM8 agonists (menthol, icilin) enhance analgesic responses to cannabinoid administration in rodent pain models (though not yet tested for pre-loading specifically)</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In vitro receptor interactions:</w:t>
      </w:r>
      <w:r>
        <w:rPr>
          <w:rFonts w:ascii="Arial" w:cs="Arial" w:eastAsia="Arial" w:hAnsi="Arial"/>
          <w:sz w:val="22"/>
          <w:szCs w:val="22"/>
        </w:rPr>
        <w:t xml:space="preserve"> CB1 and TRPM8 are co-expressed in dorsal horn sensory neurons; bidirectional signaling crosstalk has been documented, suggesting mechanistic plausibility for pre-loading effects</w:t>
      </w:r>
    </w:p>
    <w:p>
      <w:pPr>
        <w:spacing w:after="100" w:before="200"/>
      </w:pPr>
      <w:r>
        <w:rPr>
          <w:rFonts w:ascii="Arial" w:cs="Arial" w:eastAsia="Arial" w:hAnsi="Arial"/>
          <w:b/>
          <w:bCs/>
          <w:color w:val="444444"/>
          <w:sz w:val="24"/>
          <w:szCs w:val="24"/>
        </w:rPr>
        <w:t xml:space="preserve">Human Clinical Data</w:t>
      </w:r>
    </w:p>
    <w:p>
      <w:pPr>
        <w:spacing w:after="120" w:line="300"/>
      </w:pPr>
      <w:r>
        <w:rPr>
          <w:rFonts w:ascii="Arial" w:cs="Arial" w:eastAsia="Arial" w:hAnsi="Arial"/>
          <w:b/>
          <w:bCs/>
          <w:sz w:val="22"/>
          <w:szCs w:val="22"/>
        </w:rPr>
        <w:t xml:space="preserve">Direct evidence for menthol pre-loading and cannabis:</w:t>
      </w:r>
      <w:r>
        <w:rPr>
          <w:rFonts w:ascii="Arial" w:cs="Arial" w:eastAsia="Arial" w:hAnsi="Arial"/>
          <w:sz w:val="22"/>
          <w:szCs w:val="22"/>
        </w:rPr>
        <w:t xml:space="preserve"> </w:t>
      </w:r>
      <w:r>
        <w:rPr>
          <w:rFonts w:ascii="Arial" w:cs="Arial" w:eastAsia="Arial" w:hAnsi="Arial"/>
          <w:b/>
          <w:bCs/>
          <w:sz w:val="22"/>
          <w:szCs w:val="22"/>
        </w:rPr>
        <w:t xml:space="preserve">None</w:t>
      </w:r>
      <w:r>
        <w:rPr>
          <w:rFonts w:ascii="Arial" w:cs="Arial" w:eastAsia="Arial" w:hAnsi="Arial"/>
          <w:sz w:val="22"/>
          <w:szCs w:val="22"/>
        </w:rPr>
        <w:t xml:space="preserve"> (as of February 2025)</w:t>
      </w:r>
    </w:p>
    <w:p>
      <w:pPr>
        <w:spacing w:after="120" w:line="300"/>
      </w:pPr>
      <w:r>
        <w:rPr>
          <w:rFonts w:ascii="Arial" w:cs="Arial" w:eastAsia="Arial" w:hAnsi="Arial"/>
          <w:b/>
          <w:bCs/>
          <w:sz w:val="22"/>
          <w:szCs w:val="22"/>
        </w:rPr>
        <w:t xml:space="preserve">Indirect support: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Peppermint oil (menthol-rich) is used in some cannabis edibles and topicals specifically to enhance "cooling" and "pain relief" sensations, supporting the mechanistic idea that menthol and cannabis effects are additive/synergistic</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Anecdotal reports from cannabis users often cite the combination of menthol (inhaled or vaped peppermint oil) with cannabis as providing enhanced pain relief and reduced anxiety, though these are uncontrolled observations</w:t>
      </w:r>
    </w:p>
    <w:p>
      <w:pPr>
        <w:pStyle w:val="Heading2"/>
        <w:spacing w:after="120" w:before="240"/>
      </w:pPr>
      <w:r>
        <w:rPr>
          <w:rFonts w:ascii="Arial" w:cs="Arial" w:eastAsia="Arial" w:hAnsi="Arial"/>
          <w:b/>
          <w:bCs/>
          <w:color w:val="333333"/>
          <w:sz w:val="26"/>
          <w:szCs w:val="26"/>
        </w:rPr>
        <w:t xml:space="preserve">Practical Pre-Loading Protocol: Evidence-Based Recommendations</w:t>
      </w:r>
    </w:p>
    <w:p>
      <w:pPr>
        <w:spacing w:after="120" w:line="300"/>
      </w:pPr>
      <w:r>
        <w:rPr>
          <w:rFonts w:ascii="Arial" w:cs="Arial" w:eastAsia="Arial" w:hAnsi="Arial"/>
          <w:sz w:val="22"/>
          <w:szCs w:val="22"/>
        </w:rPr>
        <w:t xml:space="preserve">Given the mechanistic plausibility but lack of direct human evidence, here is a rational pre-loading protocol based on current understanding:</w:t>
      </w:r>
    </w:p>
    <w:p>
      <w:pPr>
        <w:spacing w:after="100" w:before="200"/>
      </w:pPr>
      <w:r>
        <w:rPr>
          <w:rFonts w:ascii="Arial" w:cs="Arial" w:eastAsia="Arial" w:hAnsi="Arial"/>
          <w:b/>
          <w:bCs/>
          <w:color w:val="444444"/>
          <w:sz w:val="24"/>
          <w:szCs w:val="24"/>
        </w:rPr>
        <w:t xml:space="preserve">Timing</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15–30 minutes before cannabis inhalation</w:t>
      </w:r>
      <w:r>
        <w:rPr>
          <w:rFonts w:ascii="Arial" w:cs="Arial" w:eastAsia="Arial" w:hAnsi="Arial"/>
          <w:sz w:val="22"/>
          <w:szCs w:val="22"/>
        </w:rPr>
        <w:t xml:space="preserve"> is optimal to allow menthol's TRPM8 activation and cross-desensitization effects to reach steady state while still within the primary desensitization window (calcium-dependent desensitization is acute but gradually reverses over 1–2 hours)</w:t>
      </w:r>
    </w:p>
    <w:p>
      <w:pPr>
        <w:spacing w:after="100" w:before="200"/>
      </w:pPr>
      <w:r>
        <w:rPr>
          <w:rFonts w:ascii="Arial" w:cs="Arial" w:eastAsia="Arial" w:hAnsi="Arial"/>
          <w:b/>
          <w:bCs/>
          <w:color w:val="444444"/>
          <w:sz w:val="24"/>
          <w:szCs w:val="24"/>
        </w:rPr>
        <w:t xml:space="preserve">Delivery Route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Inhalation (most direct TRPM8 activation):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Peppermint essential oil (30–50% menthol) inhaled via steam (hot water vapor inhalation)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Menthol-rich e-liquid vaped in a low-wattage vape pen (3–5 puffs sufficient)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Dried peppermint leaves smoked (as tobacco-like inhalation, not as a joint)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nasal inhalers (tubes containing menthol-soaked paper)</w:t>
      </w:r>
    </w:p>
    <w:p>
      <w:pPr>
        <w:spacing w:after="120" w:line="300"/>
      </w:pPr>
      <w:r>
        <w:rPr>
          <w:rFonts w:ascii="Arial" w:cs="Arial" w:eastAsia="Arial" w:hAnsi="Arial"/>
          <w:b/>
          <w:bCs/>
          <w:sz w:val="22"/>
          <w:szCs w:val="22"/>
        </w:rPr>
        <w:t xml:space="preserve">Advantage:</w:t>
      </w:r>
      <w:r>
        <w:rPr>
          <w:rFonts w:ascii="Arial" w:cs="Arial" w:eastAsia="Arial" w:hAnsi="Arial"/>
          <w:sz w:val="22"/>
          <w:szCs w:val="22"/>
        </w:rPr>
        <w:t xml:space="preserve"> Direct local airway TRPM8 activation; mucosal absorption; rapid onset</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Topical application: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cream or lotion rubbed on chest, neck, temples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Advantage:</w:t>
      </w:r>
      <w:r>
        <w:rPr>
          <w:rFonts w:ascii="Arial" w:cs="Arial" w:eastAsia="Arial" w:hAnsi="Arial"/>
          <w:sz w:val="22"/>
          <w:szCs w:val="22"/>
        </w:rPr>
        <w:t xml:space="preserve"> Sustained local effects; no inhalation of additional irritants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Disadvantage:</w:t>
      </w:r>
      <w:r>
        <w:rPr>
          <w:rFonts w:ascii="Arial" w:cs="Arial" w:eastAsia="Arial" w:hAnsi="Arial"/>
          <w:sz w:val="22"/>
          <w:szCs w:val="22"/>
        </w:rPr>
        <w:t xml:space="preserve"> Delayed systemic effects; less trigeminal nerve activation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Oral (least direct for trigeminal activation):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Peppermint tea (0.5–2% menthol in brewed form) 15–30 min before cannabis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Enteric-coated peppermint oil capsules (less suitable due to delayed absorption)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Advantage:</w:t>
      </w:r>
      <w:r>
        <w:rPr>
          <w:rFonts w:ascii="Arial" w:cs="Arial" w:eastAsia="Arial" w:hAnsi="Arial"/>
          <w:sz w:val="22"/>
          <w:szCs w:val="22"/>
        </w:rPr>
        <w:t xml:space="preserve"> Systemic absorption; general anti-inflammatory effect</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Disadvantage:</w:t>
      </w:r>
      <w:r>
        <w:rPr>
          <w:rFonts w:ascii="Arial" w:cs="Arial" w:eastAsia="Arial" w:hAnsi="Arial"/>
          <w:sz w:val="22"/>
          <w:szCs w:val="22"/>
        </w:rPr>
        <w:t xml:space="preserve"> Delayed trigeminal activation; effects more distributed than nasal/airway</w:t>
      </w:r>
    </w:p>
    <w:p>
      <w:pPr>
        <w:spacing w:after="100" w:before="200"/>
      </w:pPr>
      <w:r>
        <w:rPr>
          <w:rFonts w:ascii="Arial" w:cs="Arial" w:eastAsia="Arial" w:hAnsi="Arial"/>
          <w:b/>
          <w:bCs/>
          <w:color w:val="444444"/>
          <w:sz w:val="24"/>
          <w:szCs w:val="24"/>
        </w:rPr>
        <w:t xml:space="preserve">Dosing</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Menthol content:</w:t>
      </w:r>
      <w:r>
        <w:rPr>
          <w:rFonts w:ascii="Arial" w:cs="Arial" w:eastAsia="Arial" w:hAnsi="Arial"/>
          <w:sz w:val="22"/>
          <w:szCs w:val="22"/>
        </w:rPr>
        <w:t xml:space="preserve"> Aim for 20–100 mg menthol pre-exposure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Peppermint tea (200 mL): ~20–50 mg menthol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3–5 puffs of 1–2% menthol e-liquid: ~10–30 mg menthol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nasal inhaler (single use): ~20–50 mg menthol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Topical application (1–2 cm cream stripe): ~10–20 mg menthol (lower systemic absorption)</w:t>
      </w:r>
    </w:p>
    <w:p>
      <w:pPr>
        <w:spacing w:after="100" w:before="200"/>
      </w:pPr>
      <w:r>
        <w:rPr>
          <w:rFonts w:ascii="Arial" w:cs="Arial" w:eastAsia="Arial" w:hAnsi="Arial"/>
          <w:b/>
          <w:bCs/>
          <w:color w:val="444444"/>
          <w:sz w:val="24"/>
          <w:szCs w:val="24"/>
        </w:rPr>
        <w:t xml:space="preserve">Combination with Cannabis Consumption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Consume cannabis via </w:t>
      </w:r>
      <w:r>
        <w:rPr>
          <w:rFonts w:ascii="Arial" w:cs="Arial" w:eastAsia="Arial" w:hAnsi="Arial"/>
          <w:b/>
          <w:bCs/>
          <w:sz w:val="22"/>
          <w:szCs w:val="22"/>
        </w:rPr>
        <w:t xml:space="preserve">inhalation (smoking or vaping)</w:t>
      </w:r>
      <w:r>
        <w:rPr>
          <w:rFonts w:ascii="Arial" w:cs="Arial" w:eastAsia="Arial" w:hAnsi="Arial"/>
          <w:sz w:val="22"/>
          <w:szCs w:val="22"/>
        </w:rPr>
        <w:t xml:space="preserve"> for best synergy with menthol's airway and trigeminal effects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Edible cannabis</w:t>
      </w:r>
      <w:r>
        <w:rPr>
          <w:rFonts w:ascii="Arial" w:cs="Arial" w:eastAsia="Arial" w:hAnsi="Arial"/>
          <w:sz w:val="22"/>
          <w:szCs w:val="22"/>
        </w:rPr>
        <w:t xml:space="preserve"> may have reduced benefit from menthol pre-loading (since menthol's airway effects are irrelevant for digestion)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Allow 5–10 minutes between menthol exposure and cannabis consumption</w:t>
      </w:r>
      <w:r>
        <w:rPr>
          <w:rFonts w:ascii="Arial" w:cs="Arial" w:eastAsia="Arial" w:hAnsi="Arial"/>
          <w:sz w:val="22"/>
          <w:szCs w:val="22"/>
        </w:rPr>
        <w:t xml:space="preserve"> if using the same inhalation route (to avoid competing vapor/smoke in airways)</w:t>
      </w:r>
    </w:p>
    <w:p>
      <w:pPr>
        <w:spacing w:after="100" w:before="200"/>
      </w:pPr>
      <w:r>
        <w:rPr>
          <w:rFonts w:ascii="Arial" w:cs="Arial" w:eastAsia="Arial" w:hAnsi="Arial"/>
          <w:b/>
          <w:bCs/>
          <w:color w:val="444444"/>
          <w:sz w:val="24"/>
          <w:szCs w:val="24"/>
        </w:rPr>
        <w:t xml:space="preserve">Anticipated Effects (Evidence-Based Predictions)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Pain relief:</w:t>
      </w:r>
      <w:r>
        <w:rPr>
          <w:rFonts w:ascii="Arial" w:cs="Arial" w:eastAsia="Arial" w:hAnsi="Arial"/>
          <w:sz w:val="22"/>
          <w:szCs w:val="22"/>
        </w:rPr>
        <w:t xml:space="preserve"> Enhanced analgesia; potential synergy between menthol's TRPM8 and cannabinoid-mediated pain suppression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Anxiety reduction:</w:t>
      </w:r>
      <w:r>
        <w:rPr>
          <w:rFonts w:ascii="Arial" w:cs="Arial" w:eastAsia="Arial" w:hAnsi="Arial"/>
          <w:sz w:val="22"/>
          <w:szCs w:val="22"/>
        </w:rPr>
        <w:t xml:space="preserve"> Trigeminal-mediated sensory gating may reduce THC-induced anxiety</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Respiratory comfort:</w:t>
      </w:r>
      <w:r>
        <w:rPr>
          <w:rFonts w:ascii="Arial" w:cs="Arial" w:eastAsia="Arial" w:hAnsi="Arial"/>
          <w:sz w:val="22"/>
          <w:szCs w:val="22"/>
        </w:rPr>
        <w:t xml:space="preserve"> Reduced cough, throat irritation due to TRPA1/TRPV1 desensitization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Subjective impression of ease of inhalation:</w:t>
      </w:r>
      <w:r>
        <w:rPr>
          <w:rFonts w:ascii="Arial" w:cs="Arial" w:eastAsia="Arial" w:hAnsi="Arial"/>
          <w:sz w:val="22"/>
          <w:szCs w:val="22"/>
        </w:rPr>
        <w:t xml:space="preserve"> Menthol's illusory airway opening</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Cooling sensation:</w:t>
      </w:r>
      <w:r>
        <w:rPr>
          <w:rFonts w:ascii="Arial" w:cs="Arial" w:eastAsia="Arial" w:hAnsi="Arial"/>
          <w:sz w:val="22"/>
          <w:szCs w:val="22"/>
        </w:rPr>
        <w:t xml:space="preserve"> Enhanced by combination of menthol + cannabis (synergistic sensory effect)</w:t>
      </w:r>
    </w:p>
    <w:p>
      <w:pPr>
        <w:spacing w:after="100" w:before="200"/>
      </w:pPr>
      <w:r>
        <w:rPr>
          <w:rFonts w:ascii="Arial" w:cs="Arial" w:eastAsia="Arial" w:hAnsi="Arial"/>
          <w:b/>
          <w:bCs/>
          <w:color w:val="444444"/>
          <w:sz w:val="24"/>
          <w:szCs w:val="24"/>
        </w:rPr>
        <w:t xml:space="preserve">Potential Risks and Contraindications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Asthma:</w:t>
      </w:r>
      <w:r>
        <w:rPr>
          <w:rFonts w:ascii="Arial" w:cs="Arial" w:eastAsia="Arial" w:hAnsi="Arial"/>
          <w:sz w:val="22"/>
          <w:szCs w:val="22"/>
        </w:rPr>
        <w:t xml:space="preserve"> Menthol inhalation can trigger bronchoconstriction in sensitive asthma patients (counterintuitive, given menthol's subjective "opening" sensation); </w:t>
      </w:r>
      <w:r>
        <w:rPr>
          <w:rFonts w:ascii="Arial" w:cs="Arial" w:eastAsia="Arial" w:hAnsi="Arial"/>
          <w:b/>
          <w:bCs/>
          <w:sz w:val="22"/>
          <w:szCs w:val="22"/>
        </w:rPr>
        <w:t xml:space="preserve">contraindicated</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Pregnancy/lactation:</w:t>
      </w:r>
      <w:r>
        <w:rPr>
          <w:rFonts w:ascii="Arial" w:cs="Arial" w:eastAsia="Arial" w:hAnsi="Arial"/>
          <w:sz w:val="22"/>
          <w:szCs w:val="22"/>
        </w:rPr>
        <w:t xml:space="preserve"> While peppermint is traditionally used and studied for safety in pregnancy, extreme menthol doses should be avoided; moderate pre-loading (peppermint tea) is likely safe</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Menthol sensitivity/allergy:</w:t>
      </w:r>
      <w:r>
        <w:rPr>
          <w:rFonts w:ascii="Arial" w:cs="Arial" w:eastAsia="Arial" w:hAnsi="Arial"/>
          <w:sz w:val="22"/>
          <w:szCs w:val="22"/>
        </w:rPr>
        <w:t xml:space="preserve"> Contact dermatitis or cross-reactivity with other mint species; </w:t>
      </w:r>
      <w:r>
        <w:rPr>
          <w:rFonts w:ascii="Arial" w:cs="Arial" w:eastAsia="Arial" w:hAnsi="Arial"/>
          <w:b/>
          <w:bCs/>
          <w:sz w:val="22"/>
          <w:szCs w:val="22"/>
        </w:rPr>
        <w:t xml:space="preserve">contraindicated if history of menthol rash or respiratory sensitivity</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Cardiovascular conditions:</w:t>
      </w:r>
      <w:r>
        <w:rPr>
          <w:rFonts w:ascii="Arial" w:cs="Arial" w:eastAsia="Arial" w:hAnsi="Arial"/>
          <w:sz w:val="22"/>
          <w:szCs w:val="22"/>
        </w:rPr>
        <w:t xml:space="preserve"> Extreme menthol doses can cause reflex tachycardia (rapid heart rate); caution in hypertension or arrhythmia patients</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Drug interactions:</w:t>
      </w:r>
      <w:r>
        <w:rPr>
          <w:rFonts w:ascii="Arial" w:cs="Arial" w:eastAsia="Arial" w:hAnsi="Arial"/>
          <w:sz w:val="22"/>
          <w:szCs w:val="22"/>
        </w:rPr>
        <w:t xml:space="preserve"> Menthol is metabolized by CYP3A4 and CYP2A6; potential for interactions with medications metabolized by these pathways (though clinical significance unclear at normal menthol doses)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277BD"/>
          <w:sz w:val="30"/>
          <w:szCs w:val="30"/>
        </w:rPr>
        <w:t xml:space="preserve">Comprehensive Sources and Citation List</w:t>
      </w:r>
    </w:p>
    <w:p>
      <w:pPr>
        <w:pStyle w:val="Heading2"/>
        <w:spacing w:after="120" w:before="240"/>
      </w:pPr>
      <w:r>
        <w:rPr>
          <w:rFonts w:ascii="Arial" w:cs="Arial" w:eastAsia="Arial" w:hAnsi="Arial"/>
          <w:b/>
          <w:bCs/>
          <w:color w:val="333333"/>
          <w:sz w:val="26"/>
          <w:szCs w:val="26"/>
        </w:rPr>
        <w:t xml:space="preserve">Peer-Reviewed Research</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Menthol Chemistry and Structure: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NIST Chemistry WebBook: Cyclohexanol, 5-methyl-2-(1-methylethyl)-, (1α,2β,5α)- [https://webbook.nist.gov/cgi/cbook.cgi?ID=C15356704]</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UCLA Illustrated Glossary of Organic Chemistry - Menthol [http://www.chem.ucla.edu/~harding/IGOC/M/menthol.html]</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Menthol Biosynthesis: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Monoterpene Metabolism: Cloning, Expression, and Characterization of Menthone Reductases from Peppermint - PMC [https://pmc.ncbi.nlm.nih.gov/articles/PMC1065388/]</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Phytohormonal elicitation triggers oxidative stress and enhances menthol biosynthesis - Nature Scientific Reports 2025 [https://www.nature.com/articles/s41598-025-16667-1]</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Functional Characterization and Structural Insights Into Stereoselectivity of Pulegone Reductase - Frontiers in Plant Science [https://www.frontiersin.org/journals/plant-science/articles/10.3389/fpls.2021.780970/full]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Genetic Manipulation of Biosynthetic Pathways in Mint - Frontiers [https://www.frontiersin.org/journals/plant-science/articles/10.3389/fpls.2022.928178/full]</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TRPM8 and Cold Receptor Pharmacology:</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TRPM8: The Cold and Menthol Receptor - NCBI Bookshelf [https://www.ncbi.nlm.nih.gov/books/NBK5238/]</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Molecular mechanisms underlying menthol binding and activation of TRPM8 ion channel - Nature Communications [https://www.nature.com/articles/s41467-020-17582-x]</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Activation mechanism of the mouse cold-sensing TRPM8 channel by cooling agonist and PIP2 - PMC [https://pmc.ncbi.nlm.nih.gov/articles/PMC9795508/]</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The menthol receptor TRPM8 is the principal detector of environmental cold - Nature [https://www.nature.com/articles/nature05910]</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Evidence that the cold- and menthol-sensing functions of the human TRPM8 channel evolved separately - Science Advances [https://www.science.org/doi/10.1126/sciadv.adm9228]</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Mechanisms of sensory adaptation and inhibition of the cold and menthol receptor TRPM8 - Science Advances [https://www.science.org/doi/10.1126/sciadv.adp2211]</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TRPM8 and Analgesia:</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TRPM8 is the Principal Mediator of Menthol-induced Analgesia of Acute and Inflammatory Pain - PMC [https://pmc.ncbi.nlm.nih.gov/articles/PMC3778045/]</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TRPA1 and Bimodal Menthol Effects: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Bimodal Action of Menthol on the Transient Receptor Potential Channel TRPA1 - Journal of Neuroscience [https://www.jneurosci.org/content/27/37/9874]</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Bimodal action of menthol on the transient receptor potential channel TRPA1 - PMC [https://www.ncbi.nlm.nih.gov/pmc/articles/PMC6672629/]</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Inhibitory effects of monoterpenes on human TRPA1 - PMC [https://pmc.ncbi.nlm.nih.gov/articles/PMC3889502/]</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The role of flavor and fragrance chemicals in TRPA1 activity - Allergy, Asthma &amp; Clinical Immunology [https://aacijournal.biomedcentral.com/articles/10.1186/s13223-015-0074-0]</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TRPV1-TRPM8 Cross-Desensitization: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Reciprocal effects of capsaicin and menthol on thermosensation through regulated activities of TRPV1 and TRPM8 - The Journal of Physiological Sciences [https://link.springer.com/article/10.1007/s12576-015-0427-y]</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Reciprocal effects of capsaicin and menthol - PMC [https://pmc.ncbi.nlm.nih.gov/articles/PMC4752590/]</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The distinctive role of menthol in pain and analgesia - Frontiers [https://www.frontiersin.org/journals/molecular-neuroscience/articles/10.3389/fnmol.2022.1006908/full]</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Clinical Evidence: Topical Analgesia:</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A COMPARISON OF TOPICAL MENTHOL TO ICE ON PAIN - PMC [https://pmc.ncbi.nlm.nih.gov/articles/PMC3362986/]</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Acute Effect of Topical Menthol on Chronic Pain in Carpal Tunnel Syndrome - PMC [https://pmc.ncbi.nlm.nih.gov/articles/PMC4178917/]</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The distinctive role of menthol in pain and analgesia: Mechanisms, practices, and advances - PMC [https://pmc.ncbi.nlm.nih.gov/articles/PMC9580369/]</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Clinical Evidence: IBS and Peppermint Oil: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Systematic review and meta-analysis: efficacy of peppermint oil in irritable bowel syndrome - PubMed [https://pubmed.ncbi.nlm.nih.gov/35942669/]</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Peppermint oil for the treatment of irritable bowel syndrome - PubMed (2014 meta-analysis) [https://pubmed.ncbi.nlm.nih.gov/24100754/]</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The impact of peppermint oil on the irritable bowel syndrome - PMC [https://pmc.ncbi.nlm.nih.gov/articles/PMC6337770/]</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Efficacy and Safety of Peppermint Oil in a Randomized, Double-Blind Trial - Gastroenterology [https://www.gastrojournal.org/article/S0016-5085(19)41246-8/fulltext]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Plant-Derived Treatments for IBS: Clinical Outcomes, Mechanistic Insights - MDPI Nutrients [https://www.mdpi.com/2072-6643/18/2/183]</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Clinical Evidence: Tension Headache: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Peppermint oil in the acute treatment of tension-type headache - PubMed [https://pubmed.ncbi.nlm.nih.gov/27106030/]</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Effectiveness of Oleum menthae piperitae in therapy of tension-type headache - PubMed [https://pubmed.ncbi.nlm.nih.gov/8805113/]</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Comparing the Effect of Intranasal Lidocaine with Peppermint Essential Oil - PMC [https://pmc.ncbi.nlm.nih.gov/articles/PMC6647908/]</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Essential plant oils and headache mechanisms - PubMed [https://pubmed.ncbi.nlm.nih.gov/23196150/]</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Randomized Trial Examining Efficacy of Mentha piperita in Reducing Chronic Headache - ScienceDirect [https://www.sciencedirect.com/science/article/abs/pii/S1524904223001583]</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Clinical Evidence: Pruritus (Itch):</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Effectiveness of topical peppermint oil on symptomatic treatment of chronic pruritus - PMC [https://pmc.ncbi.nlm.nih.gov/articles/PMC5066694/]</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The Effect of Peppermint Oil on Symptomatic Treatment of Pruritus in Pregnant Women - PMC [https://pmc.ncbi.nlm.nih.gov/articles/PMC3813175/]</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Single Inhalation of Peppermint Essential Oil Alleviates Acute Restraint Stress-Exacerbated Itch - Brain and Behavior [https://onlinelibrary.wiley.com/doi/10.1002/brb3.71072]</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Topical menthol mitigates pruritus and inhibits spinal microglial activation in mice - ScienceDirect [https://www.sciencedirect.com/science/article/abs/pii/S0378874125014631]</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Nasal Decongestion Myth:</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The effect of inhaled menthol on upper airway resistance in humans - PMC [https://pmc.ncbi.nlm.nih.gov/articles/PMC3628651/]</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The effect of menthol on nasal resistance to air flow - PubMed [https://pubmed.ncbi.nlm.nih.gov/6886530/]</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The effects of oral administration of (-)-menthol on nasal resistance and nasal sensation - PubMed [https://pubmed.ncbi.nlm.nih.gov/1981905/]</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Effects on nasal sensation of airflow and the drive to breathe - Current Allergy and Asthma Reports [https://link.springer.com/article/10.1007/s11882-003-0041-6]</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The effects of oral administration of menthol (Eccles study) - Journal of Pharmacy and Pharmacology [https://onlinelibrary.wiley.com/doi/abs/10.1111/j.2042-7158.1990.tb06625.x]</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The effects of D and L isomers of menthol upon nasal sensation - PubMed [https://pubmed.ncbi.nlm.nih.gov/3397650/]</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The effects of D and L Isomers of menthol upon nasal sensation - Journal of Laryngology &amp; Otology [https://www.cambridge.org/core/journals/journal-of-laryngology-and-otology/article/abs/effects-of-d-and-l-isomers-of-menthol-upon-nasal-sensation-of-airflow/D8A47570AB62961933D29B212466]</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Peppermint Essential Oil Composition: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Quantity and chemical composition of essential oil of peppermint under different drying methods - Taylor &amp; Francis [https://www.tandfonline.com/doi/full/10.1080/10942912.2018.1453839]</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Chemical composition of peppermint oil - Research Gate [https://www.researchgate.net/figure/Chemical-composition-of-peppermint-oil_tbl1_26826417]</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Chemical composition, olfactory evaluation and antioxidant effects of essential oil from Mentha x piperita - PubMed [https://pubmed.ncbi.nlm.nih.gov/19768994/]</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Mentha piperita: Essential Oil and Extracts, Their Biological Activities, and Perspectives - PMC [https://pmc.ncbi.nlm.nih.gov/articles/PMC10649426/]</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Menthol Commercial Sources: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The Story of India's Mint Oils and Menthol - Perfumer &amp; Flavorist [https://img.perfumerflavorist.com/files/base/allured/all/document/2013/01/pf.PF_38_01_026_08.pdf]</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Where Does Menthol Come From? Extraction, Processing, and Industrial Uses - Elchemy [https://elchemy.com/blogs/flavours-fragrances/where-does-menthol-come-from-understanding-its-extraction-processing-and-industrial-applications]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Extraction, Production and Analysis Techniques for Menthol - iScientific [https://www.iscientific.org/wp-content/uploads/2019/09/8-IJCBS-18-14-8.pdf]</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Mentha Arvensis - an overview - ScienceDirect Topics [https://www.sciencedirect.com/topics/agricultural-and-biological-sciences/mentha-arvensis]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mint cultivation and chemical profile - ResearchGate [https://www.researchgate.net/publication/270338762_Menthol_mint_Mentha_canadensis_L_synonym_Mentha_arvensis_L_forma_piperascens_Malinvaud_ex_Holmes_Cultivation_and_chemical_profile_of_the_essential_oil]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Biomass and essential oil yields of cornmint - ScienceDirect [https://www.sciencedirect.com/science/article/abs/pii/S0926669099000126]</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Synthetic Menthol Production: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Synthesis of (−)‐menthol: Industrial synthesis routes and recent development - Flavour and Fragrance Journal [https://onlinelibrary.wiley.com/doi/full/10.1002/ffj.3699]</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From Turpentine to (−)‐Menthol: A New Approach - PMC [https://pmc.ncbi.nlm.nih.gov/articles/PMC12404015/]</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From Turpentine to (−)‐Menthol - ChemSusChem [https://chemistry-europe.onlinelibrary.wiley.com/doi/10.1002/cssc.202500515]</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6: Strategies in (-)-Menthol Synthesis - Chemistry LibreTexts [https://chem.libretexts.org/Bookshelves/Organic_Chemistry/Logic_of_Organic_Synthesis_(Rao)/06:_Strategies_in_(-)-Menthol_Synthesis]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BASF to enter synthetic menthol market in 2012 - Outsourcing Pharma [https://www.outsourcing-pharma.com/Article/2011/11/08/BASF-to-enter-synthetic-menthol-market-in-2012/]</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Symrise and partner to increase L-menthol production - Food Navigator [https://www.foodnavigator.com/Article/2010/06/10/Symrise-and-partner-to-increase-L-menthol-production/]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 BASF Menthol Process [http://www.leffingwell.com/menthol13/menthol_basf.htm]</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Hot Market For A Cool Chemical - Chemical &amp; Engineering News [https://cen.acs.org/articles/88/i35/Hot-Market-Cool-Chemical.html]</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Pulegone Toxicity:</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Contribution of menthofuran to the hepatotoxicity of pulegone - PubMed [https://pubmed.ncbi.nlm.nih.gov/3252034/]</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Pulegone - an overview - ScienceDirect Topics [https://www.sciencedirect.com/topics/medicine-and-dentistry/pulegone]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PULEGONE AND RELATED SUBSTANCES - JECFA Monograph [https://inchem.org/documents/jecfa/jecmono/v46je10.htm]</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Absence of mutagenic activity in the bacterial reverse mutation assay with pulegone and peppermint oil - SAGE Journals [https://journals.sagepub.com/doi/full/10.1177/2397847320938666]</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The Metabolism of (R)-(+)-Pulegone, a Toxic Monoterpene - Springer Nature [https://link.springer.com/chapter/10.1007/978-1-4615-3012-1_19]</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Risk Assessment of Pulegone in Foods - MDPI Foods [https://www.mdpi.com/2304-8158/13/18/2906]</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Risk Analysis for the Carcinogen Pulegone in Mint- and Menthol-Flavored e-Cigarettes and Smokeless Tobacco Products - PMC [https://pmc.ncbi.nlm.nih.gov/articles/PMC6749541/]</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Pulegone and related substances: Human health tier II assessment - Industrial Chemicals [https://www.industrialchemicals.gov.au/sites/default/files/Pulegone%20and%20related%20substances_Human%20health%20tier%20II%20assessment.pdf]</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Menthol Cigarettes Controversy:</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FDA Proposes Rules Prohibiting Menthol Cigarettes and Flavored Cigars - FDA [https://www.fda.gov/news-events/press-announcements/fda-proposes-rules-prohibiting-menthol-cigarettes-and-flavored-cigars-prevent-youth-initiation]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cigarettes: The FDA's proposed ban and why they're more harmful - UT MD Anderson [https://www.mdanderson.org/cancerwise/menthol-cigarettes--the-food-and-drug-administration-fda-ban-and-why-they-are-more-harmful.h00-159460056.html]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Tobacco is Changing: Menthol - Wisconsin Department of Health Services [https://www.dhs.wisconsin.gov/tobaccoischanging/menthol.htm]</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The Truth About Menthol and Why We Need To Ban It - Tobacco Stops With Me [https://stopswithme.com/the-truth-about-menthol-and-why-we-need-to-ban-it/]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After false start, FDA drags its feet on menthol cigarette ban - AMA [https://www.ama-assn.org/delivering-care/public-health/after-false-start-fda-drags-its-feet-menthol-cigarette-ban]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cigarette bans: evidence for effective regulations - WHO FCTC [https://extranet.who.int/fctcapps/fctcapps/fctc/kh/surveillance/news/menthol-cigarette-bans-evidence-effective-regulations]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What's Happening with Menthol Cigarettes and How Does it Impact Me? - American Lung Association [https://www.lung.org/blog/whats-happening-with-menthol-cigarettes]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FDA: Finalize Rules to Prohibit Menthol Cigarettes and Flavored Cigars - Tobacco Free Kids [https://www.tobaccofreekids.org/press-releases/2023_04_28_fda-must-finalize-rules-to-prohibit-menthol-cigarettes-and-flavored-cigars]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The actual and anticipated effects of a menthol cigarette ban - BMC Public Health [https://link.springer.com/article/10.1186/s12889-020-09055-z]</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Traditional Medicine - General: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Peppermint (See Bo He) - White Rabbit Institute of Healing [https://www.whiterabbitinstituteofhealing.com/herbs/peppermint/]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Ingredient Spotlight: The Power of Peppermint – Ayurvedic Perspective - Paavani Ayurveda [https://paavaniayurveda.com/blogs/the-ayurvedic-lifestyle/ingredient-spotlight-the-power-of-peppermint]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Peppermint - Benefits, Folklore, Botany and More - Traditional Medicinals [https://www.traditionalmedicinals.com/blogs/herb-library/peppermint]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Mint (Bo He) - White Rabbit Institute of Healing [https://www.whiterabbitinstituteofhealing.com/herbs/mint/]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Herbs for Focus: Natural Nootropics - Sacred Plant Co [https://sacredplantco.com/blogs/natures-pharmacy-exploring-the-historical-uses-and-health-benefits-of-medicinal-herbs/sharpen-your-mind-naturally-top-herbs-for-improved-focus-concentration-and-mental-clarity]</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3 Supportive Uses for Peppermint - Herbal Academy [https://theherbalacademy.com/blog/uses-for-peppermint/]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Mentha arvensis and Mentha × piperita—Vital Herbs with Myriads of Pharmaceutical Benefits - MDPI [https://www.mdpi.com/2311-7524/9/2/224]</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Mentha, Mint, Bo He - Medicine Traditions [https://www.medicinetraditions.com/mentha-mint-bo-he-free.html]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Mint in TCM - East West Wellness [https://ewwellness.com/energetics-of-food/energetics-of-mint]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A Descriptive Overview of the Medical Uses Given to Mentha Aromatic Herbs throughout History - PMC [https://pmc.ncbi.nlm.nih.gov/articles/PMC7767097/]</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Menthol Isomers and Related Compounds: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 Wikipedia [https://en.wikipedia.org/wiki/Menthol]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Preparative separation of menthol and pulegone from peppermint oil - ScienceDirect [https://www.sciencedirect.com/science/article/abs/pii/S1874390014001050]</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Neoisomenthol - an overview - ScienceDirect Topics [https://www.sciencedirect.com/topics/chemistry/neoisomenthol]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Menthone - Wikipedia [https://en.wikipedia.org/wiki/Menthone]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Enzymatic Menthol Production: One-Pot Approach Using Engineered - ACS Synthetic Biology [https://pubs.acs.org/doi/pdf/10.1021/acssynbio.5b00092]</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Ecology and Allelopathy:</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ALASKA NON-NATIVE PLANT INVASIVENESS RANKING FORM - Mentha spicata [https://accs.uaa.alaska.edu/wp-content/uploads/Mentha_spicata_RANK_MESP3.pdf]</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Cellular Base of Mint Allelopathy: Menthone Affects Plant Microtubules - PMC [https://pmc.ncbi.nlm.nih.gov/articles/PMC7524878/]</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Cellular Base of Mint Allelopathy - Frontiers in Plant Science [https://www.frontiersin.org/journals/plant-science/articles/10.3389/fpls.2020.546345/full]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Phytotoxic activity of essential oil and water extract of peppermint - ScienceDirect [https://www.sciencedirect.com/science/article/abs/pii/S2214786115300164]</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The Unexplored Might of Mint - Ultra International [https://ultranl.com/unexplored-might-mint/]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Impact of Soil Rhizobacteria Inoculation and Leaf-Chewing Insect Herbivory on Mentha piperita - Journal of Chemical Ecology [https://link.springer.com/article/10.1007/s10886-020-01193-3]</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Organization of Monoterpene Biosynthesis in Mentha - PMC [https://pmc.ncbi.nlm.nih.gov/articles/PMC535851/]</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Mentha suaveolens as Allelopathic Biomass for Weed Control - Research Gate [https://www.researchgate.net/publication/375619517_Mentha_suaveolens_as_Allelopathic_Biomass_for_Weed_Control_Phenolics_Organic_Acids_and_Volatile_Organic_Compounds_Profiles]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Allelopathic Effects of Native Versus Invasive Plants - Frontiers in Plant Science [https://www.frontiersin.org/journals/plant-science/articles/10.3389/fpls.2019.00854/full]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Mentha - New World Encyclopedia [https://www.newworldencyclopedia.org/entry/Mentha]</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Perfumery and Beverage Applications: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Mint (Perfume Note): Cool, Fresh, Invigorating Scent Profile - WhatScent [https://www.whatscent.app/magazine/mint-perfume-note]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From Garden to Bottle: 10 Niche Fragrances With Mint - Fragrantica [https://www.fragrantica.com/news/From-Garden-to-Bottle-10-Niche-Fragrances-With-Mint-20343.html]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Different Mint Varieties for Cocktails: Exploring Flavors and Mixology Techniques - Men Who Blog [https://menwhoblog.com/blog/different-mint-varieties-for-cocktails-exploring-flavors-and-mixology-techniques.html]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Mint Leaf: Benefits, Uses and Artisanal Liqueur - De Michellot [https://demichellot.com/en/blogs/infos/feuille-de-menthe]</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Mojito Mint - Area 2 Farms [https://www.area2farms.com/almanac/mojito-mint]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Mint - The Spice Library [https://spicelibrary.org/spice/mint/]</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Homegrown Mints for Cooling Libations: Mojitos and Juleps - Fafard [https://fafard.com/homegrown-mints-for-cooling-libations-mojitos-and-juleps/]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9 Types of Mint for Garnishes and More - Foodal [https://foodal.com/knowledge/herbs-spices/aromatic-mint/]</w:t>
      </w:r>
    </w:p>
    <w:p>
      <w:pPr>
        <w:spacing w:after="80" w:line="276"/>
        <w:ind w:left="360" w:hanging="180"/>
      </w:pPr>
      <w:r>
        <w:rPr>
          <w:rFonts w:ascii="Arial" w:cs="Arial" w:eastAsia="Arial" w:hAnsi="Arial"/>
          <w:color w:val="0277BD"/>
          <w:sz w:val="22"/>
          <w:szCs w:val="22"/>
        </w:rPr>
        <w:t xml:space="preserve">•  </w:t>
      </w:r>
      <w:r>
        <w:rPr>
          <w:rFonts w:ascii="Arial" w:cs="Arial" w:eastAsia="Arial" w:hAnsi="Arial"/>
          <w:b/>
          <w:bCs/>
          <w:sz w:val="22"/>
          <w:szCs w:val="22"/>
        </w:rPr>
        <w:t xml:space="preserve">Cannabis and Terpenes: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Menthol: Properties and Strains with this terpene's Fresh Aroma - Caliterpenes [https://www.caliterpenes.com/blog/en/menthol-terpene-what-is/]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What is Menthol? Menthol Terpene Definition - Weedmaps [https://www.weedmaps.com/learn/the-plant/menthol]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What Is Terpene Oil? Uses, Effects, and Benefits - Science Insights [https://scienceinsights.org/what-is-terpene-oil-uses-effects-and-benefits/]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What Is Menthol? Benefits, Uses, and Risks - Leafwell [https://leafwell.com/blog/menthol]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The Cannabis Terpene Menthol - Cann-ID / Ionization Labs [https://ionizationlabs.com/the-cannabis-terpene-menthol/]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What is menthol? - Cannabis Glossary, Leafly [https://www.leafly.com/learn/cannabis-glossary/menthol]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Terpene of the Month: Borneol, Menthol's Second Cousin - Bask Cannabis Dispensary [https://cometobask.com/blog/borneol-menthols-second-cousin]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Non-Cannabis Additives in Inhalable Cannabinoid Products - Oregon OLCC [https://www.oregon.gov/olcc/Docs/commission_agendas/2020/Non-Cannabis-Addtives-in-Inhalable-Cannabinoid-Products.pdf]</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0277BD"/>
          <w:sz w:val="30"/>
          <w:szCs w:val="30"/>
        </w:rPr>
        <w:t xml:space="preserve">Concluding Note</w:t>
      </w:r>
    </w:p>
    <w:p>
      <w:pPr>
        <w:spacing w:after="120" w:line="300"/>
      </w:pPr>
      <w:r>
        <w:rPr>
          <w:rFonts w:ascii="Arial" w:cs="Arial" w:eastAsia="Arial" w:hAnsi="Arial"/>
          <w:sz w:val="22"/>
          <w:szCs w:val="22"/>
        </w:rPr>
        <w:t xml:space="preserve">This monograph synthesizes the most current scientific evidence on menthol's chemistry, pharmacology, traditional use, and clinical applications, with special emphasis on mechanisms relevant to terpene pre-loading before cannabis consumption. While menthol itself is not abundant in cannabis, its potent TRPM8 agonism, TRPA1 modulation, and cross-talk with TRPV1 and other pain/sensory pathways position it as a pharmacologically rational pre-loading agent to potentially enhance analgesic effects, reduce anxiety, and improve sensory comfort during cannabis inhalation.</w:t>
      </w:r>
    </w:p>
    <w:p>
      <w:pPr>
        <w:spacing w:after="120" w:line="300"/>
      </w:pPr>
      <w:r>
        <w:rPr>
          <w:rFonts w:ascii="Arial" w:cs="Arial" w:eastAsia="Arial" w:hAnsi="Arial"/>
          <w:b/>
          <w:bCs/>
          <w:sz w:val="22"/>
          <w:szCs w:val="22"/>
        </w:rPr>
        <w:t xml:space="preserve">Current research gaps:</w:t>
      </w:r>
      <w:r>
        <w:rPr>
          <w:rFonts w:ascii="Arial" w:cs="Arial" w:eastAsia="Arial" w:hAnsi="Arial"/>
          <w:sz w:val="22"/>
          <w:szCs w:val="22"/>
        </w:rPr>
        <w:t xml:space="preserve"> Direct human evidence for menthol pre-loading's effects on cannabis outcomes is absent. Future clinical trials should focus on:</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Randomized crossover designs comparing cannabis alone vs. cannabis with menthol pre-loading</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Measurement of subjective pain relief, anxiety, respiratory comfort, and sensory intensity</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Objective measures: airway inflammation, blood oxygen saturation, peak cannabis THC/CBD levels</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Exploration of optimal timing (15–30 min) and dosing (20–100 mg menthol)</w:t>
      </w:r>
    </w:p>
    <w:p>
      <w:pPr>
        <w:spacing w:after="80" w:line="276"/>
        <w:ind w:left="360" w:hanging="180"/>
      </w:pPr>
      <w:r>
        <w:rPr>
          <w:rFonts w:ascii="Arial" w:cs="Arial" w:eastAsia="Arial" w:hAnsi="Arial"/>
          <w:color w:val="0277BD"/>
          <w:sz w:val="22"/>
          <w:szCs w:val="22"/>
        </w:rPr>
        <w:t xml:space="preserve">•  </w:t>
      </w:r>
      <w:r>
        <w:rPr>
          <w:rFonts w:ascii="Arial" w:cs="Arial" w:eastAsia="Arial" w:hAnsi="Arial"/>
          <w:sz w:val="22"/>
          <w:szCs w:val="22"/>
        </w:rPr>
        <w:t xml:space="preserve">Mechanistic investigation of TRPM8-TRPV1 cross-talk in vivo</w:t>
      </w:r>
    </w:p>
    <w:p>
      <w:pPr>
        <w:spacing w:after="120" w:line="300"/>
      </w:pPr>
      <w:r>
        <w:rPr>
          <w:rFonts w:ascii="Arial" w:cs="Arial" w:eastAsia="Arial" w:hAnsi="Arial"/>
          <w:sz w:val="22"/>
          <w:szCs w:val="22"/>
        </w:rPr>
        <w:t xml:space="preserve">The terpene pre-loading hypothesis is mechanistically sound but remains empirically unvalidated in humans. This monograph provides the foundation for rigorous investigation of this emerging cannabis science area.</w:t>
      </w:r>
    </w:p>
    <w:p>
      <w:pPr>
        <w:spacing w:after="120" w:line="300"/>
      </w:pPr>
      <w:r>
        <w:rPr>
          <w:rFonts w:ascii="Arial" w:cs="Arial" w:eastAsia="Arial" w:hAnsi="Arial"/>
          <w:b/>
          <w:bCs/>
          <w:sz w:val="22"/>
          <w:szCs w:val="22"/>
        </w:rPr>
        <w:t xml:space="preserve">Monograph Completed: February 2025</w:t>
      </w:r>
    </w:p>
    <w:p>
      <w:pPr>
        <w:spacing w:after="120" w:line="300"/>
      </w:pPr>
      <w:r>
        <w:rPr>
          <w:rFonts w:ascii="Arial" w:cs="Arial" w:eastAsia="Arial" w:hAnsi="Arial"/>
          <w:b/>
          <w:bCs/>
          <w:sz w:val="22"/>
          <w:szCs w:val="22"/>
        </w:rPr>
        <w:t xml:space="preserve">Total Sources Reviewed: 100+</w:t>
      </w:r>
    </w:p>
    <w:p>
      <w:pPr>
        <w:spacing w:after="120" w:line="300"/>
      </w:pPr>
      <w:r>
        <w:rPr>
          <w:rFonts w:ascii="Arial" w:cs="Arial" w:eastAsia="Arial" w:hAnsi="Arial"/>
          <w:b/>
          <w:bCs/>
          <w:sz w:val="22"/>
          <w:szCs w:val="22"/>
        </w:rPr>
        <w:t xml:space="preserve">Word Count: ~18,000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Terpenes, With a Twist of Aromatherapy  |  Page </w:t>
    </w:r>
    <w:r>
      <w:rPr>
        <w:rFonts w:ascii="Arial" w:cs="Arial" w:eastAsia="Arial" w:hAnsi="Arial"/>
        <w:b/>
        <w:bCs/>
        <w:color w:val="0277B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Menthol — Terpene Monograph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277BD"/>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f318ea5c91df7557bb238815b606ae4475f44fc.png"/><Relationship Id="rId10" Type="http://schemas.openxmlformats.org/officeDocument/2006/relationships/image" Target="media/199bb72225709ec7c123e64afc8971474a62d39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2026-03-16T00:36:25.545Z</dcterms:created>
  <dcterms:modified xsi:type="dcterms:W3CDTF">2026-03-16T00:36:25.545Z</dcterms:modified>
</cp:coreProperties>
</file>

<file path=docProps/custom.xml><?xml version="1.0" encoding="utf-8"?>
<Properties xmlns="http://schemas.openxmlformats.org/officeDocument/2006/custom-properties" xmlns:vt="http://schemas.openxmlformats.org/officeDocument/2006/docPropsVTypes"/>
</file>