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 de caixa box-level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Parágrafos também são exemplos de box-level, mas os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links são exemplos de caixas inline-level</w:t>
        </w:r>
      </w:hyperlink>
      <w:r w:rsidDel="00000000" w:rsidR="00000000" w:rsidRPr="00000000">
        <w:rPr>
          <w:rtl w:val="0"/>
        </w:rPr>
        <w:t xml:space="preserve"> Vamos ver como tudo isso funciona.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50" w:before="450" w:lineRule="auto"/>
      <w:ind w:left="150" w:right="15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