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5FB22">
      <w:pPr>
        <w:spacing w:before="880" w:after="160"/>
        <w:jc w:val="center"/>
      </w:pPr>
      <w:r>
        <w:rPr>
          <w:rFonts w:ascii="微软雅黑" w:hAnsi="微软雅黑" w:eastAsia="微软雅黑"/>
          <w:b/>
          <w:color w:val="1F4D78"/>
          <w:sz w:val="44"/>
        </w:rPr>
        <w:t>CT-GraphMAS 系统开发成果结题报告</w:t>
      </w:r>
    </w:p>
    <w:p w14:paraId="21299224">
      <w:pPr>
        <w:pStyle w:val="26"/>
        <w:spacing w:before="0" w:after="360" w:line="300" w:lineRule="auto"/>
        <w:jc w:val="center"/>
      </w:pPr>
      <w:r>
        <w:rPr>
          <w:rFonts w:ascii="微软雅黑" w:hAnsi="微软雅黑" w:eastAsia="微软雅黑"/>
          <w:color w:val="5A606C"/>
          <w:sz w:val="25"/>
        </w:rPr>
        <w:t>知识图谱增强多智能体编程辅导系统 · 大创结题报告系统成果部分</w:t>
      </w:r>
    </w:p>
    <w:tbl>
      <w:tblPr>
        <w:tblStyle w:val="32"/>
        <w:tblW w:w="9144" w:type="dxa"/>
        <w:jc w:val="center"/>
        <w:tblBorders>
          <w:top w:val="single" w:color="B7C7D9" w:sz="6" w:space="0"/>
          <w:left w:val="single" w:color="B7C7D9" w:sz="6" w:space="0"/>
          <w:bottom w:val="single" w:color="B7C7D9" w:sz="6" w:space="0"/>
          <w:right w:val="single" w:color="B7C7D9" w:sz="6" w:space="0"/>
          <w:insideH w:val="single" w:color="B7C7D9" w:sz="6" w:space="0"/>
          <w:insideV w:val="single" w:color="B7C7D9" w:sz="6" w:space="0"/>
        </w:tblBorders>
        <w:tblLayout w:type="fixed"/>
        <w:tblCellMar>
          <w:top w:w="0" w:type="dxa"/>
          <w:left w:w="108" w:type="dxa"/>
          <w:bottom w:w="0" w:type="dxa"/>
          <w:right w:w="108" w:type="dxa"/>
        </w:tblCellMar>
      </w:tblPr>
      <w:tblGrid>
        <w:gridCol w:w="40"/>
        <w:gridCol w:w="4680"/>
        <w:gridCol w:w="4640"/>
        <w:gridCol w:w="40"/>
      </w:tblGrid>
      <w:tr w14:paraId="3E733B9D">
        <w:trPr>
          <w:gridBefore w:val="1"/>
          <w:jc w:val="center"/>
        </w:trPr>
        <w:tc>
          <w:tcPr>
            <w:tcW w:w="1944" w:type="dxa"/>
            <w:shd w:val="clear" w:color="auto" w:fill="F2F4F7"/>
            <w:tcMar>
              <w:top w:w="80" w:type="dxa"/>
              <w:left w:w="120" w:type="dxa"/>
              <w:bottom w:w="80" w:type="dxa"/>
              <w:right w:w="120" w:type="dxa"/>
            </w:tcMar>
            <w:vAlign w:val="center"/>
          </w:tcPr>
          <w:p w14:paraId="28A83E70">
            <w:pPr>
              <w:spacing w:before="0" w:after="40" w:line="278" w:lineRule="auto"/>
            </w:pPr>
            <w:r>
              <w:rPr>
                <w:rFonts w:ascii="微软雅黑" w:hAnsi="微软雅黑" w:eastAsia="微软雅黑"/>
                <w:b/>
                <w:color w:val="162234"/>
                <w:sz w:val="19"/>
              </w:rPr>
              <w:t>成果名称</w:t>
            </w:r>
          </w:p>
        </w:tc>
        <w:tc>
          <w:tcPr>
            <w:tcW w:w="7200" w:type="dxa"/>
            <w:gridSpan w:val="2"/>
            <w:tcMar>
              <w:top w:w="80" w:type="dxa"/>
              <w:left w:w="120" w:type="dxa"/>
              <w:bottom w:w="80" w:type="dxa"/>
              <w:right w:w="120" w:type="dxa"/>
            </w:tcMar>
            <w:vAlign w:val="center"/>
          </w:tcPr>
          <w:p w14:paraId="783584BD">
            <w:pPr>
              <w:spacing w:before="0" w:after="40" w:line="278" w:lineRule="auto"/>
            </w:pPr>
            <w:r>
              <w:rPr>
                <w:rFonts w:ascii="微软雅黑" w:hAnsi="微软雅黑" w:eastAsia="微软雅黑"/>
                <w:color w:val="162234"/>
                <w:sz w:val="19"/>
              </w:rPr>
              <w:t>CT-GraphMAS 知识图谱增强多智能体编程辅导系统</w:t>
            </w:r>
          </w:p>
        </w:tc>
      </w:tr>
      <w:tr w14:paraId="4BCE9D2E">
        <w:trPr>
          <w:gridBefore w:val="1"/>
          <w:jc w:val="center"/>
        </w:trPr>
        <w:tc>
          <w:tcPr>
            <w:tcW w:w="1944" w:type="dxa"/>
            <w:shd w:val="clear" w:color="auto" w:fill="F2F4F7"/>
            <w:tcMar>
              <w:top w:w="80" w:type="dxa"/>
              <w:left w:w="120" w:type="dxa"/>
              <w:bottom w:w="80" w:type="dxa"/>
              <w:right w:w="120" w:type="dxa"/>
            </w:tcMar>
            <w:vAlign w:val="center"/>
          </w:tcPr>
          <w:p w14:paraId="1D351D5C">
            <w:pPr>
              <w:spacing w:before="0" w:after="40" w:line="278" w:lineRule="auto"/>
            </w:pPr>
            <w:r>
              <w:rPr>
                <w:rFonts w:ascii="微软雅黑" w:hAnsi="微软雅黑" w:eastAsia="微软雅黑"/>
                <w:b/>
                <w:color w:val="162234"/>
                <w:sz w:val="19"/>
              </w:rPr>
              <w:t>成果类型</w:t>
            </w:r>
          </w:p>
        </w:tc>
        <w:tc>
          <w:tcPr>
            <w:tcW w:w="7200" w:type="dxa"/>
            <w:gridSpan w:val="2"/>
            <w:tcMar>
              <w:top w:w="80" w:type="dxa"/>
              <w:left w:w="120" w:type="dxa"/>
              <w:bottom w:w="80" w:type="dxa"/>
              <w:right w:w="120" w:type="dxa"/>
            </w:tcMar>
            <w:vAlign w:val="center"/>
          </w:tcPr>
          <w:p w14:paraId="21FF8DE5">
            <w:pPr>
              <w:spacing w:before="0" w:after="40" w:line="278" w:lineRule="auto"/>
            </w:pPr>
            <w:r>
              <w:rPr>
                <w:rFonts w:ascii="微软雅黑" w:hAnsi="微软雅黑" w:eastAsia="微软雅黑"/>
                <w:color w:val="162234"/>
                <w:sz w:val="19"/>
              </w:rPr>
              <w:t>可运行 Web 原型系统、可交互知识图谱、知识库与多智能体工作流</w:t>
            </w:r>
          </w:p>
        </w:tc>
      </w:tr>
      <w:tr w14:paraId="1282C34D">
        <w:trPr>
          <w:gridBefore w:val="1"/>
          <w:jc w:val="center"/>
        </w:trPr>
        <w:tc>
          <w:tcPr>
            <w:tcW w:w="1944" w:type="dxa"/>
            <w:shd w:val="clear" w:color="auto" w:fill="F2F4F7"/>
            <w:tcMar>
              <w:top w:w="80" w:type="dxa"/>
              <w:left w:w="120" w:type="dxa"/>
              <w:bottom w:w="80" w:type="dxa"/>
              <w:right w:w="120" w:type="dxa"/>
            </w:tcMar>
            <w:vAlign w:val="center"/>
          </w:tcPr>
          <w:p w14:paraId="5F0FB62D">
            <w:pPr>
              <w:spacing w:before="0" w:after="40" w:line="278" w:lineRule="auto"/>
            </w:pPr>
            <w:r>
              <w:rPr>
                <w:rFonts w:ascii="微软雅黑" w:hAnsi="微软雅黑" w:eastAsia="微软雅黑"/>
                <w:b/>
                <w:color w:val="162234"/>
                <w:sz w:val="19"/>
              </w:rPr>
              <w:t>面向对象</w:t>
            </w:r>
          </w:p>
        </w:tc>
        <w:tc>
          <w:tcPr>
            <w:tcW w:w="7200" w:type="dxa"/>
            <w:gridSpan w:val="2"/>
            <w:tcMar>
              <w:top w:w="80" w:type="dxa"/>
              <w:left w:w="120" w:type="dxa"/>
              <w:bottom w:w="80" w:type="dxa"/>
              <w:right w:w="120" w:type="dxa"/>
            </w:tcMar>
            <w:vAlign w:val="center"/>
          </w:tcPr>
          <w:p w14:paraId="64CEB2A2">
            <w:pPr>
              <w:spacing w:before="0" w:after="40" w:line="278" w:lineRule="auto"/>
            </w:pPr>
            <w:r>
              <w:rPr>
                <w:rFonts w:ascii="微软雅黑" w:hAnsi="微软雅黑" w:eastAsia="微软雅黑"/>
                <w:color w:val="162234"/>
                <w:sz w:val="19"/>
              </w:rPr>
              <w:t>学生端、教师端、管理员端三类用户</w:t>
            </w:r>
          </w:p>
        </w:tc>
      </w:tr>
      <w:tr w14:paraId="35D04D4F">
        <w:trPr>
          <w:gridBefore w:val="1"/>
          <w:jc w:val="center"/>
        </w:trPr>
        <w:tc>
          <w:tcPr>
            <w:tcW w:w="1944" w:type="dxa"/>
            <w:shd w:val="clear" w:color="auto" w:fill="F2F4F7"/>
            <w:tcMar>
              <w:top w:w="80" w:type="dxa"/>
              <w:left w:w="120" w:type="dxa"/>
              <w:bottom w:w="80" w:type="dxa"/>
              <w:right w:w="120" w:type="dxa"/>
            </w:tcMar>
            <w:vAlign w:val="center"/>
          </w:tcPr>
          <w:p w14:paraId="626A10DC">
            <w:pPr>
              <w:spacing w:before="0" w:after="40" w:line="278" w:lineRule="auto"/>
            </w:pPr>
            <w:r>
              <w:rPr>
                <w:rFonts w:ascii="微软雅黑" w:hAnsi="微软雅黑" w:eastAsia="微软雅黑"/>
                <w:b/>
                <w:color w:val="162234"/>
                <w:sz w:val="19"/>
              </w:rPr>
              <w:t>技术实现</w:t>
            </w:r>
          </w:p>
        </w:tc>
        <w:tc>
          <w:tcPr>
            <w:tcW w:w="7200" w:type="dxa"/>
            <w:gridSpan w:val="2"/>
            <w:tcMar>
              <w:top w:w="80" w:type="dxa"/>
              <w:left w:w="120" w:type="dxa"/>
              <w:bottom w:w="80" w:type="dxa"/>
              <w:right w:w="120" w:type="dxa"/>
            </w:tcMar>
            <w:vAlign w:val="center"/>
          </w:tcPr>
          <w:p w14:paraId="0CE5ADB3">
            <w:pPr>
              <w:spacing w:before="0" w:after="40" w:line="278" w:lineRule="auto"/>
            </w:pPr>
            <w:r>
              <w:rPr>
                <w:rFonts w:ascii="微软雅黑" w:hAnsi="微软雅黑" w:eastAsia="微软雅黑"/>
                <w:color w:val="162234"/>
                <w:sz w:val="19"/>
              </w:rPr>
              <w:t>Python 本地服务、SQLite 数据存储、HTML/CSS/JavaScript 前端、图谱式节点关系与 embedding 检索</w:t>
            </w:r>
          </w:p>
        </w:tc>
      </w:tr>
      <w:tr w14:paraId="0C40B43F">
        <w:trPr>
          <w:gridBefore w:val="1"/>
          <w:jc w:val="center"/>
        </w:trPr>
        <w:tc>
          <w:tcPr>
            <w:tcW w:w="1944" w:type="dxa"/>
            <w:shd w:val="clear" w:color="auto" w:fill="F2F4F7"/>
            <w:tcMar>
              <w:top w:w="80" w:type="dxa"/>
              <w:left w:w="120" w:type="dxa"/>
              <w:bottom w:w="80" w:type="dxa"/>
              <w:right w:w="120" w:type="dxa"/>
            </w:tcMar>
            <w:vAlign w:val="center"/>
          </w:tcPr>
          <w:p w14:paraId="2ABD3D16">
            <w:pPr>
              <w:spacing w:before="0" w:after="40" w:line="278" w:lineRule="auto"/>
            </w:pPr>
            <w:r>
              <w:rPr>
                <w:rFonts w:ascii="微软雅黑" w:hAnsi="微软雅黑" w:eastAsia="微软雅黑"/>
                <w:b/>
                <w:color w:val="162234"/>
                <w:sz w:val="19"/>
              </w:rPr>
              <w:t>报告用途</w:t>
            </w:r>
          </w:p>
        </w:tc>
        <w:tc>
          <w:tcPr>
            <w:tcW w:w="7200" w:type="dxa"/>
            <w:gridSpan w:val="2"/>
            <w:tcMar>
              <w:top w:w="80" w:type="dxa"/>
              <w:left w:w="120" w:type="dxa"/>
              <w:bottom w:w="80" w:type="dxa"/>
              <w:right w:w="120" w:type="dxa"/>
            </w:tcMar>
            <w:vAlign w:val="center"/>
          </w:tcPr>
          <w:p w14:paraId="70786039">
            <w:pPr>
              <w:spacing w:before="0" w:after="40" w:line="278" w:lineRule="auto"/>
            </w:pPr>
            <w:r>
              <w:rPr>
                <w:rFonts w:ascii="微软雅黑" w:hAnsi="微软雅黑" w:eastAsia="微软雅黑"/>
                <w:color w:val="162234"/>
                <w:sz w:val="19"/>
              </w:rPr>
              <w:t>用于大学生创新创业训练计划项目结题报告中的系统开发成果说明</w:t>
            </w:r>
          </w:p>
        </w:tc>
      </w:tr>
      <w:tr w14:paraId="340FFF0F">
        <w:trPr>
          <w:gridBefore w:val="1"/>
          <w:jc w:val="center"/>
        </w:trPr>
        <w:tc>
          <w:tcPr>
            <w:tcW w:w="1944" w:type="dxa"/>
            <w:shd w:val="clear" w:color="auto" w:fill="F2F4F7"/>
            <w:tcMar>
              <w:top w:w="80" w:type="dxa"/>
              <w:left w:w="120" w:type="dxa"/>
              <w:bottom w:w="80" w:type="dxa"/>
              <w:right w:w="120" w:type="dxa"/>
            </w:tcMar>
            <w:vAlign w:val="center"/>
          </w:tcPr>
          <w:p w14:paraId="7B68E54F">
            <w:pPr>
              <w:spacing w:before="0" w:after="40" w:line="278" w:lineRule="auto"/>
            </w:pPr>
            <w:r>
              <w:rPr>
                <w:rFonts w:ascii="微软雅黑" w:hAnsi="微软雅黑" w:eastAsia="微软雅黑"/>
                <w:b/>
                <w:color w:val="162234"/>
                <w:sz w:val="19"/>
              </w:rPr>
              <w:t>生成日期</w:t>
            </w:r>
          </w:p>
        </w:tc>
        <w:tc>
          <w:tcPr>
            <w:tcW w:w="7200" w:type="dxa"/>
            <w:gridSpan w:val="2"/>
            <w:tcMar>
              <w:top w:w="80" w:type="dxa"/>
              <w:left w:w="120" w:type="dxa"/>
              <w:bottom w:w="80" w:type="dxa"/>
              <w:right w:w="120" w:type="dxa"/>
            </w:tcMar>
            <w:vAlign w:val="center"/>
          </w:tcPr>
          <w:p w14:paraId="292C1928">
            <w:pPr>
              <w:spacing w:before="0" w:after="40" w:line="278" w:lineRule="auto"/>
            </w:pPr>
            <w:r>
              <w:rPr>
                <w:rFonts w:ascii="微软雅黑" w:hAnsi="微软雅黑" w:eastAsia="微软雅黑"/>
                <w:color w:val="162234"/>
                <w:sz w:val="19"/>
              </w:rPr>
              <w:t>2026-05-18</w:t>
            </w:r>
          </w:p>
        </w:tc>
      </w:tr>
      <w:tr w14:paraId="6E00D0DE">
        <w:tblPrEx>
          <w:tblBorders>
            <w:top w:val="single" w:color="9CC2E5" w:sz="8" w:space="0"/>
            <w:left w:val="single" w:color="9CC2E5" w:sz="8" w:space="0"/>
            <w:bottom w:val="single" w:color="9CC2E5" w:sz="8" w:space="0"/>
            <w:right w:val="single" w:color="9CC2E5" w:sz="8" w:space="0"/>
            <w:insideH w:val="single" w:color="9CC2E5" w:sz="8" w:space="0"/>
            <w:insideV w:val="single" w:color="9CC2E5" w:sz="8" w:space="0"/>
          </w:tblBorders>
        </w:tblPrEx>
        <w:trPr>
          <w:gridAfter w:val="1"/>
          <w:jc w:val="center"/>
        </w:trPr>
        <w:tc>
          <w:tcPr>
            <w:tcW w:w="9360" w:type="dxa"/>
            <w:gridSpan w:val="3"/>
            <w:shd w:val="clear" w:color="auto" w:fill="EAF4FF"/>
            <w:tcMar>
              <w:top w:w="120" w:type="dxa"/>
              <w:left w:w="160" w:type="dxa"/>
              <w:bottom w:w="120" w:type="dxa"/>
              <w:right w:w="160" w:type="dxa"/>
            </w:tcMar>
          </w:tcPr>
          <w:p w14:paraId="426E2501">
            <w:pPr>
              <w:spacing w:before="0" w:after="60" w:line="283" w:lineRule="auto"/>
            </w:pPr>
            <w:r>
              <w:rPr>
                <w:rFonts w:ascii="微软雅黑" w:hAnsi="微软雅黑" w:eastAsia="微软雅黑"/>
                <w:b/>
                <w:color w:val="1F4D78"/>
                <w:sz w:val="21"/>
              </w:rPr>
              <w:t>成果定位</w:t>
            </w:r>
          </w:p>
          <w:p w14:paraId="1A28AEFF">
            <w:pPr>
              <w:spacing w:before="0" w:after="0" w:line="288" w:lineRule="auto"/>
            </w:pPr>
            <w:r>
              <w:rPr>
                <w:rFonts w:ascii="微软雅黑" w:hAnsi="微软雅黑" w:eastAsia="微软雅黑"/>
                <w:color w:val="162234"/>
                <w:sz w:val="19"/>
              </w:rPr>
              <w:t>本系统以初中 Python 编程学习为主要应用场景，把论文实验中的知识图谱、三层多智能体协同、动态路由、相关知识检索和反代写门控转化为可演示、可扩展、可纳入教学流程的原型系统。报告仅描述当前系统已经实现的功能与设计原理，不使用未实现模块作夸大表述。</w:t>
            </w:r>
          </w:p>
        </w:tc>
      </w:tr>
    </w:tbl>
    <w:p w14:paraId="33361A01">
      <w:pPr>
        <w:spacing w:after="40"/>
      </w:pPr>
    </w:p>
    <w:p w14:paraId="139F57B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1. 系统开发成果概述</w:t>
      </w:r>
    </w:p>
    <w:p w14:paraId="26CD99A0">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CT-GraphMAS 是面向编程学习场景构建的知识图谱增强多智能体系统。系统围绕学生提出的概念疑惑、代码错误和任务卡点开展诊断，并将学生问题映射到 Python 微观考点、前置知识、学情掌握状态和教学语料片段之中。与直接问答式系统相比，本系统更强调学习过程的可解释性：学生端获得的是启发式支架和下一步行动，教师端能够看到任务分配、知识库、交互记录和学情依据，管理员端则负责维护账号、系统配置、模型接入和图谱数据边界。</w:t>
      </w:r>
    </w:p>
    <w:p w14:paraId="2B8CDE91">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系统开发采用轻量化本地 Web 架构，后端以 Python 提供服务接口并管理用户、文档、知识片段、图谱节点、图谱边和交互记录，前端以淡蓝色界面组织三类角色页面。当前原型已经实现登录、角色化导航、学生日常通用模式与教学模式、教师班级任务管理、知识库上传与 chunking、embedding 检索、Neo4j 风格图谱视图、API 与多智能体设置、三层智能体提示词展示等功能，能够作为结题展示系统，也能够作为后续教学实验与论文扩展的基础平台。</w:t>
      </w:r>
    </w:p>
    <w:p w14:paraId="059A9CFC">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2. 设计目标与总体思路</w:t>
      </w:r>
    </w:p>
    <w:p w14:paraId="1B9407F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系统的设计目标不是把大模型包装成一个单页聊天窗口，而是把编程学习中的“任务、知识、学情、反馈、教师调控”组织成完整流程。学生登录后只看到与自己学习直接相关的班级、任务、学习画像和对话入口；教师登录后重点处理班级任务、教学材料、知识库与学情复盘；管理员登录后维护图谱、账号、API 网关和模型策略。这样的角色划分使系统更接近真实教学场景，避免学生端暴露不必要的管理概念，也便于教师对课堂任务和学生反馈形成持续控制。</w:t>
      </w:r>
    </w:p>
    <w:p w14:paraId="21E57E8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在智能体设计上，系统采用 L1-L2-L3 的三层结构。L1 层把学生原始输入与知识图谱上下文整合为诊断前置卷，L2 层由问题分解、抽象建模、算法设计、评估调试四类计算思维教研智能体并行或动态调用，L3 层把教研策略转化为学生可理解的启发式话术。该结构使“诊断、教研、表达”三个环节相互分离，既提高了输出可控性，也便于在结题报告中解释系统为何能够贴合计算思维培养目标。</w:t>
      </w:r>
    </w:p>
    <w:p w14:paraId="4F79932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3. 系统业务流程设计</w:t>
      </w:r>
    </w:p>
    <w:p w14:paraId="0B51B8E7">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CT-GraphMAS 的业务流程采用三泳道结构表示。管理员首先完成系统初始化、角色维护、API 配置和知识图谱配置；教师在此基础上创建班级任务、上传教学材料、查看学生交互记录并开展学情复盘；学生则通过班级任务进入日常通用模式或教学模式，提交问题、代码或报错信息后接收系统反馈。学生端生成的交互记录会回流教师端，教师可以据此更新任务和知识库，形成教学闭环。</w:t>
      </w:r>
    </w:p>
    <w:p w14:paraId="35CD6E31">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4297680" cy="6108065"/>
            <wp:effectExtent l="0" t="0" r="2032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297680" cy="6108378"/>
                    </a:xfrm>
                    <a:prstGeom prst="rect">
                      <a:avLst/>
                    </a:prstGeom>
                  </pic:spPr>
                </pic:pic>
              </a:graphicData>
            </a:graphic>
          </wp:inline>
        </w:drawing>
      </w:r>
    </w:p>
    <w:p w14:paraId="45FA169B">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1  CT-GraphMAS 系统业务流程图（管理员、学生、教师三泳道）</w:t>
      </w:r>
    </w:p>
    <w:p w14:paraId="5D86D45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从流程机制看，系统并不是把知识图谱作为静态展示模块，而是把图谱放入学生提问后的自动处理链条。学生输入首先被映射到 145 个 Python 微观考点中的目标节点，系统随后抽取该节点的前置知识和学生掌握状态，并将这些上下文交给 L1 和 L2 智能体。教师上传的文档也会被切分为相关知识片段并建立图谱连接，使课堂材料能够参与后续检索与反馈生成。</w:t>
      </w:r>
    </w:p>
    <w:p w14:paraId="540AC4E3">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4. 角色权限与数据流向</w:t>
      </w:r>
    </w:p>
    <w:p w14:paraId="7E4AB29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三类角色在系统中的权限边界围绕真实教学关系设置。学生端强调完成学习任务和获得支架反馈，教师端强调组织教学与观察学情，管理员端强调维护系统运行条件和图谱配置。不同角色看到的是面向自身工作的表述，而不是以第三者视角介绍功能，这也是当前界面多次修改后形成的一个重要设计结果。</w:t>
      </w:r>
    </w:p>
    <w:tbl>
      <w:tblPr>
        <w:tblStyle w:val="32"/>
        <w:tblW w:w="9259" w:type="dxa"/>
        <w:jc w:val="center"/>
        <w:tblBorders>
          <w:top w:val="single" w:color="B7C7D9" w:sz="6" w:space="0"/>
          <w:left w:val="single" w:color="B7C7D9" w:sz="6" w:space="0"/>
          <w:bottom w:val="single" w:color="B7C7D9" w:sz="6" w:space="0"/>
          <w:right w:val="single" w:color="B7C7D9" w:sz="6" w:space="0"/>
          <w:insideH w:val="single" w:color="B7C7D9" w:sz="6" w:space="0"/>
          <w:insideV w:val="single" w:color="B7C7D9" w:sz="6" w:space="0"/>
        </w:tblBorders>
        <w:tblLayout w:type="fixed"/>
        <w:tblCellMar>
          <w:top w:w="0" w:type="dxa"/>
          <w:left w:w="108" w:type="dxa"/>
          <w:bottom w:w="0" w:type="dxa"/>
          <w:right w:w="108" w:type="dxa"/>
        </w:tblCellMar>
      </w:tblPr>
      <w:tblGrid>
        <w:gridCol w:w="2340"/>
        <w:gridCol w:w="2340"/>
        <w:gridCol w:w="2340"/>
        <w:gridCol w:w="2340"/>
      </w:tblGrid>
      <w:tr w14:paraId="51599BC3">
        <w:trPr>
          <w:jc w:val="center"/>
        </w:trPr>
        <w:tc>
          <w:tcPr>
            <w:tcW w:w="1123" w:type="dxa"/>
            <w:shd w:val="clear" w:color="auto" w:fill="F2F4F7"/>
            <w:tcMar>
              <w:top w:w="80" w:type="dxa"/>
              <w:left w:w="120" w:type="dxa"/>
              <w:bottom w:w="80" w:type="dxa"/>
              <w:right w:w="120" w:type="dxa"/>
            </w:tcMar>
            <w:vAlign w:val="center"/>
          </w:tcPr>
          <w:p w14:paraId="587D2B6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角色</w:t>
            </w:r>
          </w:p>
        </w:tc>
        <w:tc>
          <w:tcPr>
            <w:tcW w:w="2232" w:type="dxa"/>
            <w:shd w:val="clear" w:color="auto" w:fill="F2F4F7"/>
            <w:tcMar>
              <w:top w:w="80" w:type="dxa"/>
              <w:left w:w="120" w:type="dxa"/>
              <w:bottom w:w="80" w:type="dxa"/>
              <w:right w:w="120" w:type="dxa"/>
            </w:tcMar>
            <w:vAlign w:val="center"/>
          </w:tcPr>
          <w:p w14:paraId="3F07ABB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主要页面</w:t>
            </w:r>
          </w:p>
        </w:tc>
        <w:tc>
          <w:tcPr>
            <w:tcW w:w="3096" w:type="dxa"/>
            <w:shd w:val="clear" w:color="auto" w:fill="F2F4F7"/>
            <w:tcMar>
              <w:top w:w="80" w:type="dxa"/>
              <w:left w:w="120" w:type="dxa"/>
              <w:bottom w:w="80" w:type="dxa"/>
              <w:right w:w="120" w:type="dxa"/>
            </w:tcMar>
            <w:vAlign w:val="center"/>
          </w:tcPr>
          <w:p w14:paraId="60558E24">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核心操作</w:t>
            </w:r>
          </w:p>
        </w:tc>
        <w:tc>
          <w:tcPr>
            <w:tcW w:w="2808" w:type="dxa"/>
            <w:shd w:val="clear" w:color="auto" w:fill="F2F4F7"/>
            <w:tcMar>
              <w:top w:w="80" w:type="dxa"/>
              <w:left w:w="120" w:type="dxa"/>
              <w:bottom w:w="80" w:type="dxa"/>
              <w:right w:w="120" w:type="dxa"/>
            </w:tcMar>
            <w:vAlign w:val="center"/>
          </w:tcPr>
          <w:p w14:paraId="518E4D4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数据流向</w:t>
            </w:r>
          </w:p>
        </w:tc>
      </w:tr>
      <w:tr w14:paraId="6D50374D">
        <w:trPr>
          <w:jc w:val="center"/>
        </w:trPr>
        <w:tc>
          <w:tcPr>
            <w:tcW w:w="1123" w:type="dxa"/>
            <w:tcMar>
              <w:top w:w="80" w:type="dxa"/>
              <w:left w:w="120" w:type="dxa"/>
              <w:bottom w:w="80" w:type="dxa"/>
              <w:right w:w="120" w:type="dxa"/>
            </w:tcMar>
            <w:vAlign w:val="center"/>
          </w:tcPr>
          <w:p w14:paraId="3AB71F23">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学生</w:t>
            </w:r>
          </w:p>
        </w:tc>
        <w:tc>
          <w:tcPr>
            <w:tcW w:w="2232" w:type="dxa"/>
            <w:tcMar>
              <w:top w:w="80" w:type="dxa"/>
              <w:left w:w="120" w:type="dxa"/>
              <w:bottom w:w="80" w:type="dxa"/>
              <w:right w:w="120" w:type="dxa"/>
            </w:tcMar>
            <w:vAlign w:val="center"/>
          </w:tcPr>
          <w:p w14:paraId="15B5549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首页、日常通用模式、教学模式、知识图谱、使用说明</w:t>
            </w:r>
          </w:p>
        </w:tc>
        <w:tc>
          <w:tcPr>
            <w:tcW w:w="3096" w:type="dxa"/>
            <w:tcMar>
              <w:top w:w="80" w:type="dxa"/>
              <w:left w:w="120" w:type="dxa"/>
              <w:bottom w:w="80" w:type="dxa"/>
              <w:right w:w="120" w:type="dxa"/>
            </w:tcMar>
            <w:vAlign w:val="center"/>
          </w:tcPr>
          <w:p w14:paraId="7A033AB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查看班级与默认学号，提交问题、代码或报错，阅读启发式反馈与相关知识。</w:t>
            </w:r>
          </w:p>
        </w:tc>
        <w:tc>
          <w:tcPr>
            <w:tcW w:w="2808" w:type="dxa"/>
            <w:tcMar>
              <w:top w:w="80" w:type="dxa"/>
              <w:left w:w="120" w:type="dxa"/>
              <w:bottom w:w="80" w:type="dxa"/>
              <w:right w:w="120" w:type="dxa"/>
            </w:tcMar>
            <w:vAlign w:val="center"/>
          </w:tcPr>
          <w:p w14:paraId="779472A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学生输入进入意图映射、图谱检索和多智能体处理，交互记录回流教师端。</w:t>
            </w:r>
          </w:p>
        </w:tc>
      </w:tr>
      <w:tr w14:paraId="2670387C">
        <w:trPr>
          <w:jc w:val="center"/>
        </w:trPr>
        <w:tc>
          <w:tcPr>
            <w:tcW w:w="1123" w:type="dxa"/>
            <w:tcMar>
              <w:top w:w="80" w:type="dxa"/>
              <w:left w:w="120" w:type="dxa"/>
              <w:bottom w:w="80" w:type="dxa"/>
              <w:right w:w="120" w:type="dxa"/>
            </w:tcMar>
            <w:vAlign w:val="center"/>
          </w:tcPr>
          <w:p w14:paraId="6C703E9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教师</w:t>
            </w:r>
          </w:p>
        </w:tc>
        <w:tc>
          <w:tcPr>
            <w:tcW w:w="2232" w:type="dxa"/>
            <w:tcMar>
              <w:top w:w="80" w:type="dxa"/>
              <w:left w:w="120" w:type="dxa"/>
              <w:bottom w:w="80" w:type="dxa"/>
              <w:right w:w="120" w:type="dxa"/>
            </w:tcMar>
            <w:vAlign w:val="center"/>
          </w:tcPr>
          <w:p w14:paraId="4F2FEF7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教师首页、工作台、知识库、学情图谱</w:t>
            </w:r>
          </w:p>
        </w:tc>
        <w:tc>
          <w:tcPr>
            <w:tcW w:w="3096" w:type="dxa"/>
            <w:tcMar>
              <w:top w:w="80" w:type="dxa"/>
              <w:left w:w="120" w:type="dxa"/>
              <w:bottom w:w="80" w:type="dxa"/>
              <w:right w:w="120" w:type="dxa"/>
            </w:tcMar>
            <w:vAlign w:val="center"/>
          </w:tcPr>
          <w:p w14:paraId="150920E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创建和分配班级任务，上传教学材料，查看学生交互和知识库图谱。</w:t>
            </w:r>
          </w:p>
        </w:tc>
        <w:tc>
          <w:tcPr>
            <w:tcW w:w="2808" w:type="dxa"/>
            <w:tcMar>
              <w:top w:w="80" w:type="dxa"/>
              <w:left w:w="120" w:type="dxa"/>
              <w:bottom w:w="80" w:type="dxa"/>
              <w:right w:w="120" w:type="dxa"/>
            </w:tcMar>
            <w:vAlign w:val="center"/>
          </w:tcPr>
          <w:p w14:paraId="36B95D8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教师任务进入学生端，上传材料转化为相关知识并参与后续检索。</w:t>
            </w:r>
          </w:p>
        </w:tc>
      </w:tr>
      <w:tr w14:paraId="1852A14E">
        <w:trPr>
          <w:jc w:val="center"/>
        </w:trPr>
        <w:tc>
          <w:tcPr>
            <w:tcW w:w="1123" w:type="dxa"/>
            <w:tcMar>
              <w:top w:w="80" w:type="dxa"/>
              <w:left w:w="120" w:type="dxa"/>
              <w:bottom w:w="80" w:type="dxa"/>
              <w:right w:w="120" w:type="dxa"/>
            </w:tcMar>
            <w:vAlign w:val="center"/>
          </w:tcPr>
          <w:p w14:paraId="4E2FAD2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管理员</w:t>
            </w:r>
          </w:p>
        </w:tc>
        <w:tc>
          <w:tcPr>
            <w:tcW w:w="2232" w:type="dxa"/>
            <w:tcMar>
              <w:top w:w="80" w:type="dxa"/>
              <w:left w:w="120" w:type="dxa"/>
              <w:bottom w:w="80" w:type="dxa"/>
              <w:right w:w="120" w:type="dxa"/>
            </w:tcMar>
            <w:vAlign w:val="center"/>
          </w:tcPr>
          <w:p w14:paraId="2597F034">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管理员中心、系统设置、知识图谱</w:t>
            </w:r>
          </w:p>
        </w:tc>
        <w:tc>
          <w:tcPr>
            <w:tcW w:w="3096" w:type="dxa"/>
            <w:tcMar>
              <w:top w:w="80" w:type="dxa"/>
              <w:left w:w="120" w:type="dxa"/>
              <w:bottom w:w="80" w:type="dxa"/>
              <w:right w:w="120" w:type="dxa"/>
            </w:tcMar>
            <w:vAlign w:val="center"/>
          </w:tcPr>
          <w:p w14:paraId="1FEFA31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维护角色与系统配置，设置 API、多智能体策略、教学门控和图谱数据。</w:t>
            </w:r>
          </w:p>
        </w:tc>
        <w:tc>
          <w:tcPr>
            <w:tcW w:w="2808" w:type="dxa"/>
            <w:tcMar>
              <w:top w:w="80" w:type="dxa"/>
              <w:left w:w="120" w:type="dxa"/>
              <w:bottom w:w="80" w:type="dxa"/>
              <w:right w:w="120" w:type="dxa"/>
            </w:tcMar>
            <w:vAlign w:val="center"/>
          </w:tcPr>
          <w:p w14:paraId="6FEB0460">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系统配置约束模型调用、提示词工作流和图谱展示范围。</w:t>
            </w:r>
          </w:p>
        </w:tc>
      </w:tr>
    </w:tbl>
    <w:p w14:paraId="13E0A2F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5. 主要功能实现与截图说明</w:t>
      </w:r>
    </w:p>
    <w:p w14:paraId="2A8CFA94">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系统主要功能按照学生学习、教师教学、管理员维护和知识资源管理四条线展开。以下截图均来自当前本地原型系统，展示了结题阶段已经实现的页面结构和功能入口。截图说明采用成果报告写法，重点解释各页面在系统流程中的作用，而不是重复描述按钮外观。</w:t>
      </w:r>
    </w:p>
    <w:p w14:paraId="60EC272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5.1 学生端：从班级任务进入多模式伴学</w:t>
      </w:r>
    </w:p>
    <w:p w14:paraId="2C17DC4B">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52470"/>
            <wp:effectExtent l="0" t="0" r="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252807"/>
                    </a:xfrm>
                    <a:prstGeom prst="rect">
                      <a:avLst/>
                    </a:prstGeom>
                  </pic:spPr>
                </pic:pic>
              </a:graphicData>
            </a:graphic>
          </wp:inline>
        </w:drawing>
      </w:r>
    </w:p>
    <w:p w14:paraId="54C6332A">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2  学生首页：默认学号、班级任务、学习画像与入口导航</w:t>
      </w:r>
    </w:p>
    <w:p w14:paraId="179A4FB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学生首页以“我当前要完成什么”为中心组织信息，页面不再呈现全局用户管理或系统任务等学生无需理解的内容，而是显示默认学号、所在班级、教师分配的任务、学习画像和最近学习状态。这样的设计使学生登录后的第一屏能够直接进入学习情境，并为后续教学模式选择提供依据。</w:t>
      </w:r>
    </w:p>
    <w:p w14:paraId="2B208593">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143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3214688"/>
                    </a:xfrm>
                    <a:prstGeom prst="rect">
                      <a:avLst/>
                    </a:prstGeom>
                  </pic:spPr>
                </pic:pic>
              </a:graphicData>
            </a:graphic>
          </wp:inline>
        </w:drawing>
      </w:r>
    </w:p>
    <w:p w14:paraId="34EDB8E7">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3  日常通用模式：标准辅导入口与固定滚动对话框</w:t>
      </w:r>
    </w:p>
    <w:p w14:paraId="57DF386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日常通用模式固定连接标准辅导流程，适合学生在课后或非结构化情境下提出概念疑惑和代码问题。页面采用固定高度、可上下滚动的输入输出区域，能够容纳较长对话而不破坏整体布局；系统在该模式下仍保留知识图谱检索和相关知识注入，但不会让学生手动选择不必要的教学流程。</w:t>
      </w:r>
    </w:p>
    <w:p w14:paraId="4BE7485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143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3214688"/>
                    </a:xfrm>
                    <a:prstGeom prst="rect">
                      <a:avLst/>
                    </a:prstGeom>
                  </pic:spPr>
                </pic:pic>
              </a:graphicData>
            </a:graphic>
          </wp:inline>
        </w:drawing>
      </w:r>
    </w:p>
    <w:p w14:paraId="3AD6BCF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4  教学模式：面向课堂流程的 C-O-D-E-R 与 ADAPT 适配</w:t>
      </w:r>
    </w:p>
    <w:p w14:paraId="3369B3BC">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教学模式面向教师已经组织好的课堂任务，系统可根据教学环节适配 C-O-D-E-R 或 ADAPT 流程。C-O-D-E-R 更适合项目式编程任务中的情境激活、组织编排、协同开发、循环调试和反思重构，ADAPT 更适合个性化诊断、支架、行动、练习和迁移。由于日常通用模式已经固定为标准辅导，教学模式才保留不同教学流程的切换入口，从而避免功能逻辑混乱。</w:t>
      </w:r>
    </w:p>
    <w:p w14:paraId="2FA4AA21">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1437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3214688"/>
                    </a:xfrm>
                    <a:prstGeom prst="rect">
                      <a:avLst/>
                    </a:prstGeom>
                  </pic:spPr>
                </pic:pic>
              </a:graphicData>
            </a:graphic>
          </wp:inline>
        </w:drawing>
      </w:r>
    </w:p>
    <w:p w14:paraId="3B92EA10">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5  教学伴学回答：L1 诊断、L2 协同、L3 呈现与相关知识</w:t>
      </w:r>
    </w:p>
    <w:p w14:paraId="774078E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学生提交问题后，系统会在回答页展示启发式反馈、相关知识、图谱命中节点和多智能体运行过程。反馈不是直接输出完整正确代码，而是通过追问、局部提示、变量状态观察和下一步行动引导学生继续思考。页面中的“相关知识”来自知识库 chunking、embedding 检索和图谱连接，能够让学生看到本次回答所依赖的材料依据。</w:t>
      </w:r>
    </w:p>
    <w:p w14:paraId="43F6CB7D">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52470"/>
            <wp:effectExtent l="0" t="0" r="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3252807"/>
                    </a:xfrm>
                    <a:prstGeom prst="rect">
                      <a:avLst/>
                    </a:prstGeom>
                  </pic:spPr>
                </pic:pic>
              </a:graphicData>
            </a:graphic>
          </wp:inline>
        </w:drawing>
      </w:r>
    </w:p>
    <w:p w14:paraId="4013F56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6  学生图谱视图：检索、拖动与前置相关节点查看</w:t>
      </w:r>
    </w:p>
    <w:p w14:paraId="0DF849B3">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学生端图谱视图用于把抽象知识点转化为可观察的学习路径。学生可以检索目标考点，拖动节点观察局部结构，点击节点查看前置相关节点与掌握信息。该功能将“先修知识缺口”具体化，避免系统只给出笼统建议，也便于学生理解为什么某个报错或卡点与此前知识有关。</w:t>
      </w:r>
    </w:p>
    <w:p w14:paraId="391263E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5.2 教师端：班级任务、知识库与学情复盘</w:t>
      </w:r>
    </w:p>
    <w:p w14:paraId="46A516B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52470"/>
            <wp:effectExtent l="0" t="0" r="0" b="241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15000" cy="3252807"/>
                    </a:xfrm>
                    <a:prstGeom prst="rect">
                      <a:avLst/>
                    </a:prstGeom>
                  </pic:spPr>
                </pic:pic>
              </a:graphicData>
            </a:graphic>
          </wp:inline>
        </w:drawing>
      </w:r>
    </w:p>
    <w:p w14:paraId="1A52D80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7  教师工作台：班级任务分配、课堂交互与任务编排</w:t>
      </w:r>
    </w:p>
    <w:p w14:paraId="34D9CCF1">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教师工作台承担课堂组织功能。教师可以创建任务、分配班级、查看任务状态和最近交互，并据此判断学生当前是停留在概念理解、算法组织还是调试验证阶段。学生端看到的任务来自教师端控制，而不是学生自行接触系统管理任务，这使系统更符合课堂教学中的权责关系。</w:t>
      </w:r>
    </w:p>
    <w:p w14:paraId="0133799A">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52470"/>
            <wp:effectExtent l="0" t="0" r="0" b="241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15000" cy="3252807"/>
                    </a:xfrm>
                    <a:prstGeom prst="rect">
                      <a:avLst/>
                    </a:prstGeom>
                  </pic:spPr>
                </pic:pic>
              </a:graphicData>
            </a:graphic>
          </wp:inline>
        </w:drawing>
      </w:r>
    </w:p>
    <w:p w14:paraId="4E5BEAA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8  知识库页面：上传文件、生成相关知识、embedding 与图谱视图</w:t>
      </w:r>
    </w:p>
    <w:p w14:paraId="0A4BF5C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知识库是教师端的重要扩展模块。教师上传课堂材料、案例文本或任务说明后，系统会将文件解析为多个相关知识片段，并生成向量表示用于后续检索；同时，知识片段会与命中的考点节点建立图谱关系。这样，教学材料不只是被静态保存，而是成为学生对话时可被调用、可被解释、可被追溯的知识资源。</w:t>
      </w:r>
    </w:p>
    <w:p w14:paraId="7397EDE0">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5.3 管理员端：系统配置、图谱维护与安全边界</w:t>
      </w:r>
    </w:p>
    <w:p w14:paraId="5D928ED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14370"/>
            <wp:effectExtent l="0" t="0" r="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15000" cy="3214688"/>
                    </a:xfrm>
                    <a:prstGeom prst="rect">
                      <a:avLst/>
                    </a:prstGeom>
                  </pic:spPr>
                </pic:pic>
              </a:graphicData>
            </a:graphic>
          </wp:inline>
        </w:drawing>
      </w:r>
    </w:p>
    <w:p w14:paraId="36044B94">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9  管理员中心：系统状态、角色入口与维护概览</w:t>
      </w:r>
    </w:p>
    <w:p w14:paraId="0236AEC3">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管理员中心用于观察系统运行状态和进入配置页面。管理员并不参与具体学习对话，而是维护系统所依赖的用户、班级、模型、图谱和提示词工作流。该页面体现了系统工程层面的可维护性，使结题展示不只是一个学生端界面，而是包含后台治理能力的完整系统。</w:t>
      </w:r>
    </w:p>
    <w:p w14:paraId="05E42FC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52470"/>
            <wp:effectExtent l="0" t="0" r="0" b="24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15000" cy="3252807"/>
                    </a:xfrm>
                    <a:prstGeom prst="rect">
                      <a:avLst/>
                    </a:prstGeom>
                  </pic:spPr>
                </pic:pic>
              </a:graphicData>
            </a:graphic>
          </wp:inline>
        </w:drawing>
      </w:r>
    </w:p>
    <w:p w14:paraId="79F5062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10  设置页面上部：学习者画像、多智能体偏好、API 与教学模式配置</w:t>
      </w:r>
    </w:p>
    <w:p w14:paraId="5E0C9FFB">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设置页将学习者画像、多智能体偏好、API 网关和教学模式参数集中管理。多智能体偏好支持系统动态分配，能够依据 L1 诊断结果和路由结论选择 P1、P2、P3、P4，而不是简单让用户手动堆叠智能体。API 配置以 Base URL、API Key、对话模型和 embedding 模型为核心，原型说明中明确不把密钥写入源码，从而符合系统演示与后续部署的安全要求。</w:t>
      </w:r>
    </w:p>
    <w:p w14:paraId="6FE7FF5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52470"/>
            <wp:effectExtent l="0" t="0" r="0" b="241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715000" cy="3252807"/>
                    </a:xfrm>
                    <a:prstGeom prst="rect">
                      <a:avLst/>
                    </a:prstGeom>
                  </pic:spPr>
                </pic:pic>
              </a:graphicData>
            </a:graphic>
          </wp:inline>
        </w:drawing>
      </w:r>
    </w:p>
    <w:p w14:paraId="51BB65A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11  设置页面下部：核心提示词、工作流步骤与运行时设计</w:t>
      </w:r>
    </w:p>
    <w:p w14:paraId="6D42591E">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设置页面下部展示系统工作流和核心提示词，使研究者能够检查 L1、L2、L3 的职责边界。该设计把实验脚本中的提示词与跑批逻辑转化为可读、可配置的系统元数据，便于后续在论文实验、课堂应用或其他教学流程中继续调整。</w:t>
      </w:r>
    </w:p>
    <w:p w14:paraId="010767FA">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drawing>
          <wp:inline distT="0" distB="0" distL="114300" distR="114300">
            <wp:extent cx="5715000" cy="3252470"/>
            <wp:effectExtent l="0" t="0" r="0" b="241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715000" cy="3252807"/>
                    </a:xfrm>
                    <a:prstGeom prst="rect">
                      <a:avLst/>
                    </a:prstGeom>
                  </pic:spPr>
                </pic:pic>
              </a:graphicData>
            </a:graphic>
          </wp:inline>
        </w:drawing>
      </w:r>
    </w:p>
    <w:p w14:paraId="700DE86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图 12  管理员图谱视图：145 个 Python 微观考点、学情节点与依赖关系</w:t>
      </w:r>
    </w:p>
    <w:p w14:paraId="08F2BAAA">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管理员图谱视图展示了 145 个 Python 微观考点、认知阶段、学生学情状态和前置依赖关系。系统当前使用中等生画像作为演示学情，节点详情能够显示考点编号、认知阶段、掌握度、近期错误次数和前置相关节点。这一功能把论文中的微观知识结构和学情建模落实到可交互界面中，也为教师复盘和后续 Neo4j 迁移提供了结构基础。</w:t>
      </w:r>
    </w:p>
    <w:p w14:paraId="49C8E30D">
      <w:pPr>
        <w:spacing w:before="120" w:after="80" w:line="360" w:lineRule="auto"/>
        <w:jc w:val="left"/>
        <w:rPr>
          <w:rFonts w:ascii="Times New Roman" w:hAnsi="Times New Roman" w:eastAsia="宋体"/>
          <w:b w:val="0"/>
          <w:bCs/>
          <w:sz w:val="24"/>
        </w:rPr>
      </w:pPr>
      <w:bookmarkStart w:id="0" w:name="_GoBack"/>
      <w:r>
        <w:rPr>
          <w:rFonts w:ascii="Times New Roman" w:hAnsi="Times New Roman" w:eastAsia="宋体"/>
          <w:b w:val="0"/>
          <w:bCs/>
          <w:sz w:val="24"/>
        </w:rPr>
        <w:t>6. 知识图谱与知识库设计原理</w:t>
      </w:r>
    </w:p>
    <w:p w14:paraId="49FEA04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系统知识图谱由概念节点、学生节点、文档节点、相关知识片段节点和关系边共同构成。概念层面，系统纳入 145 个带认知阶段标记的 Python 微观考点，覆盖执行环境、变量与数据类型、表达式、字符串、分支、循环、列表、字典、模块、函数、算法思想、异常诊断和扩展认知等内容；关系层面，系统通过 REQUIRES 表示前置依赖，通过 KNOWS 表示学生对考点的掌握度、近期错误次数和状态标签，通过 MENTIONS 表示文档片段与知识点之间的命中关系。</w:t>
      </w:r>
    </w:p>
    <w:p w14:paraId="25220FB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知识库模块承担图谱外部语料进入系统的通道。教师上传文件后，系统对文本进行分块处理，将较长材料转化为适合检索和注入对话的相关知识片段，并为片段生成 embedding。对话发生时，系统不会把整篇文档直接塞入模型上下文，而是根据学生输入、目标考点和图谱邻接关系选取少量高相关片段。这一设计与论文中的图谱增强结论一致，即对初中编程学习而言，局部、可解释、围绕前置知识的增强通常比大规模无差别注入更有利于降低认知负荷。</w:t>
      </w:r>
    </w:p>
    <w:p w14:paraId="21DED87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7. 多智能体提示词与工作流设计</w:t>
      </w:r>
    </w:p>
    <w:p w14:paraId="49C24660">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CT-GraphMAS 的提示词设计采用“职责分离”原则。L1 不负责最终解答，而是把学生输入、知识图谱命中和 2-hop 学情上下文整合成结构化诊断；L2 不直接面向学生输出，而是从计算思维维度生成教研支架；L3 才负责把 L2 聚合策略改写为学生可读的启发式反馈。这样可以减少单一模型在同一轮对话中同时承担诊断、推理、表达和安全控制所带来的漂移风险。</w:t>
      </w:r>
    </w:p>
    <w:p w14:paraId="6F2CAA7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L2 层包含 P1 问题分解、P2 抽象建模、P3 算法设计和 P4 评估调试四类智能体。系统默认支持动态路由：当 L1 判断学生卡在问题规模和模块边界时，优先调用 P1；当学生难以把现实情境映射为变量、列表或字典时，调用 P2；当问题集中在步骤顺序、条件流转或循环终止时，调用 P3；当问题表现为报错、输出异常或调试困难时，调用 P4。实验扩展时，系统仍可复现 P1-P4 的多组合比较，但产品原型不把“多智能体数量越多”作为默认目标。</w:t>
      </w:r>
    </w:p>
    <w:tbl>
      <w:tblPr>
        <w:tblStyle w:val="32"/>
        <w:tblW w:w="9144" w:type="dxa"/>
        <w:jc w:val="center"/>
        <w:tblBorders>
          <w:top w:val="single" w:color="B7C7D9" w:sz="6" w:space="0"/>
          <w:left w:val="single" w:color="B7C7D9" w:sz="6" w:space="0"/>
          <w:bottom w:val="single" w:color="B7C7D9" w:sz="6" w:space="0"/>
          <w:right w:val="single" w:color="B7C7D9" w:sz="6" w:space="0"/>
          <w:insideH w:val="single" w:color="B7C7D9" w:sz="6" w:space="0"/>
          <w:insideV w:val="single" w:color="B7C7D9" w:sz="6" w:space="0"/>
        </w:tblBorders>
        <w:tblLayout w:type="fixed"/>
        <w:tblCellMar>
          <w:top w:w="0" w:type="dxa"/>
          <w:left w:w="108" w:type="dxa"/>
          <w:bottom w:w="0" w:type="dxa"/>
          <w:right w:w="108" w:type="dxa"/>
        </w:tblCellMar>
      </w:tblPr>
      <w:tblGrid>
        <w:gridCol w:w="2340"/>
        <w:gridCol w:w="2340"/>
        <w:gridCol w:w="2340"/>
        <w:gridCol w:w="2340"/>
      </w:tblGrid>
      <w:tr w14:paraId="220C90AA">
        <w:trPr>
          <w:jc w:val="center"/>
        </w:trPr>
        <w:tc>
          <w:tcPr>
            <w:tcW w:w="792" w:type="dxa"/>
            <w:shd w:val="clear" w:color="auto" w:fill="F2F4F7"/>
            <w:tcMar>
              <w:top w:w="80" w:type="dxa"/>
              <w:left w:w="120" w:type="dxa"/>
              <w:bottom w:w="80" w:type="dxa"/>
              <w:right w:w="120" w:type="dxa"/>
            </w:tcMar>
            <w:vAlign w:val="center"/>
          </w:tcPr>
          <w:p w14:paraId="4814B0C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层级</w:t>
            </w:r>
          </w:p>
        </w:tc>
        <w:tc>
          <w:tcPr>
            <w:tcW w:w="1944" w:type="dxa"/>
            <w:shd w:val="clear" w:color="auto" w:fill="F2F4F7"/>
            <w:tcMar>
              <w:top w:w="80" w:type="dxa"/>
              <w:left w:w="120" w:type="dxa"/>
              <w:bottom w:w="80" w:type="dxa"/>
              <w:right w:w="120" w:type="dxa"/>
            </w:tcMar>
            <w:vAlign w:val="center"/>
          </w:tcPr>
          <w:p w14:paraId="6BAADD8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角色定位</w:t>
            </w:r>
          </w:p>
        </w:tc>
        <w:tc>
          <w:tcPr>
            <w:tcW w:w="3311" w:type="dxa"/>
            <w:shd w:val="clear" w:color="auto" w:fill="F2F4F7"/>
            <w:tcMar>
              <w:top w:w="80" w:type="dxa"/>
              <w:left w:w="120" w:type="dxa"/>
              <w:bottom w:w="80" w:type="dxa"/>
              <w:right w:w="120" w:type="dxa"/>
            </w:tcMar>
            <w:vAlign w:val="center"/>
          </w:tcPr>
          <w:p w14:paraId="657C5050">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输入与输出</w:t>
            </w:r>
          </w:p>
        </w:tc>
        <w:tc>
          <w:tcPr>
            <w:tcW w:w="3096" w:type="dxa"/>
            <w:shd w:val="clear" w:color="auto" w:fill="F2F4F7"/>
            <w:tcMar>
              <w:top w:w="80" w:type="dxa"/>
              <w:left w:w="120" w:type="dxa"/>
              <w:bottom w:w="80" w:type="dxa"/>
              <w:right w:w="120" w:type="dxa"/>
            </w:tcMar>
            <w:vAlign w:val="center"/>
          </w:tcPr>
          <w:p w14:paraId="66B91AB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提示词约束</w:t>
            </w:r>
          </w:p>
        </w:tc>
      </w:tr>
      <w:tr w14:paraId="5AB22621">
        <w:trPr>
          <w:jc w:val="center"/>
        </w:trPr>
        <w:tc>
          <w:tcPr>
            <w:tcW w:w="792" w:type="dxa"/>
            <w:tcMar>
              <w:top w:w="80" w:type="dxa"/>
              <w:left w:w="120" w:type="dxa"/>
              <w:bottom w:w="80" w:type="dxa"/>
              <w:right w:w="120" w:type="dxa"/>
            </w:tcMar>
            <w:vAlign w:val="center"/>
          </w:tcPr>
          <w:p w14:paraId="13E44D24">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L1</w:t>
            </w:r>
          </w:p>
        </w:tc>
        <w:tc>
          <w:tcPr>
            <w:tcW w:w="1944" w:type="dxa"/>
            <w:tcMar>
              <w:top w:w="80" w:type="dxa"/>
              <w:left w:w="120" w:type="dxa"/>
              <w:bottom w:w="80" w:type="dxa"/>
              <w:right w:w="120" w:type="dxa"/>
            </w:tcMar>
            <w:vAlign w:val="center"/>
          </w:tcPr>
          <w:p w14:paraId="2EE0209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学情与任务整合中枢</w:t>
            </w:r>
          </w:p>
        </w:tc>
        <w:tc>
          <w:tcPr>
            <w:tcW w:w="3311" w:type="dxa"/>
            <w:tcMar>
              <w:top w:w="80" w:type="dxa"/>
              <w:left w:w="120" w:type="dxa"/>
              <w:bottom w:w="80" w:type="dxa"/>
              <w:right w:w="120" w:type="dxa"/>
            </w:tcMar>
            <w:vAlign w:val="center"/>
          </w:tcPr>
          <w:p w14:paraId="45E5ADC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输入学生问题、K 节点映射和 2-hop 学情；输出诊断前置卷 JSON。</w:t>
            </w:r>
          </w:p>
        </w:tc>
        <w:tc>
          <w:tcPr>
            <w:tcW w:w="3096" w:type="dxa"/>
            <w:tcMar>
              <w:top w:w="80" w:type="dxa"/>
              <w:left w:w="120" w:type="dxa"/>
              <w:bottom w:w="80" w:type="dxa"/>
              <w:right w:w="120" w:type="dxa"/>
            </w:tcMar>
            <w:vAlign w:val="center"/>
          </w:tcPr>
          <w:p w14:paraId="65F230D6">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不输出代码或最终解法，只界定情境、认知状态、目标考点、路由和风险。</w:t>
            </w:r>
          </w:p>
        </w:tc>
      </w:tr>
      <w:tr w14:paraId="40B4FEB6">
        <w:trPr>
          <w:jc w:val="center"/>
        </w:trPr>
        <w:tc>
          <w:tcPr>
            <w:tcW w:w="792" w:type="dxa"/>
            <w:tcMar>
              <w:top w:w="80" w:type="dxa"/>
              <w:left w:w="120" w:type="dxa"/>
              <w:bottom w:w="80" w:type="dxa"/>
              <w:right w:w="120" w:type="dxa"/>
            </w:tcMar>
            <w:vAlign w:val="center"/>
          </w:tcPr>
          <w:p w14:paraId="5E89CA93">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P1</w:t>
            </w:r>
          </w:p>
        </w:tc>
        <w:tc>
          <w:tcPr>
            <w:tcW w:w="1944" w:type="dxa"/>
            <w:tcMar>
              <w:top w:w="80" w:type="dxa"/>
              <w:left w:w="120" w:type="dxa"/>
              <w:bottom w:w="80" w:type="dxa"/>
              <w:right w:w="120" w:type="dxa"/>
            </w:tcMar>
            <w:vAlign w:val="center"/>
          </w:tcPr>
          <w:p w14:paraId="2AE2695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问题分解教研员</w:t>
            </w:r>
          </w:p>
        </w:tc>
        <w:tc>
          <w:tcPr>
            <w:tcW w:w="3311" w:type="dxa"/>
            <w:tcMar>
              <w:top w:w="80" w:type="dxa"/>
              <w:left w:w="120" w:type="dxa"/>
              <w:bottom w:w="80" w:type="dxa"/>
              <w:right w:w="120" w:type="dxa"/>
            </w:tcMar>
            <w:vAlign w:val="center"/>
          </w:tcPr>
          <w:p w14:paraId="1B15254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输入 L1 诊断前置卷；输出最小切入点和拆解步骤。</w:t>
            </w:r>
          </w:p>
        </w:tc>
        <w:tc>
          <w:tcPr>
            <w:tcW w:w="3096" w:type="dxa"/>
            <w:tcMar>
              <w:top w:w="80" w:type="dxa"/>
              <w:left w:w="120" w:type="dxa"/>
              <w:bottom w:w="80" w:type="dxa"/>
              <w:right w:w="120" w:type="dxa"/>
            </w:tcMar>
            <w:vAlign w:val="center"/>
          </w:tcPr>
          <w:p w14:paraId="7542C40A">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缩小问题范围，建立最小可运行任务。</w:t>
            </w:r>
          </w:p>
        </w:tc>
      </w:tr>
      <w:tr w14:paraId="3F8F5CDF">
        <w:trPr>
          <w:jc w:val="center"/>
        </w:trPr>
        <w:tc>
          <w:tcPr>
            <w:tcW w:w="792" w:type="dxa"/>
            <w:tcMar>
              <w:top w:w="80" w:type="dxa"/>
              <w:left w:w="120" w:type="dxa"/>
              <w:bottom w:w="80" w:type="dxa"/>
              <w:right w:w="120" w:type="dxa"/>
            </w:tcMar>
            <w:vAlign w:val="center"/>
          </w:tcPr>
          <w:p w14:paraId="0E5023E7">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P2</w:t>
            </w:r>
          </w:p>
        </w:tc>
        <w:tc>
          <w:tcPr>
            <w:tcW w:w="1944" w:type="dxa"/>
            <w:tcMar>
              <w:top w:w="80" w:type="dxa"/>
              <w:left w:w="120" w:type="dxa"/>
              <w:bottom w:w="80" w:type="dxa"/>
              <w:right w:w="120" w:type="dxa"/>
            </w:tcMar>
            <w:vAlign w:val="center"/>
          </w:tcPr>
          <w:p w14:paraId="5942976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抽象建模教研员</w:t>
            </w:r>
          </w:p>
        </w:tc>
        <w:tc>
          <w:tcPr>
            <w:tcW w:w="3311" w:type="dxa"/>
            <w:tcMar>
              <w:top w:w="80" w:type="dxa"/>
              <w:left w:w="120" w:type="dxa"/>
              <w:bottom w:w="80" w:type="dxa"/>
              <w:right w:w="120" w:type="dxa"/>
            </w:tcMar>
            <w:vAlign w:val="center"/>
          </w:tcPr>
          <w:p w14:paraId="10B063B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输入 L1 诊断前置卷；输出数据状态和建模支架。</w:t>
            </w:r>
          </w:p>
        </w:tc>
        <w:tc>
          <w:tcPr>
            <w:tcW w:w="3096" w:type="dxa"/>
            <w:tcMar>
              <w:top w:w="80" w:type="dxa"/>
              <w:left w:w="120" w:type="dxa"/>
              <w:bottom w:w="80" w:type="dxa"/>
              <w:right w:w="120" w:type="dxa"/>
            </w:tcMar>
            <w:vAlign w:val="center"/>
          </w:tcPr>
          <w:p w14:paraId="778256E1">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强调变量、数据容器和现实逻辑的映射。</w:t>
            </w:r>
          </w:p>
        </w:tc>
      </w:tr>
      <w:tr w14:paraId="7251FD08">
        <w:trPr>
          <w:jc w:val="center"/>
        </w:trPr>
        <w:tc>
          <w:tcPr>
            <w:tcW w:w="792" w:type="dxa"/>
            <w:tcMar>
              <w:top w:w="80" w:type="dxa"/>
              <w:left w:w="120" w:type="dxa"/>
              <w:bottom w:w="80" w:type="dxa"/>
              <w:right w:w="120" w:type="dxa"/>
            </w:tcMar>
            <w:vAlign w:val="center"/>
          </w:tcPr>
          <w:p w14:paraId="1408038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P3</w:t>
            </w:r>
          </w:p>
        </w:tc>
        <w:tc>
          <w:tcPr>
            <w:tcW w:w="1944" w:type="dxa"/>
            <w:tcMar>
              <w:top w:w="80" w:type="dxa"/>
              <w:left w:w="120" w:type="dxa"/>
              <w:bottom w:w="80" w:type="dxa"/>
              <w:right w:w="120" w:type="dxa"/>
            </w:tcMar>
            <w:vAlign w:val="center"/>
          </w:tcPr>
          <w:p w14:paraId="0012F8C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算法设计教研员</w:t>
            </w:r>
          </w:p>
        </w:tc>
        <w:tc>
          <w:tcPr>
            <w:tcW w:w="3311" w:type="dxa"/>
            <w:tcMar>
              <w:top w:w="80" w:type="dxa"/>
              <w:left w:w="120" w:type="dxa"/>
              <w:bottom w:w="80" w:type="dxa"/>
              <w:right w:w="120" w:type="dxa"/>
            </w:tcMar>
            <w:vAlign w:val="center"/>
          </w:tcPr>
          <w:p w14:paraId="5C06FFEC">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输入 L1 诊断前置卷；输出执行顺序和控制流支架。</w:t>
            </w:r>
          </w:p>
        </w:tc>
        <w:tc>
          <w:tcPr>
            <w:tcW w:w="3096" w:type="dxa"/>
            <w:tcMar>
              <w:top w:w="80" w:type="dxa"/>
              <w:left w:w="120" w:type="dxa"/>
              <w:bottom w:w="80" w:type="dxa"/>
              <w:right w:w="120" w:type="dxa"/>
            </w:tcMar>
            <w:vAlign w:val="center"/>
          </w:tcPr>
          <w:p w14:paraId="3EDBB81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关注分支、循环、终止条件和逻辑闭环。</w:t>
            </w:r>
          </w:p>
        </w:tc>
      </w:tr>
      <w:tr w14:paraId="151B6D27">
        <w:trPr>
          <w:jc w:val="center"/>
        </w:trPr>
        <w:tc>
          <w:tcPr>
            <w:tcW w:w="792" w:type="dxa"/>
            <w:tcMar>
              <w:top w:w="80" w:type="dxa"/>
              <w:left w:w="120" w:type="dxa"/>
              <w:bottom w:w="80" w:type="dxa"/>
              <w:right w:w="120" w:type="dxa"/>
            </w:tcMar>
            <w:vAlign w:val="center"/>
          </w:tcPr>
          <w:p w14:paraId="1D11837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P4</w:t>
            </w:r>
          </w:p>
        </w:tc>
        <w:tc>
          <w:tcPr>
            <w:tcW w:w="1944" w:type="dxa"/>
            <w:tcMar>
              <w:top w:w="80" w:type="dxa"/>
              <w:left w:w="120" w:type="dxa"/>
              <w:bottom w:w="80" w:type="dxa"/>
              <w:right w:w="120" w:type="dxa"/>
            </w:tcMar>
            <w:vAlign w:val="center"/>
          </w:tcPr>
          <w:p w14:paraId="7A2FA4B7">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评估与调试教研员</w:t>
            </w:r>
          </w:p>
        </w:tc>
        <w:tc>
          <w:tcPr>
            <w:tcW w:w="3311" w:type="dxa"/>
            <w:tcMar>
              <w:top w:w="80" w:type="dxa"/>
              <w:left w:w="120" w:type="dxa"/>
              <w:bottom w:w="80" w:type="dxa"/>
              <w:right w:w="120" w:type="dxa"/>
            </w:tcMar>
            <w:vAlign w:val="center"/>
          </w:tcPr>
          <w:p w14:paraId="09A410D1">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输入 L1 诊断前置卷；输出假设、测试和状态追踪策略。</w:t>
            </w:r>
          </w:p>
        </w:tc>
        <w:tc>
          <w:tcPr>
            <w:tcW w:w="3096" w:type="dxa"/>
            <w:tcMar>
              <w:top w:w="80" w:type="dxa"/>
              <w:left w:w="120" w:type="dxa"/>
              <w:bottom w:w="80" w:type="dxa"/>
              <w:right w:w="120" w:type="dxa"/>
            </w:tcMar>
            <w:vAlign w:val="center"/>
          </w:tcPr>
          <w:p w14:paraId="57F1F83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通过最小复现、边界样例和变量观察定位问题。</w:t>
            </w:r>
          </w:p>
        </w:tc>
      </w:tr>
      <w:tr w14:paraId="3A18F6E8">
        <w:trPr>
          <w:jc w:val="center"/>
        </w:trPr>
        <w:tc>
          <w:tcPr>
            <w:tcW w:w="792" w:type="dxa"/>
            <w:tcMar>
              <w:top w:w="80" w:type="dxa"/>
              <w:left w:w="120" w:type="dxa"/>
              <w:bottom w:w="80" w:type="dxa"/>
              <w:right w:w="120" w:type="dxa"/>
            </w:tcMar>
            <w:vAlign w:val="center"/>
          </w:tcPr>
          <w:p w14:paraId="002F2E71">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L3</w:t>
            </w:r>
          </w:p>
        </w:tc>
        <w:tc>
          <w:tcPr>
            <w:tcW w:w="1944" w:type="dxa"/>
            <w:tcMar>
              <w:top w:w="80" w:type="dxa"/>
              <w:left w:w="120" w:type="dxa"/>
              <w:bottom w:w="80" w:type="dxa"/>
              <w:right w:w="120" w:type="dxa"/>
            </w:tcMar>
            <w:vAlign w:val="center"/>
          </w:tcPr>
          <w:p w14:paraId="031EF61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T2 启发型导师</w:t>
            </w:r>
          </w:p>
        </w:tc>
        <w:tc>
          <w:tcPr>
            <w:tcW w:w="3311" w:type="dxa"/>
            <w:tcMar>
              <w:top w:w="80" w:type="dxa"/>
              <w:left w:w="120" w:type="dxa"/>
              <w:bottom w:w="80" w:type="dxa"/>
              <w:right w:w="120" w:type="dxa"/>
            </w:tcMar>
            <w:vAlign w:val="center"/>
          </w:tcPr>
          <w:p w14:paraId="053716FB">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输入学生原问题和 L2 聚合策略；输出 100-500 字反馈。</w:t>
            </w:r>
          </w:p>
        </w:tc>
        <w:tc>
          <w:tcPr>
            <w:tcW w:w="3096" w:type="dxa"/>
            <w:tcMar>
              <w:top w:w="80" w:type="dxa"/>
              <w:left w:w="120" w:type="dxa"/>
              <w:bottom w:w="80" w:type="dxa"/>
              <w:right w:w="120" w:type="dxa"/>
            </w:tcMar>
            <w:vAlign w:val="center"/>
          </w:tcPr>
          <w:p w14:paraId="123B75F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只使用 L2 素材，不直接给完整代码，采用追问和局部提示。</w:t>
            </w:r>
          </w:p>
        </w:tc>
      </w:tr>
    </w:tbl>
    <w:p w14:paraId="76077A90">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运行时工作流从 API 网关配置开始，依次经过意图映射、2-hop 图谱上下文抽取、L1 诊断前置卷、L2 计算思维教研、L3 启发呈现和教学门控。API Key 由设置页配置并以掩码显示，源码中不保存密钥；无外部 API 时系统可使用本地规则智能体演示，启用外部模型后则可接入 OpenAI-compatible 网关和 embedding 模型。</w:t>
      </w:r>
    </w:p>
    <w:tbl>
      <w:tblPr>
        <w:tblStyle w:val="32"/>
        <w:tblW w:w="9144" w:type="dxa"/>
        <w:jc w:val="center"/>
        <w:tblBorders>
          <w:top w:val="single" w:color="B7C7D9" w:sz="6" w:space="0"/>
          <w:left w:val="single" w:color="B7C7D9" w:sz="6" w:space="0"/>
          <w:bottom w:val="single" w:color="B7C7D9" w:sz="6" w:space="0"/>
          <w:right w:val="single" w:color="B7C7D9" w:sz="6" w:space="0"/>
          <w:insideH w:val="single" w:color="B7C7D9" w:sz="6" w:space="0"/>
          <w:insideV w:val="single" w:color="B7C7D9" w:sz="6" w:space="0"/>
        </w:tblBorders>
        <w:tblLayout w:type="fixed"/>
        <w:tblCellMar>
          <w:top w:w="0" w:type="dxa"/>
          <w:left w:w="108" w:type="dxa"/>
          <w:bottom w:w="0" w:type="dxa"/>
          <w:right w:w="108" w:type="dxa"/>
        </w:tblCellMar>
      </w:tblPr>
      <w:tblGrid>
        <w:gridCol w:w="40"/>
        <w:gridCol w:w="3120"/>
        <w:gridCol w:w="3120"/>
        <w:gridCol w:w="3080"/>
        <w:gridCol w:w="40"/>
      </w:tblGrid>
      <w:tr w14:paraId="7DD453D0">
        <w:trPr>
          <w:gridBefore w:val="1"/>
          <w:jc w:val="center"/>
        </w:trPr>
        <w:tc>
          <w:tcPr>
            <w:tcW w:w="936" w:type="dxa"/>
            <w:shd w:val="clear" w:color="auto" w:fill="F2F4F7"/>
            <w:tcMar>
              <w:top w:w="80" w:type="dxa"/>
              <w:left w:w="120" w:type="dxa"/>
              <w:bottom w:w="80" w:type="dxa"/>
              <w:right w:w="120" w:type="dxa"/>
            </w:tcMar>
            <w:vAlign w:val="center"/>
          </w:tcPr>
          <w:p w14:paraId="0BD2C5AF">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步骤</w:t>
            </w:r>
          </w:p>
        </w:tc>
        <w:tc>
          <w:tcPr>
            <w:tcW w:w="2232" w:type="dxa"/>
            <w:shd w:val="clear" w:color="auto" w:fill="F2F4F7"/>
            <w:tcMar>
              <w:top w:w="80" w:type="dxa"/>
              <w:left w:w="120" w:type="dxa"/>
              <w:bottom w:w="80" w:type="dxa"/>
              <w:right w:w="120" w:type="dxa"/>
            </w:tcMar>
            <w:vAlign w:val="center"/>
          </w:tcPr>
          <w:p w14:paraId="75024BDB">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名称</w:t>
            </w:r>
          </w:p>
        </w:tc>
        <w:tc>
          <w:tcPr>
            <w:tcW w:w="5976" w:type="dxa"/>
            <w:gridSpan w:val="2"/>
            <w:shd w:val="clear" w:color="auto" w:fill="F2F4F7"/>
            <w:tcMar>
              <w:top w:w="80" w:type="dxa"/>
              <w:left w:w="120" w:type="dxa"/>
              <w:bottom w:w="80" w:type="dxa"/>
              <w:right w:w="120" w:type="dxa"/>
            </w:tcMar>
            <w:vAlign w:val="center"/>
          </w:tcPr>
          <w:p w14:paraId="447DF1D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系统含义</w:t>
            </w:r>
          </w:p>
        </w:tc>
      </w:tr>
      <w:tr w14:paraId="365EB7F9">
        <w:trPr>
          <w:gridBefore w:val="1"/>
          <w:jc w:val="center"/>
        </w:trPr>
        <w:tc>
          <w:tcPr>
            <w:tcW w:w="936" w:type="dxa"/>
            <w:tcMar>
              <w:top w:w="80" w:type="dxa"/>
              <w:left w:w="120" w:type="dxa"/>
              <w:bottom w:w="80" w:type="dxa"/>
              <w:right w:w="120" w:type="dxa"/>
            </w:tcMar>
            <w:vAlign w:val="center"/>
          </w:tcPr>
          <w:p w14:paraId="63675E1A">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S0</w:t>
            </w:r>
          </w:p>
        </w:tc>
        <w:tc>
          <w:tcPr>
            <w:tcW w:w="2232" w:type="dxa"/>
            <w:tcMar>
              <w:top w:w="80" w:type="dxa"/>
              <w:left w:w="120" w:type="dxa"/>
              <w:bottom w:w="80" w:type="dxa"/>
              <w:right w:w="120" w:type="dxa"/>
            </w:tcMar>
            <w:vAlign w:val="center"/>
          </w:tcPr>
          <w:p w14:paraId="3417FFD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API 网关配置</w:t>
            </w:r>
          </w:p>
        </w:tc>
        <w:tc>
          <w:tcPr>
            <w:tcW w:w="5976" w:type="dxa"/>
            <w:gridSpan w:val="2"/>
            <w:tcMar>
              <w:top w:w="80" w:type="dxa"/>
              <w:left w:w="120" w:type="dxa"/>
              <w:bottom w:w="80" w:type="dxa"/>
              <w:right w:w="120" w:type="dxa"/>
            </w:tcMar>
            <w:vAlign w:val="center"/>
          </w:tcPr>
          <w:p w14:paraId="6CDA3BED">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在设置页选择 OpenAI-compatible、本地模型或学校网关；源码不保存明文密钥。</w:t>
            </w:r>
          </w:p>
        </w:tc>
      </w:tr>
      <w:tr w14:paraId="41AADAB1">
        <w:trPr>
          <w:gridBefore w:val="1"/>
          <w:jc w:val="center"/>
        </w:trPr>
        <w:tc>
          <w:tcPr>
            <w:tcW w:w="936" w:type="dxa"/>
            <w:tcMar>
              <w:top w:w="80" w:type="dxa"/>
              <w:left w:w="120" w:type="dxa"/>
              <w:bottom w:w="80" w:type="dxa"/>
              <w:right w:w="120" w:type="dxa"/>
            </w:tcMar>
            <w:vAlign w:val="center"/>
          </w:tcPr>
          <w:p w14:paraId="7745FD3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S1</w:t>
            </w:r>
          </w:p>
        </w:tc>
        <w:tc>
          <w:tcPr>
            <w:tcW w:w="2232" w:type="dxa"/>
            <w:tcMar>
              <w:top w:w="80" w:type="dxa"/>
              <w:left w:w="120" w:type="dxa"/>
              <w:bottom w:w="80" w:type="dxa"/>
              <w:right w:w="120" w:type="dxa"/>
            </w:tcMar>
            <w:vAlign w:val="center"/>
          </w:tcPr>
          <w:p w14:paraId="368355A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意图映射</w:t>
            </w:r>
          </w:p>
        </w:tc>
        <w:tc>
          <w:tcPr>
            <w:tcW w:w="5976" w:type="dxa"/>
            <w:gridSpan w:val="2"/>
            <w:tcMar>
              <w:top w:w="80" w:type="dxa"/>
              <w:left w:w="120" w:type="dxa"/>
              <w:bottom w:w="80" w:type="dxa"/>
              <w:right w:w="120" w:type="dxa"/>
            </w:tcMar>
            <w:vAlign w:val="center"/>
          </w:tcPr>
          <w:p w14:paraId="23EBF933">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将学生输入映射到 145 个 Python 微观考点中的 Kxxx 节点。</w:t>
            </w:r>
          </w:p>
        </w:tc>
      </w:tr>
      <w:tr w14:paraId="67A58156">
        <w:trPr>
          <w:gridBefore w:val="1"/>
          <w:jc w:val="center"/>
        </w:trPr>
        <w:tc>
          <w:tcPr>
            <w:tcW w:w="936" w:type="dxa"/>
            <w:tcMar>
              <w:top w:w="80" w:type="dxa"/>
              <w:left w:w="120" w:type="dxa"/>
              <w:bottom w:w="80" w:type="dxa"/>
              <w:right w:w="120" w:type="dxa"/>
            </w:tcMar>
            <w:vAlign w:val="center"/>
          </w:tcPr>
          <w:p w14:paraId="0F0F503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S2</w:t>
            </w:r>
          </w:p>
        </w:tc>
        <w:tc>
          <w:tcPr>
            <w:tcW w:w="2232" w:type="dxa"/>
            <w:tcMar>
              <w:top w:w="80" w:type="dxa"/>
              <w:left w:w="120" w:type="dxa"/>
              <w:bottom w:w="80" w:type="dxa"/>
              <w:right w:w="120" w:type="dxa"/>
            </w:tcMar>
            <w:vAlign w:val="center"/>
          </w:tcPr>
          <w:p w14:paraId="13879C3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2-hop 学情上下文</w:t>
            </w:r>
          </w:p>
        </w:tc>
        <w:tc>
          <w:tcPr>
            <w:tcW w:w="5976" w:type="dxa"/>
            <w:gridSpan w:val="2"/>
            <w:tcMar>
              <w:top w:w="80" w:type="dxa"/>
              <w:left w:w="120" w:type="dxa"/>
              <w:bottom w:w="80" w:type="dxa"/>
              <w:right w:w="120" w:type="dxa"/>
            </w:tcMar>
            <w:vAlign w:val="center"/>
          </w:tcPr>
          <w:p w14:paraId="69EC93E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围绕目标考点抽取学生 KNOWS 状态和 REQUIRES 前置知识。</w:t>
            </w:r>
          </w:p>
        </w:tc>
      </w:tr>
      <w:tr w14:paraId="4975D030">
        <w:trPr>
          <w:gridBefore w:val="1"/>
          <w:jc w:val="center"/>
        </w:trPr>
        <w:tc>
          <w:tcPr>
            <w:tcW w:w="936" w:type="dxa"/>
            <w:tcMar>
              <w:top w:w="80" w:type="dxa"/>
              <w:left w:w="120" w:type="dxa"/>
              <w:bottom w:w="80" w:type="dxa"/>
              <w:right w:w="120" w:type="dxa"/>
            </w:tcMar>
            <w:vAlign w:val="center"/>
          </w:tcPr>
          <w:p w14:paraId="5B5694BD">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S3</w:t>
            </w:r>
          </w:p>
        </w:tc>
        <w:tc>
          <w:tcPr>
            <w:tcW w:w="2232" w:type="dxa"/>
            <w:tcMar>
              <w:top w:w="80" w:type="dxa"/>
              <w:left w:w="120" w:type="dxa"/>
              <w:bottom w:w="80" w:type="dxa"/>
              <w:right w:w="120" w:type="dxa"/>
            </w:tcMar>
            <w:vAlign w:val="center"/>
          </w:tcPr>
          <w:p w14:paraId="5B2195C5">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L1 诊断前置卷</w:t>
            </w:r>
          </w:p>
        </w:tc>
        <w:tc>
          <w:tcPr>
            <w:tcW w:w="5976" w:type="dxa"/>
            <w:gridSpan w:val="2"/>
            <w:tcMar>
              <w:top w:w="80" w:type="dxa"/>
              <w:left w:w="120" w:type="dxa"/>
              <w:bottom w:w="80" w:type="dxa"/>
              <w:right w:w="120" w:type="dxa"/>
            </w:tcMar>
            <w:vAlign w:val="center"/>
          </w:tcPr>
          <w:p w14:paraId="20789AE7">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整合原始问题、学情掌握度、前置漏洞和风险边界。</w:t>
            </w:r>
          </w:p>
        </w:tc>
      </w:tr>
      <w:tr w14:paraId="798E09A1">
        <w:trPr>
          <w:gridBefore w:val="1"/>
          <w:jc w:val="center"/>
        </w:trPr>
        <w:tc>
          <w:tcPr>
            <w:tcW w:w="936" w:type="dxa"/>
            <w:tcMar>
              <w:top w:w="80" w:type="dxa"/>
              <w:left w:w="120" w:type="dxa"/>
              <w:bottom w:w="80" w:type="dxa"/>
              <w:right w:w="120" w:type="dxa"/>
            </w:tcMar>
            <w:vAlign w:val="center"/>
          </w:tcPr>
          <w:p w14:paraId="6C92CF0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S4</w:t>
            </w:r>
          </w:p>
        </w:tc>
        <w:tc>
          <w:tcPr>
            <w:tcW w:w="2232" w:type="dxa"/>
            <w:tcMar>
              <w:top w:w="80" w:type="dxa"/>
              <w:left w:w="120" w:type="dxa"/>
              <w:bottom w:w="80" w:type="dxa"/>
              <w:right w:w="120" w:type="dxa"/>
            </w:tcMar>
            <w:vAlign w:val="center"/>
          </w:tcPr>
          <w:p w14:paraId="0DB3515C">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L2 计算思维教研</w:t>
            </w:r>
          </w:p>
        </w:tc>
        <w:tc>
          <w:tcPr>
            <w:tcW w:w="5976" w:type="dxa"/>
            <w:gridSpan w:val="2"/>
            <w:tcMar>
              <w:top w:w="80" w:type="dxa"/>
              <w:left w:w="120" w:type="dxa"/>
              <w:bottom w:w="80" w:type="dxa"/>
              <w:right w:w="120" w:type="dxa"/>
            </w:tcMar>
            <w:vAlign w:val="center"/>
          </w:tcPr>
          <w:p w14:paraId="3600FB34">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P1/P2/P3/P4 按路由并行生成问题分解、抽象建模、算法设计和调试评价支架。</w:t>
            </w:r>
          </w:p>
        </w:tc>
      </w:tr>
      <w:tr w14:paraId="7D9B9BBB">
        <w:trPr>
          <w:gridBefore w:val="1"/>
          <w:jc w:val="center"/>
        </w:trPr>
        <w:tc>
          <w:tcPr>
            <w:tcW w:w="936" w:type="dxa"/>
            <w:tcMar>
              <w:top w:w="80" w:type="dxa"/>
              <w:left w:w="120" w:type="dxa"/>
              <w:bottom w:w="80" w:type="dxa"/>
              <w:right w:w="120" w:type="dxa"/>
            </w:tcMar>
            <w:vAlign w:val="center"/>
          </w:tcPr>
          <w:p w14:paraId="59AF67A2">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S5</w:t>
            </w:r>
          </w:p>
        </w:tc>
        <w:tc>
          <w:tcPr>
            <w:tcW w:w="2232" w:type="dxa"/>
            <w:tcMar>
              <w:top w:w="80" w:type="dxa"/>
              <w:left w:w="120" w:type="dxa"/>
              <w:bottom w:w="80" w:type="dxa"/>
              <w:right w:w="120" w:type="dxa"/>
            </w:tcMar>
            <w:vAlign w:val="center"/>
          </w:tcPr>
          <w:p w14:paraId="1188BC63">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L3 启发呈现</w:t>
            </w:r>
          </w:p>
        </w:tc>
        <w:tc>
          <w:tcPr>
            <w:tcW w:w="5976" w:type="dxa"/>
            <w:gridSpan w:val="2"/>
            <w:tcMar>
              <w:top w:w="80" w:type="dxa"/>
              <w:left w:w="120" w:type="dxa"/>
              <w:bottom w:w="80" w:type="dxa"/>
              <w:right w:w="120" w:type="dxa"/>
            </w:tcMar>
            <w:vAlign w:val="center"/>
          </w:tcPr>
          <w:p w14:paraId="0FF3BC49">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将 L2 聚合策略压缩为学生可执行的启发式话术。</w:t>
            </w:r>
          </w:p>
        </w:tc>
      </w:tr>
      <w:tr w14:paraId="6CB169E6">
        <w:trPr>
          <w:gridBefore w:val="1"/>
          <w:jc w:val="center"/>
        </w:trPr>
        <w:tc>
          <w:tcPr>
            <w:tcW w:w="936" w:type="dxa"/>
            <w:tcMar>
              <w:top w:w="80" w:type="dxa"/>
              <w:left w:w="120" w:type="dxa"/>
              <w:bottom w:w="80" w:type="dxa"/>
              <w:right w:w="120" w:type="dxa"/>
            </w:tcMar>
            <w:vAlign w:val="center"/>
          </w:tcPr>
          <w:p w14:paraId="693664E4">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S6</w:t>
            </w:r>
          </w:p>
        </w:tc>
        <w:tc>
          <w:tcPr>
            <w:tcW w:w="2232" w:type="dxa"/>
            <w:tcMar>
              <w:top w:w="80" w:type="dxa"/>
              <w:left w:w="120" w:type="dxa"/>
              <w:bottom w:w="80" w:type="dxa"/>
              <w:right w:w="120" w:type="dxa"/>
            </w:tcMar>
            <w:vAlign w:val="center"/>
          </w:tcPr>
          <w:p w14:paraId="232D70AC">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教学门控</w:t>
            </w:r>
          </w:p>
        </w:tc>
        <w:tc>
          <w:tcPr>
            <w:tcW w:w="5976" w:type="dxa"/>
            <w:gridSpan w:val="2"/>
            <w:tcMar>
              <w:top w:w="80" w:type="dxa"/>
              <w:left w:w="120" w:type="dxa"/>
              <w:bottom w:w="80" w:type="dxa"/>
              <w:right w:w="120" w:type="dxa"/>
            </w:tcMar>
            <w:vAlign w:val="center"/>
          </w:tcPr>
          <w:p w14:paraId="1FDF0368">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检查是否存在完整代写、过度代码化或认知错位，并降级为提示和局部检查。</w:t>
            </w:r>
          </w:p>
        </w:tc>
      </w:tr>
      <w:tr w14:paraId="23BDA7DF">
        <w:tblPrEx>
          <w:tblBorders>
            <w:top w:val="single" w:color="9CC2E5" w:sz="8" w:space="0"/>
            <w:left w:val="single" w:color="9CC2E5" w:sz="8" w:space="0"/>
            <w:bottom w:val="single" w:color="9CC2E5" w:sz="8" w:space="0"/>
            <w:right w:val="single" w:color="9CC2E5" w:sz="8" w:space="0"/>
            <w:insideH w:val="single" w:color="9CC2E5" w:sz="8" w:space="0"/>
            <w:insideV w:val="single" w:color="9CC2E5" w:sz="8" w:space="0"/>
          </w:tblBorders>
        </w:tblPrEx>
        <w:trPr>
          <w:gridAfter w:val="1"/>
          <w:jc w:val="center"/>
        </w:trPr>
        <w:tc>
          <w:tcPr>
            <w:tcW w:w="9360" w:type="dxa"/>
            <w:gridSpan w:val="4"/>
            <w:shd w:val="clear" w:color="auto" w:fill="FFF2CC"/>
            <w:tcMar>
              <w:top w:w="120" w:type="dxa"/>
              <w:left w:w="160" w:type="dxa"/>
              <w:bottom w:w="120" w:type="dxa"/>
              <w:right w:w="160" w:type="dxa"/>
            </w:tcMar>
          </w:tcPr>
          <w:p w14:paraId="7D603131">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运行时设计说明</w:t>
            </w:r>
          </w:p>
          <w:p w14:paraId="72330514">
            <w:pPr>
              <w:spacing w:before="120" w:after="80" w:line="360" w:lineRule="auto"/>
              <w:jc w:val="left"/>
              <w:rPr>
                <w:rFonts w:ascii="Times New Roman" w:hAnsi="Times New Roman" w:eastAsia="宋体"/>
                <w:b w:val="0"/>
                <w:bCs/>
                <w:sz w:val="24"/>
              </w:rPr>
            </w:pPr>
            <w:r>
              <w:rPr>
                <w:rFonts w:ascii="Times New Roman" w:hAnsi="Times New Roman" w:eastAsia="宋体"/>
                <w:b w:val="0"/>
                <w:bCs/>
                <w:sz w:val="24"/>
              </w:rPr>
              <w:t>API 隔离方面，设置页统一配置 Base URL、API Key、对话模型、embedding 模型和 temperature；源码中不写入密钥。 模型模式方面，未启用外部 API 时使用本地规则智能体演示；启用后可将 L2 智能体与 embedding 接到 OpenAI-compatible 网关。 图谱模式方面，先将学生输入映射到 K001-K145 微观考点，再抽取 KNOWS 学情边与 REQUIRES 前置边。 路由模式方面，系统动态分配会依据 L1 诊断、任务类型、画像和路由结论选择 P1/P2/P3/P4；实验跑批可扩展为 15 种组合比较。 模式绑定方面，日常通用模式固定为标准辅导；教学模式可切换 C-O-D-E-R 与 ADAPT。</w:t>
            </w:r>
          </w:p>
        </w:tc>
      </w:tr>
    </w:tbl>
    <w:p w14:paraId="5B7031D0">
      <w:pPr>
        <w:spacing w:after="40"/>
      </w:pPr>
    </w:p>
    <w:p w14:paraId="1B034755">
      <w:pPr>
        <w:pStyle w:val="3"/>
        <w:pageBreakBefore/>
      </w:pPr>
      <w:r>
        <w:t>8. 核心提示词完整清单</w:t>
      </w:r>
    </w:p>
    <w:p w14:paraId="357D77E8">
      <w:pPr>
        <w:spacing w:before="0" w:after="160" w:line="300" w:lineRule="auto"/>
        <w:jc w:val="both"/>
      </w:pPr>
      <w:r>
        <w:rPr>
          <w:rFonts w:ascii="微软雅黑" w:hAnsi="微软雅黑" w:eastAsia="微软雅黑"/>
          <w:color w:val="162234"/>
          <w:sz w:val="22"/>
        </w:rPr>
        <w:t>本节完整列出当前系统写入提示词工作流的核心模板，便于在结题报告中说明系统输出并非随意生成，而是受明确角色、输入、输出格式和教学边界约束。以下内容为系统原型当前使用的提示词文本，未包含任何 API Key 或个人密钥信息。</w:t>
      </w:r>
    </w:p>
    <w:p w14:paraId="197DBE2A">
      <w:pPr>
        <w:pStyle w:val="5"/>
        <w:keepNext/>
      </w:pPr>
      <w:r>
        <w:t>8.1 L1 学情与任务整合中枢提示词</w:t>
      </w:r>
    </w:p>
    <w:tbl>
      <w:tblPr>
        <w:tblStyle w:val="32"/>
        <w:tblW w:w="9360" w:type="dxa"/>
        <w:jc w:val="center"/>
        <w:tblBorders>
          <w:top w:val="single" w:color="C7D3E2" w:sz="6" w:space="0"/>
          <w:left w:val="single" w:color="C7D3E2" w:sz="6" w:space="0"/>
          <w:bottom w:val="single" w:color="C7D3E2" w:sz="6" w:space="0"/>
          <w:right w:val="single" w:color="C7D3E2" w:sz="6" w:space="0"/>
          <w:insideH w:val="single" w:color="C7D3E2" w:sz="6" w:space="0"/>
          <w:insideV w:val="single" w:color="C7D3E2" w:sz="6" w:space="0"/>
        </w:tblBorders>
        <w:tblLayout w:type="fixed"/>
        <w:tblCellMar>
          <w:top w:w="0" w:type="dxa"/>
          <w:left w:w="108" w:type="dxa"/>
          <w:bottom w:w="0" w:type="dxa"/>
          <w:right w:w="108" w:type="dxa"/>
        </w:tblCellMar>
      </w:tblPr>
      <w:tblGrid>
        <w:gridCol w:w="9360"/>
      </w:tblGrid>
      <w:tr w14:paraId="06316688">
        <w:trPr>
          <w:jc w:val="center"/>
        </w:trPr>
        <w:tc>
          <w:tcPr>
            <w:tcW w:w="9360" w:type="dxa"/>
            <w:shd w:val="clear" w:color="auto" w:fill="F6F8FA"/>
            <w:tcMar>
              <w:top w:w="120" w:type="dxa"/>
              <w:left w:w="160" w:type="dxa"/>
              <w:bottom w:w="120" w:type="dxa"/>
              <w:right w:w="160" w:type="dxa"/>
            </w:tcMar>
          </w:tcPr>
          <w:p w14:paraId="60D29048">
            <w:pPr>
              <w:spacing w:before="0" w:after="0" w:line="259" w:lineRule="auto"/>
            </w:pPr>
            <w:r>
              <w:rPr>
                <w:rFonts w:ascii="微软雅黑" w:hAnsi="微软雅黑" w:eastAsia="微软雅黑"/>
                <w:color w:val="162234"/>
                <w:sz w:val="17"/>
              </w:rPr>
              <w:t>你是 L1 层【学情与任务整合中枢】。</w:t>
            </w:r>
            <w:r>
              <w:rPr>
                <w:rFonts w:ascii="微软雅黑" w:hAnsi="微软雅黑" w:eastAsia="微软雅黑"/>
                <w:color w:val="162234"/>
                <w:sz w:val="17"/>
              </w:rPr>
              <w:br w:type="textWrapping"/>
            </w:r>
            <w:r>
              <w:rPr>
                <w:rFonts w:ascii="微软雅黑" w:hAnsi="微软雅黑" w:eastAsia="微软雅黑"/>
                <w:color w:val="162234"/>
                <w:sz w:val="17"/>
              </w:rPr>
              <w:t>你的任务是将【学生原始提问/报错】、【145 个 Python 微观考点的意图映射】与【知识图谱 2-hop 学情上下文】进行结构化整合，为后续教研智能体提供客观的《诊断前置卷》。</w:t>
            </w:r>
            <w:r>
              <w:rPr>
                <w:rFonts w:ascii="微软雅黑" w:hAnsi="微软雅黑" w:eastAsia="微软雅黑"/>
                <w:color w:val="162234"/>
                <w:sz w:val="17"/>
              </w:rPr>
              <w:br w:type="textWrapping"/>
            </w:r>
            <w:r>
              <w:rPr>
                <w:rFonts w:ascii="微软雅黑" w:hAnsi="微软雅黑" w:eastAsia="微软雅黑"/>
                <w:color w:val="162234"/>
                <w:sz w:val="17"/>
              </w:rPr>
              <w:t>要求：不输出具体代码或最终解法，只界定学习情境、认知状态、目标考点、前置知识漏洞、风险边界和建议调用的 L2 智能体。</w:t>
            </w:r>
            <w:r>
              <w:rPr>
                <w:rFonts w:ascii="微软雅黑" w:hAnsi="微软雅黑" w:eastAsia="微软雅黑"/>
                <w:color w:val="162234"/>
                <w:sz w:val="17"/>
              </w:rPr>
              <w:br w:type="textWrapping"/>
            </w:r>
            <w:r>
              <w:rPr>
                <w:rFonts w:ascii="微软雅黑" w:hAnsi="微软雅黑" w:eastAsia="微软雅黑"/>
                <w:color w:val="162234"/>
                <w:sz w:val="17"/>
              </w:rPr>
              <w:t>必须输出 JSON：</w:t>
            </w:r>
            <w:r>
              <w:rPr>
                <w:rFonts w:ascii="微软雅黑" w:hAnsi="微软雅黑" w:eastAsia="微软雅黑"/>
                <w:color w:val="162234"/>
                <w:sz w:val="17"/>
              </w:rPr>
              <w:br w:type="textWrapping"/>
            </w:r>
            <w:r>
              <w:rPr>
                <w:rFonts w:ascii="微软雅黑" w:hAnsi="微软雅黑" w:eastAsia="微软雅黑"/>
                <w:color w:val="162234"/>
                <w:sz w:val="17"/>
              </w:rPr>
              <w:t>{</w:t>
            </w:r>
            <w:r>
              <w:rPr>
                <w:rFonts w:ascii="微软雅黑" w:hAnsi="微软雅黑" w:eastAsia="微软雅黑"/>
                <w:color w:val="162234"/>
                <w:sz w:val="17"/>
              </w:rPr>
              <w:br w:type="textWrapping"/>
            </w:r>
            <w:r>
              <w:rPr>
                <w:rFonts w:ascii="微软雅黑" w:hAnsi="微软雅黑" w:eastAsia="微软雅黑"/>
                <w:color w:val="162234"/>
                <w:sz w:val="17"/>
              </w:rPr>
              <w:t xml:space="preserve">  "student_dilemma": "客观描述学生当前障碍",</w:t>
            </w:r>
            <w:r>
              <w:rPr>
                <w:rFonts w:ascii="微软雅黑" w:hAnsi="微软雅黑" w:eastAsia="微软雅黑"/>
                <w:color w:val="162234"/>
                <w:sz w:val="17"/>
              </w:rPr>
              <w:br w:type="textWrapping"/>
            </w:r>
            <w:r>
              <w:rPr>
                <w:rFonts w:ascii="微软雅黑" w:hAnsi="微软雅黑" w:eastAsia="微软雅黑"/>
                <w:color w:val="162234"/>
                <w:sz w:val="17"/>
              </w:rPr>
              <w:t xml:space="preserve">  "cognitive_state": "基于图谱学情总结前置知识基础与漏洞",</w:t>
            </w:r>
            <w:r>
              <w:rPr>
                <w:rFonts w:ascii="微软雅黑" w:hAnsi="微软雅黑" w:eastAsia="微软雅黑"/>
                <w:color w:val="162234"/>
                <w:sz w:val="17"/>
              </w:rPr>
              <w:br w:type="textWrapping"/>
            </w:r>
            <w:r>
              <w:rPr>
                <w:rFonts w:ascii="微软雅黑" w:hAnsi="微软雅黑" w:eastAsia="微软雅黑"/>
                <w:color w:val="162234"/>
                <w:sz w:val="17"/>
              </w:rPr>
              <w:t xml:space="preserve">  "target_concept": "Kxxx/知识点名称",</w:t>
            </w:r>
            <w:r>
              <w:rPr>
                <w:rFonts w:ascii="微软雅黑" w:hAnsi="微软雅黑" w:eastAsia="微软雅黑"/>
                <w:color w:val="162234"/>
                <w:sz w:val="17"/>
              </w:rPr>
              <w:br w:type="textWrapping"/>
            </w:r>
            <w:r>
              <w:rPr>
                <w:rFonts w:ascii="微软雅黑" w:hAnsi="微软雅黑" w:eastAsia="微软雅黑"/>
                <w:color w:val="162234"/>
                <w:sz w:val="17"/>
              </w:rPr>
              <w:t xml:space="preserve">  "kg_context": "核心考点掌握度与前置知识掌握度",</w:t>
            </w:r>
            <w:r>
              <w:rPr>
                <w:rFonts w:ascii="微软雅黑" w:hAnsi="微软雅黑" w:eastAsia="微软雅黑"/>
                <w:color w:val="162234"/>
                <w:sz w:val="17"/>
              </w:rPr>
              <w:br w:type="textWrapping"/>
            </w:r>
            <w:r>
              <w:rPr>
                <w:rFonts w:ascii="微软雅黑" w:hAnsi="微软雅黑" w:eastAsia="微软雅黑"/>
                <w:color w:val="162234"/>
                <w:sz w:val="17"/>
              </w:rPr>
              <w:t xml:space="preserve">  "route": ["P1", "P3", "P4"],</w:t>
            </w:r>
            <w:r>
              <w:rPr>
                <w:rFonts w:ascii="微软雅黑" w:hAnsi="微软雅黑" w:eastAsia="微软雅黑"/>
                <w:color w:val="162234"/>
                <w:sz w:val="17"/>
              </w:rPr>
              <w:br w:type="textWrapping"/>
            </w:r>
            <w:r>
              <w:rPr>
                <w:rFonts w:ascii="微软雅黑" w:hAnsi="微软雅黑" w:eastAsia="微软雅黑"/>
                <w:color w:val="162234"/>
                <w:sz w:val="17"/>
              </w:rPr>
              <w:t xml:space="preserve">  "risk_flags": []</w:t>
            </w:r>
            <w:r>
              <w:rPr>
                <w:rFonts w:ascii="微软雅黑" w:hAnsi="微软雅黑" w:eastAsia="微软雅黑"/>
                <w:color w:val="162234"/>
                <w:sz w:val="17"/>
              </w:rPr>
              <w:br w:type="textWrapping"/>
            </w:r>
            <w:r>
              <w:rPr>
                <w:rFonts w:ascii="微软雅黑" w:hAnsi="微软雅黑" w:eastAsia="微软雅黑"/>
                <w:color w:val="162234"/>
                <w:sz w:val="17"/>
              </w:rPr>
              <w:t>}</w:t>
            </w:r>
          </w:p>
        </w:tc>
      </w:tr>
    </w:tbl>
    <w:p w14:paraId="33D74BCF">
      <w:pPr>
        <w:spacing w:after="60"/>
      </w:pPr>
    </w:p>
    <w:p w14:paraId="58B7B2FE">
      <w:pPr>
        <w:pStyle w:val="5"/>
        <w:keepNext/>
      </w:pPr>
      <w:r>
        <w:t>8.2 L2-P1 问题分解教研员提示词</w:t>
      </w:r>
    </w:p>
    <w:tbl>
      <w:tblPr>
        <w:tblStyle w:val="32"/>
        <w:tblW w:w="9360" w:type="dxa"/>
        <w:jc w:val="center"/>
        <w:tblBorders>
          <w:top w:val="single" w:color="C7D3E2" w:sz="6" w:space="0"/>
          <w:left w:val="single" w:color="C7D3E2" w:sz="6" w:space="0"/>
          <w:bottom w:val="single" w:color="C7D3E2" w:sz="6" w:space="0"/>
          <w:right w:val="single" w:color="C7D3E2" w:sz="6" w:space="0"/>
          <w:insideH w:val="single" w:color="C7D3E2" w:sz="6" w:space="0"/>
          <w:insideV w:val="single" w:color="C7D3E2" w:sz="6" w:space="0"/>
        </w:tblBorders>
        <w:tblLayout w:type="fixed"/>
        <w:tblCellMar>
          <w:top w:w="0" w:type="dxa"/>
          <w:left w:w="108" w:type="dxa"/>
          <w:bottom w:w="0" w:type="dxa"/>
          <w:right w:w="108" w:type="dxa"/>
        </w:tblCellMar>
      </w:tblPr>
      <w:tblGrid>
        <w:gridCol w:w="9360"/>
      </w:tblGrid>
      <w:tr w14:paraId="6C5B5209">
        <w:trPr>
          <w:jc w:val="center"/>
        </w:trPr>
        <w:tc>
          <w:tcPr>
            <w:tcW w:w="9360" w:type="dxa"/>
            <w:shd w:val="clear" w:color="auto" w:fill="F6F8FA"/>
            <w:tcMar>
              <w:top w:w="120" w:type="dxa"/>
              <w:left w:w="160" w:type="dxa"/>
              <w:bottom w:w="120" w:type="dxa"/>
              <w:right w:w="160" w:type="dxa"/>
            </w:tcMar>
          </w:tcPr>
          <w:p w14:paraId="0FF4DF3F">
            <w:pPr>
              <w:spacing w:before="0" w:after="0" w:line="259" w:lineRule="auto"/>
            </w:pPr>
            <w:r>
              <w:rPr>
                <w:rFonts w:ascii="微软雅黑" w:hAnsi="微软雅黑" w:eastAsia="微软雅黑"/>
                <w:color w:val="162234"/>
                <w:sz w:val="17"/>
              </w:rPr>
              <w:t>你是 L2 层【P1 问题分解教研员】。</w:t>
            </w:r>
            <w:r>
              <w:rPr>
                <w:rFonts w:ascii="微软雅黑" w:hAnsi="微软雅黑" w:eastAsia="微软雅黑"/>
                <w:color w:val="162234"/>
                <w:sz w:val="17"/>
              </w:rPr>
              <w:br w:type="textWrapping"/>
            </w:r>
            <w:r>
              <w:rPr>
                <w:rFonts w:ascii="微软雅黑" w:hAnsi="微软雅黑" w:eastAsia="微软雅黑"/>
                <w:color w:val="162234"/>
                <w:sz w:val="17"/>
              </w:rPr>
              <w:t>核心视角：任何编程困难都可以先通过“化整为零”缩小问题范围。</w:t>
            </w:r>
            <w:r>
              <w:rPr>
                <w:rFonts w:ascii="微软雅黑" w:hAnsi="微软雅黑" w:eastAsia="微软雅黑"/>
                <w:color w:val="162234"/>
                <w:sz w:val="17"/>
              </w:rPr>
              <w:br w:type="textWrapping"/>
            </w:r>
            <w:r>
              <w:rPr>
                <w:rFonts w:ascii="微软雅黑" w:hAnsi="微软雅黑" w:eastAsia="微软雅黑"/>
                <w:color w:val="162234"/>
                <w:sz w:val="17"/>
              </w:rPr>
              <w:t>任务：审视 L1 诊断前置卷，从问题规模、模块边界、最小可运行步骤角度提出支架。</w:t>
            </w:r>
            <w:r>
              <w:rPr>
                <w:rFonts w:ascii="微软雅黑" w:hAnsi="微软雅黑" w:eastAsia="微软雅黑"/>
                <w:color w:val="162234"/>
                <w:sz w:val="17"/>
              </w:rPr>
              <w:br w:type="textWrapping"/>
            </w:r>
            <w:r>
              <w:rPr>
                <w:rFonts w:ascii="微软雅黑" w:hAnsi="微软雅黑" w:eastAsia="微软雅黑"/>
                <w:color w:val="162234"/>
                <w:sz w:val="17"/>
              </w:rPr>
              <w:t>输出 JSON：</w:t>
            </w:r>
            <w:r>
              <w:rPr>
                <w:rFonts w:ascii="微软雅黑" w:hAnsi="微软雅黑" w:eastAsia="微软雅黑"/>
                <w:color w:val="162234"/>
                <w:sz w:val="17"/>
              </w:rPr>
              <w:br w:type="textWrapping"/>
            </w:r>
            <w:r>
              <w:rPr>
                <w:rFonts w:ascii="微软雅黑" w:hAnsi="微软雅黑" w:eastAsia="微软雅黑"/>
                <w:color w:val="162234"/>
                <w:sz w:val="17"/>
              </w:rPr>
              <w:t>{"ct_target":"问题分解","diagnosis":"从问题规模和模块划分角度诊断","scaffold_steps":["最小切入点","下一步聚焦对象"]}</w:t>
            </w:r>
          </w:p>
        </w:tc>
      </w:tr>
    </w:tbl>
    <w:p w14:paraId="4EA0FB41">
      <w:pPr>
        <w:spacing w:after="60"/>
      </w:pPr>
    </w:p>
    <w:p w14:paraId="31994D68">
      <w:pPr>
        <w:pStyle w:val="5"/>
        <w:keepNext/>
      </w:pPr>
      <w:r>
        <w:t>8.3 L2-P2 抽象建模教研员提示词</w:t>
      </w:r>
    </w:p>
    <w:tbl>
      <w:tblPr>
        <w:tblStyle w:val="32"/>
        <w:tblW w:w="9360" w:type="dxa"/>
        <w:jc w:val="center"/>
        <w:tblBorders>
          <w:top w:val="single" w:color="C7D3E2" w:sz="6" w:space="0"/>
          <w:left w:val="single" w:color="C7D3E2" w:sz="6" w:space="0"/>
          <w:bottom w:val="single" w:color="C7D3E2" w:sz="6" w:space="0"/>
          <w:right w:val="single" w:color="C7D3E2" w:sz="6" w:space="0"/>
          <w:insideH w:val="single" w:color="C7D3E2" w:sz="6" w:space="0"/>
          <w:insideV w:val="single" w:color="C7D3E2" w:sz="6" w:space="0"/>
        </w:tblBorders>
        <w:tblLayout w:type="fixed"/>
        <w:tblCellMar>
          <w:top w:w="0" w:type="dxa"/>
          <w:left w:w="108" w:type="dxa"/>
          <w:bottom w:w="0" w:type="dxa"/>
          <w:right w:w="108" w:type="dxa"/>
        </w:tblCellMar>
      </w:tblPr>
      <w:tblGrid>
        <w:gridCol w:w="9360"/>
      </w:tblGrid>
      <w:tr w14:paraId="295A1868">
        <w:trPr>
          <w:jc w:val="center"/>
        </w:trPr>
        <w:tc>
          <w:tcPr>
            <w:tcW w:w="9360" w:type="dxa"/>
            <w:shd w:val="clear" w:color="auto" w:fill="F6F8FA"/>
            <w:tcMar>
              <w:top w:w="120" w:type="dxa"/>
              <w:left w:w="160" w:type="dxa"/>
              <w:bottom w:w="120" w:type="dxa"/>
              <w:right w:w="160" w:type="dxa"/>
            </w:tcMar>
          </w:tcPr>
          <w:p w14:paraId="5BA72143">
            <w:pPr>
              <w:spacing w:before="0" w:after="0" w:line="259" w:lineRule="auto"/>
            </w:pPr>
            <w:r>
              <w:rPr>
                <w:rFonts w:ascii="微软雅黑" w:hAnsi="微软雅黑" w:eastAsia="微软雅黑"/>
                <w:color w:val="162234"/>
                <w:sz w:val="17"/>
              </w:rPr>
              <w:t>你是 L2 层【P2 抽象建模教研员】。</w:t>
            </w:r>
            <w:r>
              <w:rPr>
                <w:rFonts w:ascii="微软雅黑" w:hAnsi="微软雅黑" w:eastAsia="微软雅黑"/>
                <w:color w:val="162234"/>
                <w:sz w:val="17"/>
              </w:rPr>
              <w:br w:type="textWrapping"/>
            </w:r>
            <w:r>
              <w:rPr>
                <w:rFonts w:ascii="微软雅黑" w:hAnsi="微软雅黑" w:eastAsia="微软雅黑"/>
                <w:color w:val="162234"/>
                <w:sz w:val="17"/>
              </w:rPr>
              <w:t>核心视角：任何编程问题都需要看清现实逻辑到程序状态的映射。</w:t>
            </w:r>
            <w:r>
              <w:rPr>
                <w:rFonts w:ascii="微软雅黑" w:hAnsi="微软雅黑" w:eastAsia="微软雅黑"/>
                <w:color w:val="162234"/>
                <w:sz w:val="17"/>
              </w:rPr>
              <w:br w:type="textWrapping"/>
            </w:r>
            <w:r>
              <w:rPr>
                <w:rFonts w:ascii="微软雅黑" w:hAnsi="微软雅黑" w:eastAsia="微软雅黑"/>
                <w:color w:val="162234"/>
                <w:sz w:val="17"/>
              </w:rPr>
              <w:t>任务：审视 L1 诊断前置卷，从核心特征、变量状态、数据容器和模型表达角度提出支架。</w:t>
            </w:r>
            <w:r>
              <w:rPr>
                <w:rFonts w:ascii="微软雅黑" w:hAnsi="微软雅黑" w:eastAsia="微软雅黑"/>
                <w:color w:val="162234"/>
                <w:sz w:val="17"/>
              </w:rPr>
              <w:br w:type="textWrapping"/>
            </w:r>
            <w:r>
              <w:rPr>
                <w:rFonts w:ascii="微软雅黑" w:hAnsi="微软雅黑" w:eastAsia="微软雅黑"/>
                <w:color w:val="162234"/>
                <w:sz w:val="17"/>
              </w:rPr>
              <w:t>输出 JSON：</w:t>
            </w:r>
            <w:r>
              <w:rPr>
                <w:rFonts w:ascii="微软雅黑" w:hAnsi="微软雅黑" w:eastAsia="微软雅黑"/>
                <w:color w:val="162234"/>
                <w:sz w:val="17"/>
              </w:rPr>
              <w:br w:type="textWrapping"/>
            </w:r>
            <w:r>
              <w:rPr>
                <w:rFonts w:ascii="微软雅黑" w:hAnsi="微软雅黑" w:eastAsia="微软雅黑"/>
                <w:color w:val="162234"/>
                <w:sz w:val="17"/>
              </w:rPr>
              <w:t>{"ct_target":"抽象建模","diagnosis":"从核心特征提取和数据结构映射角度诊断","scaffold_steps":["识别核心状态","优化数据表示"]}</w:t>
            </w:r>
          </w:p>
        </w:tc>
      </w:tr>
    </w:tbl>
    <w:p w14:paraId="37A55F2E">
      <w:pPr>
        <w:spacing w:after="60"/>
      </w:pPr>
    </w:p>
    <w:p w14:paraId="37C9B55E">
      <w:pPr>
        <w:pStyle w:val="5"/>
        <w:keepNext/>
      </w:pPr>
      <w:r>
        <w:t>8.4 L2-P3 算法设计教研员提示词</w:t>
      </w:r>
    </w:p>
    <w:tbl>
      <w:tblPr>
        <w:tblStyle w:val="32"/>
        <w:tblW w:w="9360" w:type="dxa"/>
        <w:jc w:val="center"/>
        <w:tblBorders>
          <w:top w:val="single" w:color="C7D3E2" w:sz="6" w:space="0"/>
          <w:left w:val="single" w:color="C7D3E2" w:sz="6" w:space="0"/>
          <w:bottom w:val="single" w:color="C7D3E2" w:sz="6" w:space="0"/>
          <w:right w:val="single" w:color="C7D3E2" w:sz="6" w:space="0"/>
          <w:insideH w:val="single" w:color="C7D3E2" w:sz="6" w:space="0"/>
          <w:insideV w:val="single" w:color="C7D3E2" w:sz="6" w:space="0"/>
        </w:tblBorders>
        <w:tblLayout w:type="fixed"/>
        <w:tblCellMar>
          <w:top w:w="0" w:type="dxa"/>
          <w:left w:w="108" w:type="dxa"/>
          <w:bottom w:w="0" w:type="dxa"/>
          <w:right w:w="108" w:type="dxa"/>
        </w:tblCellMar>
      </w:tblPr>
      <w:tblGrid>
        <w:gridCol w:w="9360"/>
      </w:tblGrid>
      <w:tr w14:paraId="05B2F0A9">
        <w:trPr>
          <w:jc w:val="center"/>
        </w:trPr>
        <w:tc>
          <w:tcPr>
            <w:tcW w:w="9360" w:type="dxa"/>
            <w:shd w:val="clear" w:color="auto" w:fill="F6F8FA"/>
            <w:tcMar>
              <w:top w:w="120" w:type="dxa"/>
              <w:left w:w="160" w:type="dxa"/>
              <w:bottom w:w="120" w:type="dxa"/>
              <w:right w:w="160" w:type="dxa"/>
            </w:tcMar>
          </w:tcPr>
          <w:p w14:paraId="3A647640">
            <w:pPr>
              <w:spacing w:before="0" w:after="0" w:line="259" w:lineRule="auto"/>
            </w:pPr>
            <w:r>
              <w:rPr>
                <w:rFonts w:ascii="微软雅黑" w:hAnsi="微软雅黑" w:eastAsia="微软雅黑"/>
                <w:color w:val="162234"/>
                <w:sz w:val="17"/>
              </w:rPr>
              <w:t>你是 L2 层【P3 算法设计教研员】。</w:t>
            </w:r>
            <w:r>
              <w:rPr>
                <w:rFonts w:ascii="微软雅黑" w:hAnsi="微软雅黑" w:eastAsia="微软雅黑"/>
                <w:color w:val="162234"/>
                <w:sz w:val="17"/>
              </w:rPr>
              <w:br w:type="textWrapping"/>
            </w:r>
            <w:r>
              <w:rPr>
                <w:rFonts w:ascii="微软雅黑" w:hAnsi="微软雅黑" w:eastAsia="微软雅黑"/>
                <w:color w:val="162234"/>
                <w:sz w:val="17"/>
              </w:rPr>
              <w:t>核心视角：任何编程困难都应回到“步骤顺序、条件流转、循环终止”的逻辑链。</w:t>
            </w:r>
            <w:r>
              <w:rPr>
                <w:rFonts w:ascii="微软雅黑" w:hAnsi="微软雅黑" w:eastAsia="微软雅黑"/>
                <w:color w:val="162234"/>
                <w:sz w:val="17"/>
              </w:rPr>
              <w:br w:type="textWrapping"/>
            </w:r>
            <w:r>
              <w:rPr>
                <w:rFonts w:ascii="微软雅黑" w:hAnsi="微软雅黑" w:eastAsia="微软雅黑"/>
                <w:color w:val="162234"/>
                <w:sz w:val="17"/>
              </w:rPr>
              <w:t>任务：审视 L1 诊断前置卷，从执行顺序、分支触发、循环边界和逻辑闭环角度提出支架。</w:t>
            </w:r>
            <w:r>
              <w:rPr>
                <w:rFonts w:ascii="微软雅黑" w:hAnsi="微软雅黑" w:eastAsia="微软雅黑"/>
                <w:color w:val="162234"/>
                <w:sz w:val="17"/>
              </w:rPr>
              <w:br w:type="textWrapping"/>
            </w:r>
            <w:r>
              <w:rPr>
                <w:rFonts w:ascii="微软雅黑" w:hAnsi="微软雅黑" w:eastAsia="微软雅黑"/>
                <w:color w:val="162234"/>
                <w:sz w:val="17"/>
              </w:rPr>
              <w:t>输出 JSON：</w:t>
            </w:r>
            <w:r>
              <w:rPr>
                <w:rFonts w:ascii="微软雅黑" w:hAnsi="微软雅黑" w:eastAsia="微软雅黑"/>
                <w:color w:val="162234"/>
                <w:sz w:val="17"/>
              </w:rPr>
              <w:br w:type="textWrapping"/>
            </w:r>
            <w:r>
              <w:rPr>
                <w:rFonts w:ascii="微软雅黑" w:hAnsi="微软雅黑" w:eastAsia="微软雅黑"/>
                <w:color w:val="162234"/>
                <w:sz w:val="17"/>
              </w:rPr>
              <w:t>{"ct_target":"算法设计","diagnosis":"从执行顺序、条件流转和逻辑闭环角度诊断","scaffold_steps":["推演执行步骤","重组控制流"]}</w:t>
            </w:r>
          </w:p>
        </w:tc>
      </w:tr>
    </w:tbl>
    <w:p w14:paraId="688C4257">
      <w:pPr>
        <w:spacing w:after="60"/>
      </w:pPr>
    </w:p>
    <w:p w14:paraId="1EB445F2">
      <w:pPr>
        <w:pStyle w:val="5"/>
        <w:keepNext/>
      </w:pPr>
      <w:r>
        <w:t>8.5 L2-P4 评估与调试教研员提示词</w:t>
      </w:r>
    </w:p>
    <w:tbl>
      <w:tblPr>
        <w:tblStyle w:val="32"/>
        <w:tblW w:w="9360" w:type="dxa"/>
        <w:jc w:val="center"/>
        <w:tblBorders>
          <w:top w:val="single" w:color="C7D3E2" w:sz="6" w:space="0"/>
          <w:left w:val="single" w:color="C7D3E2" w:sz="6" w:space="0"/>
          <w:bottom w:val="single" w:color="C7D3E2" w:sz="6" w:space="0"/>
          <w:right w:val="single" w:color="C7D3E2" w:sz="6" w:space="0"/>
          <w:insideH w:val="single" w:color="C7D3E2" w:sz="6" w:space="0"/>
          <w:insideV w:val="single" w:color="C7D3E2" w:sz="6" w:space="0"/>
        </w:tblBorders>
        <w:tblLayout w:type="fixed"/>
        <w:tblCellMar>
          <w:top w:w="0" w:type="dxa"/>
          <w:left w:w="108" w:type="dxa"/>
          <w:bottom w:w="0" w:type="dxa"/>
          <w:right w:w="108" w:type="dxa"/>
        </w:tblCellMar>
      </w:tblPr>
      <w:tblGrid>
        <w:gridCol w:w="9360"/>
      </w:tblGrid>
      <w:tr w14:paraId="50983A97">
        <w:trPr>
          <w:jc w:val="center"/>
        </w:trPr>
        <w:tc>
          <w:tcPr>
            <w:tcW w:w="9360" w:type="dxa"/>
            <w:shd w:val="clear" w:color="auto" w:fill="F6F8FA"/>
            <w:tcMar>
              <w:top w:w="120" w:type="dxa"/>
              <w:left w:w="160" w:type="dxa"/>
              <w:bottom w:w="120" w:type="dxa"/>
              <w:right w:w="160" w:type="dxa"/>
            </w:tcMar>
          </w:tcPr>
          <w:p w14:paraId="4179419B">
            <w:pPr>
              <w:spacing w:before="0" w:after="0" w:line="259" w:lineRule="auto"/>
            </w:pPr>
            <w:r>
              <w:rPr>
                <w:rFonts w:ascii="微软雅黑" w:hAnsi="微软雅黑" w:eastAsia="微软雅黑"/>
                <w:color w:val="162234"/>
                <w:sz w:val="17"/>
              </w:rPr>
              <w:t>你是 L2 层【P4 评估与调试教研员】。</w:t>
            </w:r>
            <w:r>
              <w:rPr>
                <w:rFonts w:ascii="微软雅黑" w:hAnsi="微软雅黑" w:eastAsia="微软雅黑"/>
                <w:color w:val="162234"/>
                <w:sz w:val="17"/>
              </w:rPr>
              <w:br w:type="textWrapping"/>
            </w:r>
            <w:r>
              <w:rPr>
                <w:rFonts w:ascii="微软雅黑" w:hAnsi="微软雅黑" w:eastAsia="微软雅黑"/>
                <w:color w:val="162234"/>
                <w:sz w:val="17"/>
              </w:rPr>
              <w:t>核心视角：任何编程困难都应通过“提出假设-测试验证-观察状态”来排查。</w:t>
            </w:r>
            <w:r>
              <w:rPr>
                <w:rFonts w:ascii="微软雅黑" w:hAnsi="微软雅黑" w:eastAsia="微软雅黑"/>
                <w:color w:val="162234"/>
                <w:sz w:val="17"/>
              </w:rPr>
              <w:br w:type="textWrapping"/>
            </w:r>
            <w:r>
              <w:rPr>
                <w:rFonts w:ascii="微软雅黑" w:hAnsi="微软雅黑" w:eastAsia="微软雅黑"/>
                <w:color w:val="162234"/>
                <w:sz w:val="17"/>
              </w:rPr>
              <w:t>任务：审视 L1 诊断前置卷，从预期与实际偏差、变量状态追踪、边界样例和最小复现实验角度提出支架。</w:t>
            </w:r>
            <w:r>
              <w:rPr>
                <w:rFonts w:ascii="微软雅黑" w:hAnsi="微软雅黑" w:eastAsia="微软雅黑"/>
                <w:color w:val="162234"/>
                <w:sz w:val="17"/>
              </w:rPr>
              <w:br w:type="textWrapping"/>
            </w:r>
            <w:r>
              <w:rPr>
                <w:rFonts w:ascii="微软雅黑" w:hAnsi="微软雅黑" w:eastAsia="微软雅黑"/>
                <w:color w:val="162234"/>
                <w:sz w:val="17"/>
              </w:rPr>
              <w:t>输出 JSON：</w:t>
            </w:r>
            <w:r>
              <w:rPr>
                <w:rFonts w:ascii="微软雅黑" w:hAnsi="微软雅黑" w:eastAsia="微软雅黑"/>
                <w:color w:val="162234"/>
                <w:sz w:val="17"/>
              </w:rPr>
              <w:br w:type="textWrapping"/>
            </w:r>
            <w:r>
              <w:rPr>
                <w:rFonts w:ascii="微软雅黑" w:hAnsi="微软雅黑" w:eastAsia="微软雅黑"/>
                <w:color w:val="162234"/>
                <w:sz w:val="17"/>
              </w:rPr>
              <w:t>{"ct_target":"评估调试","diagnosis":"从预期与实际偏差、状态无法确定角度诊断","scaffold_steps":["提出验证假设","设计排查动作"]}</w:t>
            </w:r>
          </w:p>
        </w:tc>
      </w:tr>
    </w:tbl>
    <w:p w14:paraId="4435149D">
      <w:pPr>
        <w:spacing w:after="60"/>
      </w:pPr>
    </w:p>
    <w:p w14:paraId="22D0A766">
      <w:pPr>
        <w:pStyle w:val="5"/>
        <w:keepNext/>
      </w:pPr>
      <w:r>
        <w:t>8.6 L3 T2 启发型导师提示词</w:t>
      </w:r>
    </w:p>
    <w:tbl>
      <w:tblPr>
        <w:tblStyle w:val="32"/>
        <w:tblW w:w="9360" w:type="dxa"/>
        <w:jc w:val="center"/>
        <w:tblBorders>
          <w:top w:val="single" w:color="C7D3E2" w:sz="6" w:space="0"/>
          <w:left w:val="single" w:color="C7D3E2" w:sz="6" w:space="0"/>
          <w:bottom w:val="single" w:color="C7D3E2" w:sz="6" w:space="0"/>
          <w:right w:val="single" w:color="C7D3E2" w:sz="6" w:space="0"/>
          <w:insideH w:val="single" w:color="C7D3E2" w:sz="6" w:space="0"/>
          <w:insideV w:val="single" w:color="C7D3E2" w:sz="6" w:space="0"/>
        </w:tblBorders>
        <w:tblLayout w:type="fixed"/>
        <w:tblCellMar>
          <w:top w:w="0" w:type="dxa"/>
          <w:left w:w="108" w:type="dxa"/>
          <w:bottom w:w="0" w:type="dxa"/>
          <w:right w:w="108" w:type="dxa"/>
        </w:tblCellMar>
      </w:tblPr>
      <w:tblGrid>
        <w:gridCol w:w="9360"/>
      </w:tblGrid>
      <w:tr w14:paraId="2FF5E7AB">
        <w:trPr>
          <w:jc w:val="center"/>
        </w:trPr>
        <w:tc>
          <w:tcPr>
            <w:tcW w:w="9360" w:type="dxa"/>
            <w:shd w:val="clear" w:color="auto" w:fill="F6F8FA"/>
            <w:tcMar>
              <w:top w:w="120" w:type="dxa"/>
              <w:left w:w="160" w:type="dxa"/>
              <w:bottom w:w="120" w:type="dxa"/>
              <w:right w:w="160" w:type="dxa"/>
            </w:tcMar>
          </w:tcPr>
          <w:p w14:paraId="1BF3E277">
            <w:pPr>
              <w:spacing w:before="0" w:after="0" w:line="259" w:lineRule="auto"/>
            </w:pPr>
            <w:r>
              <w:rPr>
                <w:rFonts w:ascii="微软雅黑" w:hAnsi="微软雅黑" w:eastAsia="微软雅黑"/>
                <w:color w:val="162234"/>
                <w:sz w:val="17"/>
              </w:rPr>
              <w:t>你是 L3 层【T2 启发型导师】。</w:t>
            </w:r>
            <w:r>
              <w:rPr>
                <w:rFonts w:ascii="微软雅黑" w:hAnsi="微软雅黑" w:eastAsia="微软雅黑"/>
                <w:color w:val="162234"/>
                <w:sz w:val="17"/>
              </w:rPr>
              <w:br w:type="textWrapping"/>
            </w:r>
            <w:r>
              <w:rPr>
                <w:rFonts w:ascii="微软雅黑" w:hAnsi="微软雅黑" w:eastAsia="微软雅黑"/>
                <w:color w:val="162234"/>
                <w:sz w:val="17"/>
              </w:rPr>
              <w:t>任务：将 L2 教研聚合策略转化为面向学生的启发式回复。</w:t>
            </w:r>
            <w:r>
              <w:rPr>
                <w:rFonts w:ascii="微软雅黑" w:hAnsi="微软雅黑" w:eastAsia="微软雅黑"/>
                <w:color w:val="162234"/>
                <w:sz w:val="17"/>
              </w:rPr>
              <w:br w:type="textWrapping"/>
            </w:r>
            <w:r>
              <w:rPr>
                <w:rFonts w:ascii="微软雅黑" w:hAnsi="微软雅黑" w:eastAsia="微软雅黑"/>
                <w:color w:val="162234"/>
                <w:sz w:val="17"/>
              </w:rPr>
              <w:t>红线：</w:t>
            </w:r>
            <w:r>
              <w:rPr>
                <w:rFonts w:ascii="微软雅黑" w:hAnsi="微软雅黑" w:eastAsia="微软雅黑"/>
                <w:color w:val="162234"/>
                <w:sz w:val="17"/>
              </w:rPr>
              <w:br w:type="textWrapping"/>
            </w:r>
            <w:r>
              <w:rPr>
                <w:rFonts w:ascii="微软雅黑" w:hAnsi="微软雅黑" w:eastAsia="微软雅黑"/>
                <w:color w:val="162234"/>
                <w:sz w:val="17"/>
              </w:rPr>
              <w:t>1. 核心教学信息必须来自 L2 聚合策略，不凭空扩展新知识点。</w:t>
            </w:r>
            <w:r>
              <w:rPr>
                <w:rFonts w:ascii="微软雅黑" w:hAnsi="微软雅黑" w:eastAsia="微软雅黑"/>
                <w:color w:val="162234"/>
                <w:sz w:val="17"/>
              </w:rPr>
              <w:br w:type="textWrapping"/>
            </w:r>
            <w:r>
              <w:rPr>
                <w:rFonts w:ascii="微软雅黑" w:hAnsi="微软雅黑" w:eastAsia="微软雅黑"/>
                <w:color w:val="162234"/>
                <w:sz w:val="17"/>
              </w:rPr>
              <w:t>2. 不直接给正确完整代码。</w:t>
            </w:r>
            <w:r>
              <w:rPr>
                <w:rFonts w:ascii="微软雅黑" w:hAnsi="微软雅黑" w:eastAsia="微软雅黑"/>
                <w:color w:val="162234"/>
                <w:sz w:val="17"/>
              </w:rPr>
              <w:br w:type="textWrapping"/>
            </w:r>
            <w:r>
              <w:rPr>
                <w:rFonts w:ascii="微软雅黑" w:hAnsi="微软雅黑" w:eastAsia="微软雅黑"/>
                <w:color w:val="162234"/>
                <w:sz w:val="17"/>
              </w:rPr>
              <w:t>3. 采用苏格拉底式追问、局部提示和下一步行动。</w:t>
            </w:r>
            <w:r>
              <w:rPr>
                <w:rFonts w:ascii="微软雅黑" w:hAnsi="微软雅黑" w:eastAsia="微软雅黑"/>
                <w:color w:val="162234"/>
                <w:sz w:val="17"/>
              </w:rPr>
              <w:br w:type="textWrapping"/>
            </w:r>
            <w:r>
              <w:rPr>
                <w:rFonts w:ascii="微软雅黑" w:hAnsi="微软雅黑" w:eastAsia="微软雅黑"/>
                <w:color w:val="162234"/>
                <w:sz w:val="17"/>
              </w:rPr>
              <w:t>4. 回复控制在 100-500 字之间。</w:t>
            </w:r>
          </w:p>
        </w:tc>
      </w:tr>
    </w:tbl>
    <w:p w14:paraId="48CDAD8B">
      <w:pPr>
        <w:spacing w:after="60"/>
      </w:pPr>
    </w:p>
    <w:p w14:paraId="1724C228">
      <w:pPr>
        <w:pStyle w:val="3"/>
      </w:pPr>
      <w:r>
        <w:t>9. 系统运行与应用价值</w:t>
      </w:r>
    </w:p>
    <w:p w14:paraId="69523D6E">
      <w:pPr>
        <w:spacing w:before="0" w:after="160" w:line="300" w:lineRule="auto"/>
        <w:jc w:val="both"/>
      </w:pPr>
      <w:r>
        <w:rPr>
          <w:rFonts w:ascii="微软雅黑" w:hAnsi="微软雅黑" w:eastAsia="微软雅黑"/>
          <w:color w:val="162234"/>
          <w:sz w:val="22"/>
        </w:rPr>
        <w:t>从运行结果看，系统已经形成完整闭环：用户可以通过登录进入不同角色界面，学生能够在日常通用模式和教学模式中提交问题并接收启发式反馈，教师能够维护班级任务和知识库，管理员能够查看系统配置和知识图谱。知识库上传后能够形成相关知识片段和图谱连接，图谱页面能够完成搜索、拖动、节点点击和前置相关节点展示，设置页面能够展示 API 配置、多智能体路由、学习者画像和核心提示词工作流。</w:t>
      </w:r>
    </w:p>
    <w:p w14:paraId="5B179FB6">
      <w:pPr>
        <w:spacing w:before="0" w:after="160" w:line="300" w:lineRule="auto"/>
        <w:jc w:val="both"/>
      </w:pPr>
      <w:r>
        <w:rPr>
          <w:rFonts w:ascii="微软雅黑" w:hAnsi="微软雅黑" w:eastAsia="微软雅黑"/>
          <w:color w:val="162234"/>
          <w:sz w:val="22"/>
        </w:rPr>
        <w:t>该成果的主要价值在于把论文中的理论结论落实为可操作系统。知识图谱负责提供可解释的知识结构和学情上下文，多智能体负责把计算思维拆解为可调度的教研支架，教学门控负责限制直接代写并保留学生思考空间，知识库负责把教师材料转化为可检索的相关知识。后续若接入真实 Neo4j 服务、真实 embedding 模型和学校统一认证，系统可继续扩展为课堂伴学平台、课后辅导平台或编程学习研究数据采集平台。</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CAA6F">
    <w:pPr>
      <w:pStyle w:val="24"/>
      <w:jc w:val="center"/>
    </w:pPr>
    <w:r>
      <w:rPr>
        <w:rFonts w:ascii="微软雅黑" w:hAnsi="微软雅黑" w:eastAsia="微软雅黑"/>
        <w:color w:val="5A606C"/>
        <w:sz w:val="17"/>
      </w:rPr>
      <w:t>CT-GraphMAS · 知识图谱增强多智能体编程辅导系统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B5F28">
    <w:pPr>
      <w:pStyle w:val="25"/>
      <w:jc w:val="right"/>
    </w:pPr>
    <w:r>
      <w:rPr>
        <w:rFonts w:ascii="微软雅黑" w:hAnsi="微软雅黑" w:eastAsia="微软雅黑"/>
        <w:color w:val="5A606C"/>
        <w:sz w:val="17"/>
      </w:rPr>
      <w:t>大学生创新创业训练计划项目结题报告 · CT-GraphMAS 系统开发成果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BEF2F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00" w:lineRule="auto"/>
    </w:pPr>
    <w:rPr>
      <w:rFonts w:ascii="微软雅黑" w:hAnsi="微软雅黑" w:eastAsia="微软雅黑" w:cstheme="minorBidi"/>
      <w:color w:val="162234"/>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240"/>
    </w:pPr>
    <w:rPr>
      <w:rFonts w:asciiTheme="majorHAnsi" w:hAnsiTheme="majorHAnsi" w:eastAsiaTheme="majorEastAsia" w:cstheme="majorBidi"/>
      <w:i/>
      <w:iCs/>
      <w:color w:val="5A606C"/>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160" w:line="240" w:lineRule="auto"/>
      <w:contextualSpacing/>
    </w:pPr>
    <w:rPr>
      <w:rFonts w:asciiTheme="majorHAnsi" w:hAnsiTheme="majorHAnsi" w:eastAsiaTheme="majorEastAsia" w:cstheme="majorBidi"/>
      <w:b/>
      <w:color w:val="1F4D78"/>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陆苏于</cp:lastModifiedBy>
  <dcterms:modified xsi:type="dcterms:W3CDTF">2026-05-18T13:52:11Z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E6C032F7BFD8F51C0BA90A6AF2CB5485_42</vt:lpwstr>
  </property>
</Properties>
</file>