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C0AF56">
      <w:pPr>
        <w:pStyle w:val="4"/>
        <w:widowControl/>
      </w:pPr>
      <w:r>
        <w:t>分析流程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数据源：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观看短剧问卷-Sheet1.xlsx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算法配置：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算法：
结构方程模型(SEM)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变量：
路径1： { 平台特性刺激-&gt;绩效期望（享乐） }； 路径2： { 内容特性刺激-&gt;绩效期望（享乐） }； 路径3： { 营销策略刺激-&gt;绩效期望（享乐） }； 路径4： { 平台特性刺激-&gt;习惯 }； 路径5： { 平台特性刺激-&gt;便利条件 }； 路径6： { 平台特性刺激-&gt;价格价值 }； 路径7： { 内容特性刺激-&gt;习惯 }； 路径8： { 内容特性刺激-&gt;便利条件 }； 路径9： { 内容特性刺激-&gt;价格价值 }； 路径10： { 营销策略刺激-&gt;习惯 }； 路径11： { 营销策略刺激-&gt;便利条件 }； 路径12： { 营销策略刺激-&gt;价格价值 }； 路径13： { 绩效期望（享乐）-&gt;观看意愿 }； 路径14： { 绩效期望（享乐）-&gt;广告解锁意愿 }； 路径15： { 绩效期望（享乐）-&gt;付费意愿 }； 路径16： { 习惯-&gt;观看意愿 }； 路径17： { 习惯-&gt;广告解锁意愿 }； 路径18： { 习惯-&gt;付费意愿 }； 路径19： { 便利条件-&gt;观看意愿 }； 路径20： { 便利条件-&gt;广告解锁意愿 }； 路径21： { 便利条件-&gt;付费意愿 }； 路径22： { 价格价值-&gt;观看意愿 }； 路径23： { 价格价值-&gt;广告解锁意愿 }； 路径24： { 价格价值-&gt;付费意愿 }； 路径25： { 观看意愿-&gt;付费意愿 }； 路径26： { 观看意愿-&gt;广告解锁意愿 }； 路径27： { 平台特性刺激-&gt;</w:t>
      </w:r>
      <w:r>
        <w:rPr>
          <w:rFonts w:hint="eastAsia"/>
          <w:b w:val="0"/>
          <w:bCs w:val="0"/>
          <w:color w:val="000000"/>
          <w:sz w:val="18"/>
          <w:szCs w:val="18"/>
          <w:lang w:eastAsia="zh-CN"/>
        </w:rPr>
        <w:t>社会影响感知</w:t>
      </w:r>
      <w:r>
        <w:rPr>
          <w:b w:val="0"/>
          <w:bCs w:val="0"/>
          <w:color w:val="000000"/>
          <w:sz w:val="18"/>
          <w:szCs w:val="18"/>
        </w:rPr>
        <w:t xml:space="preserve"> }； 路径28： { 内容特性刺激-&gt;</w:t>
      </w:r>
      <w:r>
        <w:rPr>
          <w:rFonts w:hint="eastAsia"/>
          <w:b w:val="0"/>
          <w:bCs w:val="0"/>
          <w:color w:val="000000"/>
          <w:sz w:val="18"/>
          <w:szCs w:val="18"/>
          <w:lang w:eastAsia="zh-CN"/>
        </w:rPr>
        <w:t>社会影响感知</w:t>
      </w:r>
      <w:r>
        <w:rPr>
          <w:b w:val="0"/>
          <w:bCs w:val="0"/>
          <w:color w:val="000000"/>
          <w:sz w:val="18"/>
          <w:szCs w:val="18"/>
        </w:rPr>
        <w:t xml:space="preserve"> }； 路径29： { 营销策略刺激-&gt;</w:t>
      </w:r>
      <w:r>
        <w:rPr>
          <w:rFonts w:hint="eastAsia"/>
          <w:b w:val="0"/>
          <w:bCs w:val="0"/>
          <w:color w:val="000000"/>
          <w:sz w:val="18"/>
          <w:szCs w:val="18"/>
          <w:lang w:eastAsia="zh-CN"/>
        </w:rPr>
        <w:t>社会影响感知</w:t>
      </w:r>
      <w:r>
        <w:rPr>
          <w:b w:val="0"/>
          <w:bCs w:val="0"/>
          <w:color w:val="000000"/>
          <w:sz w:val="18"/>
          <w:szCs w:val="18"/>
        </w:rPr>
        <w:t xml:space="preserve"> }； 路径30： { </w:t>
      </w:r>
      <w:r>
        <w:rPr>
          <w:rFonts w:hint="eastAsia"/>
          <w:b w:val="0"/>
          <w:bCs w:val="0"/>
          <w:color w:val="000000"/>
          <w:sz w:val="18"/>
          <w:szCs w:val="18"/>
          <w:lang w:eastAsia="zh-CN"/>
        </w:rPr>
        <w:t>社会影响感知</w:t>
      </w:r>
      <w:r>
        <w:rPr>
          <w:b w:val="0"/>
          <w:bCs w:val="0"/>
          <w:color w:val="000000"/>
          <w:sz w:val="18"/>
          <w:szCs w:val="18"/>
        </w:rPr>
        <w:t xml:space="preserve">-&gt;观看意愿 }； 路径31： { </w:t>
      </w:r>
      <w:r>
        <w:rPr>
          <w:rFonts w:hint="eastAsia"/>
          <w:b w:val="0"/>
          <w:bCs w:val="0"/>
          <w:color w:val="000000"/>
          <w:sz w:val="18"/>
          <w:szCs w:val="18"/>
          <w:lang w:eastAsia="zh-CN"/>
        </w:rPr>
        <w:t>社会影响感知</w:t>
      </w:r>
      <w:r>
        <w:rPr>
          <w:b w:val="0"/>
          <w:bCs w:val="0"/>
          <w:color w:val="000000"/>
          <w:sz w:val="18"/>
          <w:szCs w:val="18"/>
        </w:rPr>
        <w:t xml:space="preserve">-&gt;广告解锁意愿 }； 路径32： { </w:t>
      </w:r>
      <w:r>
        <w:rPr>
          <w:rFonts w:hint="eastAsia"/>
          <w:b w:val="0"/>
          <w:bCs w:val="0"/>
          <w:color w:val="000000"/>
          <w:sz w:val="18"/>
          <w:szCs w:val="18"/>
          <w:lang w:eastAsia="zh-CN"/>
        </w:rPr>
        <w:t>社会影响感知</w:t>
      </w:r>
      <w:r>
        <w:rPr>
          <w:b w:val="0"/>
          <w:bCs w:val="0"/>
          <w:color w:val="000000"/>
          <w:sz w:val="18"/>
          <w:szCs w:val="18"/>
        </w:rPr>
        <w:t xml:space="preserve">-&gt;付费意愿 }； 路径33： { </w:t>
      </w:r>
      <w:r>
        <w:rPr>
          <w:rFonts w:hint="eastAsia"/>
          <w:b w:val="0"/>
          <w:bCs w:val="0"/>
          <w:color w:val="000000"/>
          <w:sz w:val="18"/>
          <w:szCs w:val="18"/>
          <w:lang w:eastAsia="zh-CN"/>
        </w:rPr>
        <w:t>社交特性刺激</w:t>
      </w:r>
      <w:r>
        <w:rPr>
          <w:b w:val="0"/>
          <w:bCs w:val="0"/>
          <w:color w:val="000000"/>
          <w:sz w:val="18"/>
          <w:szCs w:val="18"/>
        </w:rPr>
        <w:t>-&gt;</w:t>
      </w:r>
      <w:r>
        <w:rPr>
          <w:rFonts w:hint="eastAsia"/>
          <w:b w:val="0"/>
          <w:bCs w:val="0"/>
          <w:color w:val="000000"/>
          <w:sz w:val="18"/>
          <w:szCs w:val="18"/>
          <w:lang w:eastAsia="zh-CN"/>
        </w:rPr>
        <w:t>社会影响感知</w:t>
      </w:r>
      <w:r>
        <w:rPr>
          <w:b w:val="0"/>
          <w:bCs w:val="0"/>
          <w:color w:val="000000"/>
          <w:sz w:val="18"/>
          <w:szCs w:val="18"/>
        </w:rPr>
        <w:t xml:space="preserve"> }； 路径34： { </w:t>
      </w:r>
      <w:r>
        <w:rPr>
          <w:rFonts w:hint="eastAsia"/>
          <w:b w:val="0"/>
          <w:bCs w:val="0"/>
          <w:color w:val="000000"/>
          <w:sz w:val="18"/>
          <w:szCs w:val="18"/>
          <w:lang w:eastAsia="zh-CN"/>
        </w:rPr>
        <w:t>社交特性刺激</w:t>
      </w:r>
      <w:r>
        <w:rPr>
          <w:b w:val="0"/>
          <w:bCs w:val="0"/>
          <w:color w:val="000000"/>
          <w:sz w:val="18"/>
          <w:szCs w:val="18"/>
        </w:rPr>
        <w:t xml:space="preserve">-&gt;绩效期望（享乐） }； 路径35： { </w:t>
      </w:r>
      <w:r>
        <w:rPr>
          <w:rFonts w:hint="eastAsia"/>
          <w:b w:val="0"/>
          <w:bCs w:val="0"/>
          <w:color w:val="000000"/>
          <w:sz w:val="18"/>
          <w:szCs w:val="18"/>
          <w:lang w:eastAsia="zh-CN"/>
        </w:rPr>
        <w:t>社交特性刺激</w:t>
      </w:r>
      <w:r>
        <w:rPr>
          <w:b w:val="0"/>
          <w:bCs w:val="0"/>
          <w:color w:val="000000"/>
          <w:sz w:val="18"/>
          <w:szCs w:val="18"/>
        </w:rPr>
        <w:t xml:space="preserve">-&gt;习惯 }； 路径36： { </w:t>
      </w:r>
      <w:r>
        <w:rPr>
          <w:rFonts w:hint="eastAsia"/>
          <w:b w:val="0"/>
          <w:bCs w:val="0"/>
          <w:color w:val="000000"/>
          <w:sz w:val="18"/>
          <w:szCs w:val="18"/>
          <w:lang w:eastAsia="zh-CN"/>
        </w:rPr>
        <w:t>社交特性刺激</w:t>
      </w:r>
      <w:r>
        <w:rPr>
          <w:b w:val="0"/>
          <w:bCs w:val="0"/>
          <w:color w:val="000000"/>
          <w:sz w:val="18"/>
          <w:szCs w:val="18"/>
        </w:rPr>
        <w:t xml:space="preserve">-&gt;便利条件 }； 路径37： { </w:t>
      </w:r>
      <w:r>
        <w:rPr>
          <w:rFonts w:hint="eastAsia"/>
          <w:b w:val="0"/>
          <w:bCs w:val="0"/>
          <w:color w:val="000000"/>
          <w:sz w:val="18"/>
          <w:szCs w:val="18"/>
          <w:lang w:eastAsia="zh-CN"/>
        </w:rPr>
        <w:t>社交特性刺激</w:t>
      </w:r>
      <w:r>
        <w:rPr>
          <w:b w:val="0"/>
          <w:bCs w:val="0"/>
          <w:color w:val="000000"/>
          <w:sz w:val="18"/>
          <w:szCs w:val="18"/>
        </w:rPr>
        <w:t xml:space="preserve">-&gt;价格价值 }收起 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 xml:space="preserve">参数：
观看意愿： { 您计划未来继续观看微短剧的意愿程度 }； 广告解锁意愿： { 您未来愿意通过观看广告解锁短剧的可能性 }； 付费意愿： { 您未来愿意为微短剧(如单集解锁、会员购买)付费的可能性 }； 平台特性刺激： { 请根据您的实际感受选择符合的选项—微短剧平台推送的内容很符合我的兴趣，微短剧平台操作方便、播放流畅，微短剧平台的弹幕、评论等互动功能很活跃，微短剧单部更新快、上新数量多 }； 内容特性刺激： { 微短剧剧情反转多、“爽点”密集，微短剧的演员表现、画面质量等制作水平高，微短剧的题材新颖、符合我的喜好，（反）大部分微短剧的剧情和套路都比较相似 }； 营销策略刺激： { 微短剧广告解锁的时长(如30秒、1分钟)在我可接受范围内，微短剧单集价格或者周月卡价格在我可接受范围内，微短剧平台的促销活动(如折扣、满减)很有吸引力，我常在社交媒体上看到微短剧相关的热门内容 }； 绩效期望（享乐）： { 请根据您的心理感受与认知选择符合的选项 —观看微短剧能满足我的休闲娱乐需求，观看微短剧能让我感到愉悦、有“爽”感 }； 习惯： { 我已经形成固定的微短剧观看习惯(如每天睡前、课间必看)，当我需要娱乐时，我习惯性地自动打开微短剧观看 }； 便利条件： { 观看微短剧需要的设备、时间、网络我都能满足，微短剧的“碎片化”时长(2-3分钟)刚好适配我的空闲时间(如课间、通勤)，（反）学业压力大、时间紧张会减少我观看微短剧的频率 }； 价格价值： { 微短剧带来的体验值得我观看广告进行剧集解锁，微短剧带来的体验值得我付费进行剧集解锁 }； </w:t>
      </w:r>
      <w:r>
        <w:rPr>
          <w:rFonts w:hint="eastAsia"/>
          <w:b w:val="0"/>
          <w:bCs w:val="0"/>
          <w:color w:val="000000"/>
          <w:sz w:val="18"/>
          <w:szCs w:val="18"/>
          <w:lang w:eastAsia="zh-CN"/>
        </w:rPr>
        <w:t>社会影响感知</w:t>
      </w:r>
      <w:r>
        <w:rPr>
          <w:b w:val="0"/>
          <w:bCs w:val="0"/>
          <w:color w:val="000000"/>
          <w:sz w:val="18"/>
          <w:szCs w:val="18"/>
        </w:rPr>
        <w:t xml:space="preserve">： { 当朋友、同学、网红等都在看微短剧，我也愿意去看 }； </w:t>
      </w:r>
      <w:r>
        <w:rPr>
          <w:rFonts w:hint="eastAsia"/>
          <w:b w:val="0"/>
          <w:bCs w:val="0"/>
          <w:color w:val="000000"/>
          <w:sz w:val="18"/>
          <w:szCs w:val="18"/>
          <w:lang w:eastAsia="zh-CN"/>
        </w:rPr>
        <w:t>社交特性刺激</w:t>
      </w:r>
      <w:r>
        <w:rPr>
          <w:b w:val="0"/>
          <w:bCs w:val="0"/>
          <w:color w:val="000000"/>
          <w:sz w:val="18"/>
          <w:szCs w:val="18"/>
        </w:rPr>
        <w:t>： { 同学、朋友经常推荐我观看微短剧，我所在的社交平台群里常讨论微短剧 }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分析结果：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 xml:space="preserve">结构方程模型（SEM）是根据潜变量形成因子，再通过自定义因子回归路径来进行分析，请看详细结论分析因子合理性与因子路径关系。 </w:t>
      </w:r>
    </w:p>
    <w:p w14:paraId="74FDB1B3">
      <w:pPr>
        <w:pStyle w:val="4"/>
        <w:widowControl/>
        <w:jc w:val="left"/>
      </w:pPr>
      <w:r>
        <w:t>分析步骤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1.
根据结构模型的带权路径图，分析因子路径影响关系情况，可以从全局了解各因子节点的路径构成与关系。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2.
 接着通过因子载荷系数对因子内量变量进行筛选，一般来说，测量变量通过显著性检验(P&lt;0.05)，并且标准化载荷系数值大于0.6，可表明测量变量符合因子降维的要求，如果条件差距太大可以考虑删除变量（变量设置不合理）（PS：结构方程模型本质上与路径分析的方式一致，只是多了此步骤，用于将多个变量转换为一个因子（变量），该步骤用于探究因子的变量构成是否在同一个主成分上）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3.
通过模型路径系数表可以看到配对特征的模型路径系数，根据显著性检验分析(P&lt;0.05)模型变量之间是否存在影响关系，若存在显著性，说明变量之间存在影响关系，可通过标准化路径系数对影响效率量进行深入分析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4.
模型拟合指标可对模型拟合情况进行分析，通常不要求全部检验通过。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5.
协方差表格分析了模型中没有入度的节点，用于分析路径节点之间的关联性。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6.
对分析进行总结。</w:t>
      </w:r>
    </w:p>
    <w:p w14:paraId="5809663D">
      <w:pPr>
        <w:pStyle w:val="4"/>
        <w:widowControl/>
      </w:pPr>
      <w:r>
        <w:t>详细结论</w:t>
      </w:r>
    </w:p>
    <w:p w14:paraId="42AFECBA">
      <w:pPr>
        <w:widowControl/>
        <w:spacing w:before="0" w:after="100"/>
        <w:ind w:left="720" w:right="720"/>
        <w:jc w:val="left"/>
      </w:pPr>
      <w:r>
        <w:rPr>
          <w:b/>
          <w:bCs/>
          <w:color w:val="000000"/>
          <w:sz w:val="20"/>
          <w:szCs w:val="20"/>
        </w:rPr>
        <w:br w:type="textWrapping"/>
      </w:r>
      <w:r>
        <w:rPr>
          <w:b/>
          <w:bCs/>
          <w:color w:val="000000"/>
          <w:sz w:val="20"/>
          <w:szCs w:val="20"/>
        </w:rPr>
        <w:t>输出结果1：结构方程模型路径图</w:t>
      </w:r>
    </w:p>
    <w:p w14:paraId="47249445">
      <w:pPr>
        <w:spacing w:after="500"/>
        <w:jc w:val="center"/>
      </w:pPr>
      <w:r>
        <w:drawing>
          <wp:inline distT="0" distB="0" distL="0" distR="0">
            <wp:extent cx="4762500" cy="272351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72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0B281">
      <w:pPr>
        <w:widowControl/>
        <w:spacing w:before="0" w:after="100"/>
        <w:ind w:left="720" w:right="720"/>
        <w:jc w:val="left"/>
      </w:pPr>
      <w:r>
        <w:rPr>
          <w:b/>
          <w:bCs/>
          <w:color w:val="000000"/>
          <w:sz w:val="20"/>
          <w:szCs w:val="20"/>
        </w:rPr>
        <w:br w:type="textWrapping"/>
      </w:r>
      <w:r>
        <w:rPr>
          <w:b/>
          <w:bCs/>
          <w:color w:val="000000"/>
          <w:sz w:val="20"/>
          <w:szCs w:val="20"/>
        </w:rPr>
        <w:t>图表说明：</w:t>
      </w:r>
    </w:p>
    <w:p w14:paraId="1A6EB2BE">
      <w:pPr>
        <w:widowControl/>
        <w:spacing w:before="0" w:after="100"/>
        <w:ind w:left="720" w:right="720"/>
        <w:jc w:val="left"/>
      </w:pPr>
      <w:r>
        <w:rPr>
          <w:b w:val="0"/>
          <w:bCs w:val="0"/>
          <w:color w:val="000000"/>
          <w:sz w:val="18"/>
          <w:szCs w:val="18"/>
        </w:rPr>
        <w:t>上表展示了带权结构路径图，主要包括模型的标准化系数，用于分析结构路径影响关系情况。</w:t>
      </w:r>
    </w:p>
    <w:p w14:paraId="0C282AB5">
      <w:pPr>
        <w:widowControl/>
        <w:spacing w:before="0" w:after="100"/>
        <w:ind w:left="720" w:right="720"/>
        <w:jc w:val="left"/>
      </w:pPr>
      <w:r>
        <w:rPr>
          <w:b/>
          <w:bCs/>
          <w:color w:val="000000"/>
          <w:sz w:val="20"/>
          <w:szCs w:val="20"/>
        </w:rPr>
        <w:br w:type="textWrapping"/>
      </w:r>
      <w:r>
        <w:rPr>
          <w:b/>
          <w:bCs/>
          <w:color w:val="000000"/>
          <w:sz w:val="20"/>
          <w:szCs w:val="20"/>
        </w:rPr>
        <w:t>输出结果2：因子载荷系数表</w:t>
      </w:r>
    </w:p>
    <w:tbl>
      <w:tblPr>
        <w:tblStyle w:val="10"/>
        <w:tblW w:w="200000" w:type="pct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1"/>
        <w:gridCol w:w="2385"/>
        <w:gridCol w:w="689"/>
        <w:gridCol w:w="689"/>
        <w:gridCol w:w="522"/>
        <w:gridCol w:w="431"/>
        <w:gridCol w:w="700"/>
      </w:tblGrid>
      <w:tr w14:paraId="4C9BE53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single" w:color="000000" w:sz="10" w:space="0"/>
              <w:left w:val="nil"/>
              <w:bottom w:val="single" w:color="000000" w:sz="10" w:space="0"/>
              <w:right w:val="nil"/>
            </w:tcBorders>
            <w:vAlign w:val="center"/>
          </w:tcPr>
          <w:p w14:paraId="4C71B616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因子</w:t>
            </w:r>
          </w:p>
        </w:tc>
        <w:tc>
          <w:tcPr>
            <w:tcBorders>
              <w:top w:val="single" w:color="000000" w:sz="10" w:space="0"/>
              <w:left w:val="nil"/>
              <w:bottom w:val="single" w:color="000000" w:sz="10" w:space="0"/>
              <w:right w:val="nil"/>
            </w:tcBorders>
            <w:vAlign w:val="center"/>
          </w:tcPr>
          <w:p w14:paraId="2B95A41C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变量</w:t>
            </w:r>
          </w:p>
        </w:tc>
        <w:tc>
          <w:tcPr>
            <w:tcBorders>
              <w:top w:val="single" w:color="000000" w:sz="10" w:space="0"/>
              <w:left w:val="nil"/>
              <w:bottom w:val="single" w:color="000000" w:sz="10" w:space="0"/>
              <w:right w:val="nil"/>
            </w:tcBorders>
            <w:vAlign w:val="center"/>
          </w:tcPr>
          <w:p w14:paraId="2A4BDA3A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非标准载荷系数</w:t>
            </w:r>
          </w:p>
        </w:tc>
        <w:tc>
          <w:tcPr>
            <w:tcBorders>
              <w:top w:val="single" w:color="000000" w:sz="10" w:space="0"/>
              <w:left w:val="nil"/>
              <w:bottom w:val="single" w:color="000000" w:sz="10" w:space="0"/>
              <w:right w:val="nil"/>
            </w:tcBorders>
            <w:vAlign w:val="center"/>
          </w:tcPr>
          <w:p w14:paraId="056F8B17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标准化载荷系数</w:t>
            </w:r>
          </w:p>
        </w:tc>
        <w:tc>
          <w:tcPr>
            <w:tcBorders>
              <w:top w:val="single" w:color="000000" w:sz="10" w:space="0"/>
              <w:left w:val="nil"/>
              <w:bottom w:val="single" w:color="000000" w:sz="10" w:space="0"/>
              <w:right w:val="nil"/>
            </w:tcBorders>
            <w:vAlign w:val="center"/>
          </w:tcPr>
          <w:p w14:paraId="13BB1A58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z</w:t>
            </w:r>
          </w:p>
        </w:tc>
        <w:tc>
          <w:tcPr>
            <w:tcBorders>
              <w:top w:val="single" w:color="000000" w:sz="10" w:space="0"/>
              <w:left w:val="nil"/>
              <w:bottom w:val="single" w:color="000000" w:sz="10" w:space="0"/>
              <w:right w:val="nil"/>
            </w:tcBorders>
            <w:vAlign w:val="center"/>
          </w:tcPr>
          <w:p w14:paraId="167F19DE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S.E.</w:t>
            </w:r>
          </w:p>
        </w:tc>
        <w:tc>
          <w:tcPr>
            <w:tcBorders>
              <w:top w:val="single" w:color="000000" w:sz="10" w:space="0"/>
              <w:left w:val="nil"/>
              <w:bottom w:val="single" w:color="000000" w:sz="10" w:space="0"/>
              <w:right w:val="nil"/>
            </w:tcBorders>
            <w:vAlign w:val="center"/>
          </w:tcPr>
          <w:p w14:paraId="5A7915C1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P</w:t>
            </w:r>
          </w:p>
        </w:tc>
      </w:tr>
      <w:tr w14:paraId="7404736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717DA7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观看意愿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B68544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您计划未来继续观看微短剧的意愿程度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A6873F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C61B3E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56E1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366563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F8FFDD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</w:tr>
      <w:tr w14:paraId="2AFEBE1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4EAD85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广告解锁意愿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BA3829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您未来愿意通过观看广告解锁短剧的可能性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AEE4B6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0BA493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0.753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28AC49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013640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5B23E1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</w:tr>
      <w:tr w14:paraId="253D681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765ADB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付费意愿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E97116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您未来愿意为微短剧(如单集解锁、会员购买)付费的可能性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03506A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FDDFFF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0.835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0DEEC2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E060E1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97CC48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</w:tr>
      <w:tr w14:paraId="7804D77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CA8DC2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平台特性刺激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A35550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请根据您的实际感受选择符合的选项—微短剧平台推送的内容很符合我的兴趣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1CBF32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3EE054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0.663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FD479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76A688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37B04D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</w:tr>
      <w:tr w14:paraId="31BDADC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653CA04B"/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8FC907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微短剧平台操作方便、播放流畅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34CFC5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0.989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D6AFCF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0.642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2507E5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9.51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A18E8E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0.104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8ABD69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0.000***</w:t>
            </w:r>
          </w:p>
        </w:tc>
      </w:tr>
      <w:tr w14:paraId="55619E8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51B1409B"/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48D752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微短剧平台的弹幕、评论等互动功能很活跃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22B83C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1.161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663D1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0.71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BB39BE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10.393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B9684F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0.112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C70105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0.000***</w:t>
            </w:r>
          </w:p>
        </w:tc>
      </w:tr>
      <w:tr w14:paraId="530D40D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77E51F08"/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754410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微短剧单部更新快、上新数量多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D5DF9A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0.791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9E62E0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0.552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B37F94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8.286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888799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0.095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8726C2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0.000***</w:t>
            </w:r>
          </w:p>
        </w:tc>
      </w:tr>
      <w:tr w14:paraId="74D44B2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0F2333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内容特性刺激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0180CE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微短剧剧情反转多、“爽点”密集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EDE2A9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CD7D9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0.661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80EDEB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3BB264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6EF63D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</w:tr>
      <w:tr w14:paraId="4D09471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7DD69212"/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3F6A68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微短剧的演员表现、画面质量等制作水平高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C2BA61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1.187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FCF5D4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0.712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5B6D8D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10.018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4907D5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0.119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2C21A6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0.000***</w:t>
            </w:r>
          </w:p>
        </w:tc>
      </w:tr>
      <w:tr w14:paraId="66A0694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7652D250"/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1C5899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微短剧的题材新颖、符合我的喜好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64DED3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1.237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21EA36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0.743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1F7C32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10.396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CE8746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0.119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7E7D4A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0.000***</w:t>
            </w:r>
          </w:p>
        </w:tc>
      </w:tr>
      <w:tr w14:paraId="08E2FA3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2A5F02F3"/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C13620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（反）大部分微短剧的剧情和套路都比较相似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25294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-1.082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DC8EC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-0.656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9322F8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-9.337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B51871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0.116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E5912D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0.000***</w:t>
            </w:r>
          </w:p>
        </w:tc>
      </w:tr>
      <w:tr w14:paraId="7FE8B86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2DFEBE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营销策略刺激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8B2124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微短剧广告解锁的时长(如30秒、1分钟)在我可接受范围内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A1E4FB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57A7A4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0.594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E284C5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DD9CC7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C92DC5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</w:tr>
      <w:tr w14:paraId="5E9ECF8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6F02A36D"/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73E3F9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微短剧单集价格或者周月卡价格在我可接受范围内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4BE74B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1.304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C6DE57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0.718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51B3FB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9.102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31B0A9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0.143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BD4F76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0.000***</w:t>
            </w:r>
          </w:p>
        </w:tc>
      </w:tr>
      <w:tr w14:paraId="546DCC7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33C32C6B"/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7CD48F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微短剧平台的促销活动(如折扣、满减)很有吸引力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FAE324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1.364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A83048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0.736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170323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9.255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BFA351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0.147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5C86A3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0.000***</w:t>
            </w:r>
          </w:p>
        </w:tc>
      </w:tr>
      <w:tr w14:paraId="71CEC07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5A01BC5B"/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3664A9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我常在社交媒体上看到微短剧相关的热门内容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11C5E0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1.331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4C2E99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0.721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C1EDBE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9.122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428FF3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0.146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5BC23A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0.000***</w:t>
            </w:r>
          </w:p>
        </w:tc>
      </w:tr>
      <w:tr w14:paraId="4BA9187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70AF9B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绩效期望（享乐）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74A9A5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请根据您的心理感受与认知选择符合的选项 —观看微短剧能满足我的休闲娱乐需求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070AE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6B4D72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0.708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DC6A1C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F001C0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3572AD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</w:tr>
      <w:tr w14:paraId="3D5363D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299B8E3E"/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F93446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观看微短剧能让我感到愉悦、有“爽”感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EBD27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1.069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E0FB83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0.746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0E0C76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10.908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10A505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0.098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1D36D2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0.000***</w:t>
            </w:r>
          </w:p>
        </w:tc>
      </w:tr>
      <w:tr w14:paraId="764ACA7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36820B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习惯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F1FD25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我已经形成固定的微短剧观看习惯(如每天睡前、课间必看)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4DB274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D79E9A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0.82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0830C7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1106E0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EB3E82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</w:tr>
      <w:tr w14:paraId="2912FAA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4DAF48E3"/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45787B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当我需要娱乐时，我习惯性地自动打开微短剧观看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868A5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0.94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9ED220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0.796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C7E340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14.422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8009F5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0.065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9A7E6D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0.000***</w:t>
            </w:r>
          </w:p>
        </w:tc>
      </w:tr>
      <w:tr w14:paraId="2815E29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52A4A4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便利条件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F544F3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观看微短剧需要的设备、时间、网络我都能满足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C828AF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77A5EC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0.662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117A3B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351D76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74299D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</w:tr>
      <w:tr w14:paraId="5F6B44A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44EB246C"/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367E4F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微短剧的“碎片化”时长(2-3分钟)刚好适配我的空闲时间(如课间、通勤)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F78ADF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0.876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BF417C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0.611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4E3036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8.871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F27BFF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0.099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4968A8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0.000***</w:t>
            </w:r>
          </w:p>
        </w:tc>
      </w:tr>
      <w:tr w14:paraId="6231411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134285E4"/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43F7B9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（反）学业压力大、时间紧张会减少我观看微短剧的频率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F8C757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-1.078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471524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-0.682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564021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-9.79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61AC9A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0.11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6D25BA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0.000***</w:t>
            </w:r>
          </w:p>
        </w:tc>
      </w:tr>
      <w:tr w14:paraId="5BDD486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0F9E1E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价格价值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DA09B5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微短剧带来的体验值得我观看广告进行剧集解锁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23F6E4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624716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0.719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91DF1A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A61335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92BD72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</w:tr>
      <w:tr w14:paraId="0322EBC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67887925"/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79A288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微短剧带来的体验值得我付费进行剧集解锁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5DB05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1.355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256230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0.836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2C1D36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12.298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2FB7AC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0.11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213214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0.000***</w:t>
            </w:r>
          </w:p>
        </w:tc>
      </w:tr>
      <w:tr w14:paraId="7E320E0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5A4E76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zh-CN"/>
              </w:rPr>
              <w:t>社会影响感知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B3BF18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当朋友、同学、网红等都在看微短剧，我也愿意去看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6D24F2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BF77D2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0.789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EE76EB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A7017F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20AED2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</w:tr>
      <w:tr w14:paraId="46E5716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Merge w:val="restart"/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 w14:paraId="3446DBA3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zh-CN"/>
              </w:rPr>
              <w:t>社交特性刺激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142034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同学、朋友经常推荐我观看微短剧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E81B97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3D3F94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0.785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E0CA0C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A35AAE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0BC9B4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</w:tr>
      <w:tr w14:paraId="07BC684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Merge w:val="continue"/>
            <w:tcBorders>
              <w:top w:val="nil"/>
              <w:left w:val="nil"/>
              <w:bottom w:val="single" w:color="000000" w:sz="10" w:space="0"/>
              <w:right w:val="nil"/>
            </w:tcBorders>
          </w:tcPr>
          <w:p w14:paraId="54764827"/>
        </w:tc>
        <w:tc>
          <w:tcPr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 w14:paraId="50154574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我所在的社交平台群里常讨论微短剧</w:t>
            </w:r>
          </w:p>
        </w:tc>
        <w:tc>
          <w:tcPr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 w14:paraId="03818D46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1.16</w:t>
            </w:r>
          </w:p>
        </w:tc>
        <w:tc>
          <w:tcPr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 w14:paraId="19B51422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0.859</w:t>
            </w:r>
          </w:p>
        </w:tc>
        <w:tc>
          <w:tcPr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 w14:paraId="4752711F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15.117</w:t>
            </w:r>
          </w:p>
        </w:tc>
        <w:tc>
          <w:tcPr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 w14:paraId="7E76E14E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0.077</w:t>
            </w:r>
          </w:p>
        </w:tc>
        <w:tc>
          <w:tcPr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 w14:paraId="796A211B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0.000***</w:t>
            </w:r>
          </w:p>
        </w:tc>
      </w:tr>
      <w:tr w14:paraId="682E84B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9787D7">
            <w:pPr>
              <w:pBdr>
                <w:left w:val="none" w:color="auto" w:sz="0" w:space="0"/>
                <w:right w:val="none" w:color="auto" w:sz="0" w:space="0"/>
              </w:pBdr>
              <w:jc w:val="left"/>
            </w:pPr>
            <w:r>
              <w:rPr>
                <w:sz w:val="18"/>
                <w:szCs w:val="18"/>
              </w:rPr>
              <w:t xml:space="preserve"> 注：***、**、*分别代表1%、5%、10%的显著性水平 </w:t>
            </w:r>
          </w:p>
        </w:tc>
      </w:tr>
    </w:tbl>
    <w:p w14:paraId="7C423258">
      <w:pPr>
        <w:widowControl/>
        <w:spacing w:before="0" w:after="100"/>
        <w:ind w:left="720" w:right="720"/>
        <w:jc w:val="left"/>
      </w:pPr>
      <w:r>
        <w:rPr>
          <w:b/>
          <w:bCs/>
          <w:color w:val="000000"/>
          <w:sz w:val="20"/>
          <w:szCs w:val="20"/>
        </w:rPr>
        <w:br w:type="textWrapping"/>
      </w:r>
      <w:r>
        <w:rPr>
          <w:b/>
          <w:bCs/>
          <w:color w:val="000000"/>
          <w:sz w:val="20"/>
          <w:szCs w:val="20"/>
        </w:rPr>
        <w:t>图表说明：</w:t>
      </w:r>
    </w:p>
    <w:p w14:paraId="64FDFC24">
      <w:pPr>
        <w:widowControl/>
        <w:spacing w:before="0" w:after="100"/>
        <w:ind w:left="720" w:right="720"/>
        <w:jc w:val="left"/>
      </w:pPr>
      <w:r>
        <w:rPr>
          <w:b w:val="0"/>
          <w:bCs w:val="0"/>
          <w:color w:val="000000"/>
          <w:sz w:val="18"/>
          <w:szCs w:val="18"/>
        </w:rPr>
        <w:t>上表为模型的因子载荷系数表格，包括潜变量、分析项、非标准载荷系数、z检验结果等。测量关系时第一项会被作为参照项，因此不会呈现P值等统计量。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● 因子载荷系数对因子内测量变量进行筛选，一般来说，测量变量通过显著性检验(P&lt;0.05)，且标准化载荷系数值大于0.4（严格为0.6，系统默认阈值为0.4），可表明测量变量符合因子要求，条件差距太大可以考虑删除变量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● 如果测量关系良好，通常来说，标准化载荷系数值基本上均会大于0.4（严格为0.6，系统默认阈值为0.4）。</w:t>
      </w:r>
      <w:r>
        <w:rPr>
          <w:b w:val="0"/>
          <w:bCs w:val="0"/>
          <w:color w:val="000000"/>
          <w:sz w:val="18"/>
          <w:szCs w:val="18"/>
        </w:rPr>
        <w:br w:type="textWrapping"/>
      </w:r>
    </w:p>
    <w:p w14:paraId="6B990546">
      <w:pPr>
        <w:widowControl/>
        <w:spacing w:before="0" w:after="100"/>
        <w:ind w:left="720" w:right="720"/>
        <w:jc w:val="left"/>
      </w:pPr>
      <w:r>
        <w:rPr>
          <w:b/>
          <w:bCs/>
          <w:color w:val="000000"/>
          <w:sz w:val="20"/>
          <w:szCs w:val="20"/>
        </w:rPr>
        <w:br w:type="textWrapping"/>
      </w:r>
      <w:r>
        <w:rPr>
          <w:b/>
          <w:bCs/>
          <w:color w:val="000000"/>
          <w:sz w:val="20"/>
          <w:szCs w:val="20"/>
        </w:rPr>
        <w:t>智能分析：</w:t>
      </w:r>
    </w:p>
    <w:p w14:paraId="2626B161">
      <w:pPr>
        <w:widowControl/>
        <w:spacing w:before="0" w:after="100"/>
        <w:ind w:left="720" w:right="720"/>
        <w:jc w:val="left"/>
      </w:pPr>
      <w:r>
        <w:rPr>
          <w:b w:val="0"/>
          <w:bCs w:val="0"/>
          <w:color w:val="000000"/>
          <w:sz w:val="18"/>
          <w:szCs w:val="18"/>
        </w:rPr>
        <w:t>由模型路径系数表可知：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基于因子观看意愿的验证性分析可以得到，该因子内变量组成的主成分解释层度较低，请重新检查题目设计或节点变量的组成。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基于因子广告解锁意愿的验证性分析可以得到，该因子内变量组成的主成分解释层度较低，请重新检查题目设计或节点变量的组成。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基于因子付费意愿的验证性分析可以得到，该因子内变量组成的主成分解释层度较低，请重新检查题目设计或节点变量的组成。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基于微短剧平台操作方便、播放流畅（显著性P值为0.000***）、微短剧平台的弹幕、评论等互动功能很活跃（显著性P值为0.000***）、微短剧单部更新快、上新数量多（显著性P值为0.000***）的水平上呈现显著性，则拒绝原假设，同时其标准载荷系数均大于0.4，可以认为其有足够的方差解释率表现各变量能在同一因子上展现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基于微短剧的演员表现、画面质量等制作水平高（显著性P值为0.000***）、微短剧的题材新颖、符合我的喜好（显著性P值为0.000***）、绩效期望（享乐）（显著性P值为0.000***）、便利条件（显著性P值为0.000***）的水平上呈现显著性，则拒绝原假设，同时其标准载荷系数均大于0.4，可以认为其有足够的方差解释率表现各变量能在同一因子上展现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基于微短剧单集价格或者周月卡价格在我可接受范围内（显著性P值为0.000***）、微短剧平台的促销活动(如折扣、满减)很有吸引力（显著性P值为0.000***）、我常在社交媒体上看到微短剧相关的热门内容（显著性P值为0.000***）的水平上呈现显著性，则拒绝原假设，同时其标准载荷系数均大于0.4，可以认为其有足够的方差解释率表现各变量能在同一因子上展现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基于观看微短剧能让我感到愉悦、有“爽”感（显著性P值为0.000***）的水平上呈现显著性，则拒绝原假设，同时其标准载荷系数均大于0.4，可以认为其有足够的方差解释率表现各变量能在同一因子上展现。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基于当我需要娱乐时，我习惯性地自动打开微短剧观看（显著性P值为0.000***）的水平上呈现显著性，则拒绝原假设，同时其标准载荷系数均大于0.4，可以认为其有足够的方差解释率表现各变量能在同一因子上展现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基于微短剧的“碎片化”时长(2-3分钟)刚好适配我的空闲时间(如课间、通勤)（显著性P值为0.000***）的水平上呈现显著性，则拒绝原假设，同时其标准载荷系数均大于0.4，可以认为其有足够的方差解释率表现各变量能在同一因子上展现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基于微短剧带来的体验值得我付费进行剧集解锁（显著性P值为0.000***）的水平上呈现显著性，则拒绝原假设，同时其标准载荷系数均大于0.4，可以认为其有足够的方差解释率表现各变量能在同一因子上展现。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基于因子</w:t>
      </w:r>
      <w:r>
        <w:rPr>
          <w:rFonts w:hint="eastAsia"/>
          <w:b w:val="0"/>
          <w:bCs w:val="0"/>
          <w:color w:val="000000"/>
          <w:sz w:val="18"/>
          <w:szCs w:val="18"/>
          <w:lang w:eastAsia="zh-CN"/>
        </w:rPr>
        <w:t>社会影响感知</w:t>
      </w:r>
      <w:r>
        <w:rPr>
          <w:b w:val="0"/>
          <w:bCs w:val="0"/>
          <w:color w:val="000000"/>
          <w:sz w:val="18"/>
          <w:szCs w:val="18"/>
        </w:rPr>
        <w:t>的验证性分析可以得到，该因子内变量组成的主成分解释层度较低，请重新检查题目设计或节点变量的组成。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基于我所在的社交平台群里常讨论微短剧（显著性P值为0.000***）、习惯（显著性P值为0.005***）、</w:t>
      </w:r>
      <w:r>
        <w:rPr>
          <w:rFonts w:hint="eastAsia"/>
          <w:b w:val="0"/>
          <w:bCs w:val="0"/>
          <w:color w:val="000000"/>
          <w:sz w:val="18"/>
          <w:szCs w:val="18"/>
          <w:lang w:eastAsia="zh-CN"/>
        </w:rPr>
        <w:t>社会影响感知</w:t>
      </w:r>
      <w:r>
        <w:rPr>
          <w:b w:val="0"/>
          <w:bCs w:val="0"/>
          <w:color w:val="000000"/>
          <w:sz w:val="18"/>
          <w:szCs w:val="18"/>
        </w:rPr>
        <w:t>（显著性P值为0.010***）的水平上呈现显著性，则拒绝原假设，同时其标准载荷系数均大于0.4，可以认为其有足够的方差解释率表现各变量能在同一因子上展现。</w:t>
      </w:r>
      <w:r>
        <w:rPr>
          <w:b w:val="0"/>
          <w:bCs w:val="0"/>
          <w:color w:val="000000"/>
          <w:sz w:val="18"/>
          <w:szCs w:val="18"/>
        </w:rPr>
        <w:br w:type="textWrapping"/>
      </w:r>
    </w:p>
    <w:p w14:paraId="5BE0446A">
      <w:pPr>
        <w:widowControl/>
        <w:spacing w:before="0" w:after="100"/>
        <w:ind w:left="720" w:right="720"/>
        <w:jc w:val="left"/>
      </w:pPr>
      <w:r>
        <w:rPr>
          <w:b/>
          <w:bCs/>
          <w:color w:val="000000"/>
          <w:sz w:val="20"/>
          <w:szCs w:val="20"/>
        </w:rPr>
        <w:br w:type="textWrapping"/>
      </w:r>
      <w:r>
        <w:rPr>
          <w:b/>
          <w:bCs/>
          <w:color w:val="000000"/>
          <w:sz w:val="20"/>
          <w:szCs w:val="20"/>
        </w:rPr>
        <w:t>输出结果3：模型回归系数表</w:t>
      </w:r>
    </w:p>
    <w:tbl>
      <w:tblPr>
        <w:tblStyle w:val="10"/>
        <w:tblW w:w="200000" w:type="pct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83"/>
        <w:gridCol w:w="213"/>
        <w:gridCol w:w="1189"/>
        <w:gridCol w:w="914"/>
        <w:gridCol w:w="784"/>
        <w:gridCol w:w="524"/>
        <w:gridCol w:w="500"/>
        <w:gridCol w:w="730"/>
      </w:tblGrid>
      <w:tr w14:paraId="76F9A85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Borders>
              <w:top w:val="single" w:color="000000" w:sz="10" w:space="0"/>
              <w:left w:val="nil"/>
              <w:bottom w:val="single" w:color="000000" w:sz="10" w:space="0"/>
              <w:right w:val="nil"/>
            </w:tcBorders>
            <w:vAlign w:val="center"/>
          </w:tcPr>
          <w:p w14:paraId="39F25166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Factor(潜变量)</w:t>
            </w:r>
          </w:p>
        </w:tc>
        <w:tc>
          <w:tcPr>
            <w:tcBorders>
              <w:top w:val="single" w:color="000000" w:sz="10" w:space="0"/>
              <w:left w:val="nil"/>
              <w:bottom w:val="single" w:color="000000" w:sz="10" w:space="0"/>
              <w:right w:val="nil"/>
            </w:tcBorders>
            <w:vAlign w:val="center"/>
          </w:tcPr>
          <w:p w14:paraId="6F5AE31D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→</w:t>
            </w:r>
          </w:p>
        </w:tc>
        <w:tc>
          <w:tcPr>
            <w:tcBorders>
              <w:top w:val="single" w:color="000000" w:sz="10" w:space="0"/>
              <w:left w:val="nil"/>
              <w:bottom w:val="single" w:color="000000" w:sz="10" w:space="0"/>
              <w:right w:val="nil"/>
            </w:tcBorders>
            <w:vAlign w:val="center"/>
          </w:tcPr>
          <w:p w14:paraId="76E20CAB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分析项(显变量)</w:t>
            </w:r>
          </w:p>
        </w:tc>
        <w:tc>
          <w:tcPr>
            <w:tcBorders>
              <w:top w:val="single" w:color="000000" w:sz="10" w:space="0"/>
              <w:left w:val="nil"/>
              <w:bottom w:val="single" w:color="000000" w:sz="10" w:space="0"/>
              <w:right w:val="nil"/>
            </w:tcBorders>
            <w:vAlign w:val="center"/>
          </w:tcPr>
          <w:p w14:paraId="3EB1793B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非标准化系数</w:t>
            </w:r>
          </w:p>
        </w:tc>
        <w:tc>
          <w:tcPr>
            <w:tcBorders>
              <w:top w:val="single" w:color="000000" w:sz="10" w:space="0"/>
              <w:left w:val="nil"/>
              <w:bottom w:val="single" w:color="000000" w:sz="10" w:space="0"/>
              <w:right w:val="nil"/>
            </w:tcBorders>
            <w:vAlign w:val="center"/>
          </w:tcPr>
          <w:p w14:paraId="737350EE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标准化系数</w:t>
            </w:r>
          </w:p>
        </w:tc>
        <w:tc>
          <w:tcPr>
            <w:tcBorders>
              <w:top w:val="single" w:color="000000" w:sz="10" w:space="0"/>
              <w:left w:val="nil"/>
              <w:bottom w:val="single" w:color="000000" w:sz="10" w:space="0"/>
              <w:right w:val="nil"/>
            </w:tcBorders>
            <w:vAlign w:val="center"/>
          </w:tcPr>
          <w:p w14:paraId="3F7E8E16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标准误</w:t>
            </w:r>
          </w:p>
        </w:tc>
        <w:tc>
          <w:tcPr>
            <w:tcBorders>
              <w:top w:val="single" w:color="000000" w:sz="10" w:space="0"/>
              <w:left w:val="nil"/>
              <w:bottom w:val="single" w:color="000000" w:sz="10" w:space="0"/>
              <w:right w:val="nil"/>
            </w:tcBorders>
            <w:vAlign w:val="center"/>
          </w:tcPr>
          <w:p w14:paraId="69674D03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Z</w:t>
            </w:r>
          </w:p>
        </w:tc>
        <w:tc>
          <w:tcPr>
            <w:tcBorders>
              <w:top w:val="single" w:color="000000" w:sz="10" w:space="0"/>
              <w:left w:val="nil"/>
              <w:bottom w:val="single" w:color="000000" w:sz="10" w:space="0"/>
              <w:right w:val="nil"/>
            </w:tcBorders>
            <w:vAlign w:val="center"/>
          </w:tcPr>
          <w:p w14:paraId="75DE5E9F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P</w:t>
            </w:r>
          </w:p>
        </w:tc>
      </w:tr>
      <w:tr w14:paraId="29A5F53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8FB43F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平台特性刺激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DD93CC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→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AE3B37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绩效期望（享乐）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0A0382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0.071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0FDAC1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0.07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598DF5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0.425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241745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0.166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FCB2DC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0.868 </w:t>
            </w:r>
          </w:p>
        </w:tc>
      </w:tr>
      <w:tr w14:paraId="0138B68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ACBC5B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内容特性刺激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41A22D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→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71234F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绩效期望（享乐）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53A20D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1.172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7F59B3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1.124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AF1BB3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0.278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0190FC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4.222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12FF2A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0.000*** </w:t>
            </w:r>
          </w:p>
        </w:tc>
      </w:tr>
      <w:tr w14:paraId="27EA8ED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2C8475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营销策略刺激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2601A7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→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FDD514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绩效期望（享乐）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9A0318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-0.111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536293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-0.102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69C7E0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0.574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1B6EE1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-0.194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DB5AD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0.846 </w:t>
            </w:r>
          </w:p>
        </w:tc>
      </w:tr>
      <w:tr w14:paraId="0B256F8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CD5AC6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zh-CN"/>
              </w:rPr>
              <w:t>社交特性刺激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59F533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→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DC2B77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绩效期望（享乐）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E0B190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-0.114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687C66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-0.151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A0495A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0.182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40E70D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-0.627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1967E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0.531 </w:t>
            </w:r>
          </w:p>
        </w:tc>
      </w:tr>
      <w:tr w14:paraId="28E3FA1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E0C850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平台特性刺激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FC362F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→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D4F1E0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习惯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739203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1.733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630127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1.149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42FA4C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0.947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362065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1.831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3FAA5B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0.067* </w:t>
            </w:r>
          </w:p>
        </w:tc>
      </w:tr>
      <w:tr w14:paraId="15FC0E0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BAC024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内容特性刺激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579B92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→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6462C8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习惯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D419FD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-0.964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4016F7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-0.622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EBFAF0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0.664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643223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-1.452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6FB1B7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0.146 </w:t>
            </w:r>
          </w:p>
        </w:tc>
      </w:tr>
      <w:tr w14:paraId="313536D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B88939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营销策略刺激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F23B5D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→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40F69C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习惯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E81C18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-0.794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67BFEB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-0.487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FD2F80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1.043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58011A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-0.761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CC5890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0.447 </w:t>
            </w:r>
          </w:p>
        </w:tc>
      </w:tr>
      <w:tr w14:paraId="5DE7D71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FE53AD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zh-CN"/>
              </w:rPr>
              <w:t>社交特性刺激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8B3B2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→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63C3CC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习惯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602EB3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1.02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ECA67B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0.913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29D7E5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0.361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DCB27B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2.822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331206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0.005*** </w:t>
            </w:r>
          </w:p>
        </w:tc>
      </w:tr>
      <w:tr w14:paraId="27A9722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F9112F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平台特性刺激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2A2D46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→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D3BC0E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便利条件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4C43C1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-0.039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30377B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-0.038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6AE1BC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0.386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7F2E3C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-0.1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561ED5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0.920 </w:t>
            </w:r>
          </w:p>
        </w:tc>
      </w:tr>
      <w:tr w14:paraId="787E898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178614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内容特性刺激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F21B0B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→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8D78C5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便利条件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10E821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0.981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2F3CE0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0.935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5721EC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0.234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AF3240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4.2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5E2C7A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0.000*** </w:t>
            </w:r>
          </w:p>
        </w:tc>
      </w:tr>
      <w:tr w14:paraId="7A5E8D3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F5E8F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营销策略刺激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F541FD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→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DBE2DD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便利条件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6B4EBD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0.036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3FB89B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0.032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4889A0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0.531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07D074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0.067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7AD1E7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0.947 </w:t>
            </w:r>
          </w:p>
        </w:tc>
      </w:tr>
      <w:tr w14:paraId="2373398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1DFE34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zh-CN"/>
              </w:rPr>
              <w:t>社交特性刺激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4A6DAE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→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CD8B8A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便利条件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E1EB6C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0.058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9562D1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0.077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FC6690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0.166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2D3A84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0.352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3B05C3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0.725 </w:t>
            </w:r>
          </w:p>
        </w:tc>
      </w:tr>
      <w:tr w14:paraId="5C29B45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C4A4AC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平台特性刺激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8955C0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→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F532FE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价格价值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65EF23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-1.255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13659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-1.076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A84B63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0.766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8F3409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-1.638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1E1BD9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0.101 </w:t>
            </w:r>
          </w:p>
        </w:tc>
      </w:tr>
      <w:tr w14:paraId="5617A70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401857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内容特性刺激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C4BCDD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→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356727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价格价值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51406F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0.756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2A4C15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0.631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B6BD7C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0.593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AA666A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1.276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9A1CE3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0.202 </w:t>
            </w:r>
          </w:p>
        </w:tc>
      </w:tr>
      <w:tr w14:paraId="08DBA96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213224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营销策略刺激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A6FEA0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→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B7C23A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价格价值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3BD38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1.564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62AFCD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1.24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125E0C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1.006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8E10FB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1.555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CCE4E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0.120 </w:t>
            </w:r>
          </w:p>
        </w:tc>
      </w:tr>
      <w:tr w14:paraId="724A95F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B6524F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zh-CN"/>
              </w:rPr>
              <w:t>社交特性刺激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7976E1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→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5ADFEB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价格价值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8E1024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0.148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B767E2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0.171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8C723B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0.323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79CBF1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0.456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F05422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0.648 </w:t>
            </w:r>
          </w:p>
        </w:tc>
      </w:tr>
      <w:tr w14:paraId="2333E61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694B80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绩效期望（享乐）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4404F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→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5853FF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观看意愿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E10D7B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-2.808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CD9189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-1.741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487AF1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3.719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700D2E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-0.755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726885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0.450 </w:t>
            </w:r>
          </w:p>
        </w:tc>
      </w:tr>
      <w:tr w14:paraId="50C2400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E73566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习惯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E182C9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→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078116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观看意愿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D54359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0.833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F6D55F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0.768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ED690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0.878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D15726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0.949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D70B70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0.343 </w:t>
            </w:r>
          </w:p>
        </w:tc>
      </w:tr>
      <w:tr w14:paraId="710CDFB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DEB0F6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便利条件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5C98B0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→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1CF424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观看意愿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045467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5.34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2CA5DE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3.329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051722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5.03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DB0CBB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1.062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840C43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0.288 </w:t>
            </w:r>
          </w:p>
        </w:tc>
      </w:tr>
      <w:tr w14:paraId="6707022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02145A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价格价值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80FA72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→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028375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观看意愿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4A262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-1.295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2A129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-0.923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D83AD2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0.662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9864B3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-1.956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106213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0.050* </w:t>
            </w:r>
          </w:p>
        </w:tc>
      </w:tr>
      <w:tr w14:paraId="17D36ED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12080B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zh-CN"/>
              </w:rPr>
              <w:t>社会影响感知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316FC2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→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E35E9A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观看意愿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ADDBCE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-0.958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940686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-0.819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E96EED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1.46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5C77FB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-0.656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2928E1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0.512 </w:t>
            </w:r>
          </w:p>
        </w:tc>
      </w:tr>
      <w:tr w14:paraId="6CBD0F4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4CC53C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绩效期望（享乐）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A182C6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→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3890C5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广告解锁意愿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99D5E2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0.771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24B310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0.616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5A9D1E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0.472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6458EB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1.633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E58B6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0.103 </w:t>
            </w:r>
          </w:p>
        </w:tc>
      </w:tr>
      <w:tr w14:paraId="6EB26F3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41CC6B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习惯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A68B67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→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111409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广告解锁意愿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EF898C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-0.016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13D712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-0.019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5C0143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0.563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4E8131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-0.029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624791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0.977 </w:t>
            </w:r>
          </w:p>
        </w:tc>
      </w:tr>
      <w:tr w14:paraId="63D9B25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404E5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 便利条件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BE3A1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 →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02E7C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 广告解锁意愿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EEF0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 -0.527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E080E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 -0.424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1D88D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 0.091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2E894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 -5.789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E3B2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 0.000*** </w:t>
            </w:r>
          </w:p>
        </w:tc>
      </w:tr>
      <w:tr w14:paraId="2903C5A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287C6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 价格价值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084D9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 →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7205F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 广告解锁意愿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ED688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 0.67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9415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 0.616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B35EE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 0.382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18D11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 1.754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4979E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 0.079* </w:t>
            </w:r>
          </w:p>
        </w:tc>
      </w:tr>
      <w:tr w14:paraId="78CAB52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D1E87A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观看意愿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AD2862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→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C12B89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广告解锁意愿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704374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0.203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58BF94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0.262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ABB5BC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0.303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1E8DAA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0.67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867816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0.503 </w:t>
            </w:r>
          </w:p>
        </w:tc>
      </w:tr>
      <w:tr w14:paraId="549473F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8E8A41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zh-CN"/>
              </w:rPr>
              <w:t>社会影响感知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229F2D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→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135740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广告解锁意愿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7E98BA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-0.016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6C0354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-0.018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BBD4EC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0.57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F6A535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-0.029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369F05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0.977 </w:t>
            </w:r>
          </w:p>
        </w:tc>
      </w:tr>
      <w:tr w14:paraId="6198F55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026C5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 绩效期望（享乐）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259D0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 →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F95E6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 付费意愿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82567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 1.407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DDB11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 0.958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C44FE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 0.825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73422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 1.705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2A0D5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 0.088* </w:t>
            </w:r>
          </w:p>
        </w:tc>
      </w:tr>
      <w:tr w14:paraId="24E9AA0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0397A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 习惯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18F7F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 →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A66BE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 付费意愿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9ECAF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 2.11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7477B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 2.135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5CBFB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 1.124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DB657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 1.878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3A506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 0.060* </w:t>
            </w:r>
          </w:p>
        </w:tc>
      </w:tr>
      <w:tr w14:paraId="3FA9B6C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2B908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 便利条件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CA455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 →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16112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 付费意愿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3EC0E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 -0.683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CE784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 -0.468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D976F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 0.168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8CFE8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 -4.059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46180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 0.000*** </w:t>
            </w:r>
          </w:p>
        </w:tc>
      </w:tr>
      <w:tr w14:paraId="3DEF958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103434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价格价值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504A5C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→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43B55F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付费意愿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D8B4D9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-0.452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12AC18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-0.354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D48D84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0.575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8A9C2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-0.786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49433A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0.432 </w:t>
            </w:r>
          </w:p>
        </w:tc>
      </w:tr>
      <w:tr w14:paraId="402EC3C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A85E1D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观看意愿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23F109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→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1E5D92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付费意愿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1FF873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-0.073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404359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-0.08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1DBB6A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0.209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D01655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-0.347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F55106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0.729 </w:t>
            </w:r>
          </w:p>
        </w:tc>
      </w:tr>
      <w:tr w14:paraId="16EB89B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9E6FD2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zh-CN"/>
              </w:rPr>
              <w:t>社会影响感知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DEC983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→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25CA08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付费意愿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FD1368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-1.343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0AAE8A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-1.261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D65EA1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1.315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648E29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-1.021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5EFD19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0.307 </w:t>
            </w:r>
          </w:p>
        </w:tc>
      </w:tr>
      <w:tr w14:paraId="3B6A833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417248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平台特性刺激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539845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→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477A86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zh-CN"/>
              </w:rPr>
              <w:t>社会影响感知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1A88D6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1.529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FDA8C8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1.092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AFB26D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1.309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DC4819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1.168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E704A0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0.243 </w:t>
            </w:r>
          </w:p>
        </w:tc>
      </w:tr>
      <w:tr w14:paraId="07FEC0E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CC7565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内容特性刺激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7506D9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→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917B27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zh-CN"/>
              </w:rPr>
              <w:t>社会影响感知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E05D2F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0.282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A128DB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0.196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4B0905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0.718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700A6F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0.393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3B7B57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0.695 </w:t>
            </w:r>
          </w:p>
        </w:tc>
      </w:tr>
      <w:tr w14:paraId="7496E9C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AF0989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营销策略刺激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8F0985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→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34441C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zh-CN"/>
              </w:rPr>
              <w:t>社会影响感知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E41311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-2.2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B05D41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-1.453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4FD4E2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1.599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91B358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-1.376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4F3C9C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0.169 </w:t>
            </w:r>
          </w:p>
        </w:tc>
      </w:tr>
      <w:tr w14:paraId="734B24B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2DB58A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zh-CN"/>
              </w:rPr>
              <w:t>社交特性刺激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35B6AE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→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B03DB0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zh-CN"/>
              </w:rPr>
              <w:t>社会影响感知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060A53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1.213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F60E3B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1.17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6F5AB6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0.47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115768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2.584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F706EF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0.010*** </w:t>
            </w:r>
          </w:p>
        </w:tc>
      </w:tr>
      <w:tr w14:paraId="5AE1E26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gridSpan w:val="8"/>
            <w:tcBorders>
              <w:top w:val="single" w:color="000000" w:sz="10" w:space="0"/>
              <w:left w:val="nil"/>
              <w:bottom w:val="nil"/>
              <w:right w:val="nil"/>
            </w:tcBorders>
            <w:vAlign w:val="center"/>
          </w:tcPr>
          <w:p w14:paraId="0EDA3434">
            <w:pPr>
              <w:pBdr>
                <w:left w:val="none" w:color="auto" w:sz="0" w:space="0"/>
                <w:right w:val="none" w:color="auto" w:sz="0" w:space="0"/>
              </w:pBdr>
              <w:jc w:val="left"/>
            </w:pPr>
            <w:r>
              <w:rPr>
                <w:sz w:val="18"/>
                <w:szCs w:val="18"/>
              </w:rPr>
              <w:t xml:space="preserve"> 注：***、**、*分别代表1%、5%、10%的显著性水平 </w:t>
            </w:r>
          </w:p>
        </w:tc>
      </w:tr>
    </w:tbl>
    <w:p w14:paraId="23D58AD8">
      <w:pPr>
        <w:widowControl/>
        <w:spacing w:before="0" w:after="100"/>
        <w:ind w:left="720" w:right="720"/>
        <w:jc w:val="left"/>
      </w:pPr>
      <w:r>
        <w:rPr>
          <w:b/>
          <w:bCs/>
          <w:color w:val="000000"/>
          <w:sz w:val="20"/>
          <w:szCs w:val="20"/>
        </w:rPr>
        <w:br w:type="textWrapping"/>
      </w:r>
      <w:r>
        <w:rPr>
          <w:b/>
          <w:bCs/>
          <w:color w:val="000000"/>
          <w:sz w:val="20"/>
          <w:szCs w:val="20"/>
        </w:rPr>
        <w:t>图表说明：</w:t>
      </w:r>
    </w:p>
    <w:p w14:paraId="144B32F2">
      <w:pPr>
        <w:widowControl/>
        <w:spacing w:before="0" w:after="100"/>
        <w:ind w:left="720" w:right="720"/>
        <w:jc w:val="left"/>
      </w:pPr>
      <w:r>
        <w:rPr>
          <w:b w:val="0"/>
          <w:bCs w:val="0"/>
          <w:color w:val="000000"/>
          <w:sz w:val="18"/>
          <w:szCs w:val="18"/>
        </w:rPr>
        <w:t>上表展示了路径节点的回归系数，可以理解为一个最小二乘法一元线性回归，通常只需要观察P值与标准化路径系数，确定该路径（X—&gt;Y）是否存在直接的线性影响。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● 根据显著性检验分析(P&lt;0.05)模型变量之间是否存在影响关系。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● 若存在显著性，说明变量之间存在影响关系，可通过标准化路径系数对影响效率量进行深入分析。</w:t>
      </w:r>
      <w:r>
        <w:rPr>
          <w:b w:val="0"/>
          <w:bCs w:val="0"/>
          <w:color w:val="000000"/>
          <w:sz w:val="18"/>
          <w:szCs w:val="18"/>
        </w:rPr>
        <w:br w:type="textWrapping"/>
      </w:r>
    </w:p>
    <w:p w14:paraId="60232C04">
      <w:pPr>
        <w:widowControl/>
        <w:spacing w:before="0" w:after="100"/>
        <w:ind w:left="720" w:right="720"/>
        <w:jc w:val="left"/>
      </w:pPr>
      <w:r>
        <w:rPr>
          <w:b/>
          <w:bCs/>
          <w:color w:val="000000"/>
          <w:sz w:val="20"/>
          <w:szCs w:val="20"/>
        </w:rPr>
        <w:br w:type="textWrapping"/>
      </w:r>
      <w:r>
        <w:rPr>
          <w:b/>
          <w:bCs/>
          <w:color w:val="000000"/>
          <w:sz w:val="20"/>
          <w:szCs w:val="20"/>
        </w:rPr>
        <w:t>智能分析：</w:t>
      </w:r>
    </w:p>
    <w:p w14:paraId="39245194">
      <w:pPr>
        <w:widowControl/>
        <w:spacing w:before="0" w:after="100"/>
        <w:ind w:left="720" w:right="720"/>
        <w:jc w:val="left"/>
      </w:pPr>
      <w:r>
        <w:rPr>
          <w:b w:val="0"/>
          <w:bCs w:val="0"/>
          <w:color w:val="000000"/>
          <w:sz w:val="18"/>
          <w:szCs w:val="18"/>
        </w:rPr>
        <w:t>由模型路径系数表可知：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基于配对项平台特性刺激-&gt;绩效期望（享乐），显著性P值为0.868，水平上不呈现显著性，则不能拒绝原假设，因此此路径无效。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基于配对项内容特性刺激-&gt;绩效期望（享乐），显著性P值为0.000***，水平上呈现显著性，则拒绝原假设，因此此路径有效，其影响系数为1.124。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基于配对项营销策略刺激-&gt;绩效期望（享乐），显著性P值为0.846，水平上不呈现显著性，则不能拒绝原假设，因此此路径无效。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基于配对项</w:t>
      </w:r>
      <w:r>
        <w:rPr>
          <w:rFonts w:hint="eastAsia"/>
          <w:b w:val="0"/>
          <w:bCs w:val="0"/>
          <w:color w:val="000000"/>
          <w:sz w:val="18"/>
          <w:szCs w:val="18"/>
          <w:lang w:eastAsia="zh-CN"/>
        </w:rPr>
        <w:t>社交特性刺激</w:t>
      </w:r>
      <w:r>
        <w:rPr>
          <w:b w:val="0"/>
          <w:bCs w:val="0"/>
          <w:color w:val="000000"/>
          <w:sz w:val="18"/>
          <w:szCs w:val="18"/>
        </w:rPr>
        <w:t>-&gt;绩效期望（享乐），显著性P值为0.531，水平上不呈现显著性，则不能拒绝原假设，因此此路径无效。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基于配对项平台特性刺激-&gt;习惯，显著性P值为0.067*，水平上不呈现显著性，则不能拒绝原假设，因此此路径无效。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基于配对项内容特性刺激-&gt;习惯，显著性P值为0.146，水平上不呈现显著性，则不能拒绝原假设，因此此路径无效。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基于配对项营销策略刺激-&gt;习惯，显著性P值为0.447，水平上不呈现显著性，则不能拒绝原假设，因此此路径无效。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基于配对项</w:t>
      </w:r>
      <w:r>
        <w:rPr>
          <w:rFonts w:hint="eastAsia"/>
          <w:b w:val="0"/>
          <w:bCs w:val="0"/>
          <w:color w:val="000000"/>
          <w:sz w:val="18"/>
          <w:szCs w:val="18"/>
          <w:lang w:eastAsia="zh-CN"/>
        </w:rPr>
        <w:t>社交特性刺激</w:t>
      </w:r>
      <w:r>
        <w:rPr>
          <w:b w:val="0"/>
          <w:bCs w:val="0"/>
          <w:color w:val="000000"/>
          <w:sz w:val="18"/>
          <w:szCs w:val="18"/>
        </w:rPr>
        <w:t>-&gt;习惯，显著性P值为0.005***，水平上呈现显著性，则拒绝原假设，因此此路径有效，其影响系数为0.913。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基于配对项平台特性刺激-&gt;便利条件，显著性P值为0.920，水平上不呈现显著性，则不能拒绝原假设，因此此路径无效。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基于配对项内容特性刺激-&gt;便利条件，显著性P值为0.000***，水平上呈现显著性，则拒绝原假设，因此此路径有效，其影响系数为0.935。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基于配对项营销策略刺激-&gt;便利条件，显著性P值为0.947，水平上不呈现显著性，则不能拒绝原假设，因此此路径无效。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基于配对项</w:t>
      </w:r>
      <w:r>
        <w:rPr>
          <w:rFonts w:hint="eastAsia"/>
          <w:b w:val="0"/>
          <w:bCs w:val="0"/>
          <w:color w:val="000000"/>
          <w:sz w:val="18"/>
          <w:szCs w:val="18"/>
          <w:lang w:eastAsia="zh-CN"/>
        </w:rPr>
        <w:t>社交特性刺激</w:t>
      </w:r>
      <w:r>
        <w:rPr>
          <w:b w:val="0"/>
          <w:bCs w:val="0"/>
          <w:color w:val="000000"/>
          <w:sz w:val="18"/>
          <w:szCs w:val="18"/>
        </w:rPr>
        <w:t>-&gt;便利条件，显著性P值为0.725，水平上不呈现显著性，则不能拒绝原假设，因此此路径无效。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基于配对项平台特性刺激-&gt;价格价值，显著性P值为0.101，水平上不呈现显著性，则不能拒绝原假设，因此此路径无效。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基于配对项内容特性刺激-&gt;价格价值，显著性P值为0.202，水平上不呈现显著性，则不能拒绝原假设，因此此路径无效。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基于配对项营销策略刺激-&gt;价格价值，显著性P值为0.120，水平上不呈现显著性，则不能拒绝原假设，因此此路径无效。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基于配对项</w:t>
      </w:r>
      <w:r>
        <w:rPr>
          <w:rFonts w:hint="eastAsia"/>
          <w:b w:val="0"/>
          <w:bCs w:val="0"/>
          <w:color w:val="000000"/>
          <w:sz w:val="18"/>
          <w:szCs w:val="18"/>
          <w:lang w:eastAsia="zh-CN"/>
        </w:rPr>
        <w:t>社交特性刺激</w:t>
      </w:r>
      <w:r>
        <w:rPr>
          <w:b w:val="0"/>
          <w:bCs w:val="0"/>
          <w:color w:val="000000"/>
          <w:sz w:val="18"/>
          <w:szCs w:val="18"/>
        </w:rPr>
        <w:t>-&gt;价格价值，显著性P值为0.648，水平上不呈现显著性，则不能拒绝原假设，因此此路径无效。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基于配对项绩效期望（享乐）-&gt;观看意愿，显著性P值为0.450，水平上不呈现显著性，则不能拒绝原假设，因此此路径无效。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基于配对项习惯-&gt;观看意愿，显著性P值为0.343，水平上不呈现显著性，则不能拒绝原假设，因此此路径无效。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基于配对项便利条件-&gt;观看意愿，显著性P值为0.288，水平上不呈现显著性，则不能拒绝原假设，因此此路径无效。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基于配对项价格价值-&gt;观看意愿，显著性P值为0.050*，水平上不呈现显著性，则不能拒绝原假设，因此此路径无效。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基于配对项</w:t>
      </w:r>
      <w:r>
        <w:rPr>
          <w:rFonts w:hint="eastAsia"/>
          <w:b w:val="0"/>
          <w:bCs w:val="0"/>
          <w:color w:val="000000"/>
          <w:sz w:val="18"/>
          <w:szCs w:val="18"/>
          <w:lang w:eastAsia="zh-CN"/>
        </w:rPr>
        <w:t>社会影响感知</w:t>
      </w:r>
      <w:r>
        <w:rPr>
          <w:b w:val="0"/>
          <w:bCs w:val="0"/>
          <w:color w:val="000000"/>
          <w:sz w:val="18"/>
          <w:szCs w:val="18"/>
        </w:rPr>
        <w:t>-&gt;观看意愿，显著性P值为0.512，水平上不呈现显著性，则不能拒绝原假设，因此此路径无效。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基于配对项绩效期望（享乐）-&gt;广告解锁意愿，显著性P值为0.103，水平上不呈现显著性，则不能拒绝原假设，因此此路径无效。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基于配对项习惯-&gt;广告解锁意愿，显著性P值为0.977，水平上不呈现显著性，则不能拒绝原假设，因此此路径无效。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基于配对项便利条件-&gt;广告解锁意愿，显著性P值为0.000***，水平上呈现显著性，则拒绝原假设，因此此路径有效，其影响系数为-0.424。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基于配对项价格价值-&gt;广告解锁意愿，显著性P值为0.079*，水平上不呈现显著性，则不能拒绝原假设，因此此路径无效。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基于配对项观看意愿-&gt;广告解锁意愿，显著性P值为0.503，水平上不呈现显著性，则不能拒绝原假设，因此此路径无效。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基于配对项</w:t>
      </w:r>
      <w:r>
        <w:rPr>
          <w:rFonts w:hint="eastAsia"/>
          <w:b w:val="0"/>
          <w:bCs w:val="0"/>
          <w:color w:val="000000"/>
          <w:sz w:val="18"/>
          <w:szCs w:val="18"/>
          <w:lang w:eastAsia="zh-CN"/>
        </w:rPr>
        <w:t>社会影响感知</w:t>
      </w:r>
      <w:r>
        <w:rPr>
          <w:b w:val="0"/>
          <w:bCs w:val="0"/>
          <w:color w:val="000000"/>
          <w:sz w:val="18"/>
          <w:szCs w:val="18"/>
        </w:rPr>
        <w:t>-&gt;广告解锁意愿，显著性P值为0.977，水平上不呈现显著性，则不能拒绝原假设，因此此路径无效。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基于配对项绩效期望（享乐）-&gt;付费意愿，显著性P值为0.088*，水平上不呈现显著性，则不能拒绝原假设，因此此路径无效。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基于配对项习惯-&gt;付费意愿，显著性P值为0.060*，水平上不呈现显著性，则不能拒绝原假设，因此此路径无效。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基于配对项便利条件-&gt;付费意愿，显著性P值为0.000***，水平上呈现显著性，则拒绝原假设，因此此路径有效，其影响系数为-0.468。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基于配对项价格价值-&gt;付费意愿，显著性P值为0.432，水平上不呈现显著性，则不能拒绝原假设，因此此路径无效。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基于配对项观看意愿-&gt;付费意愿，显著性P值为0.729，水平上不呈现显著性，则不能拒绝原假设，因此此路径无效。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基于配对项</w:t>
      </w:r>
      <w:r>
        <w:rPr>
          <w:rFonts w:hint="eastAsia"/>
          <w:b w:val="0"/>
          <w:bCs w:val="0"/>
          <w:color w:val="000000"/>
          <w:sz w:val="18"/>
          <w:szCs w:val="18"/>
          <w:lang w:eastAsia="zh-CN"/>
        </w:rPr>
        <w:t>社会影响感知</w:t>
      </w:r>
      <w:r>
        <w:rPr>
          <w:b w:val="0"/>
          <w:bCs w:val="0"/>
          <w:color w:val="000000"/>
          <w:sz w:val="18"/>
          <w:szCs w:val="18"/>
        </w:rPr>
        <w:t>-&gt;付费意愿，显著性P值为0.307，水平上不呈现显著性，则不能拒绝原假设，因此此路径无效。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基于配对项平台特性刺激-&gt;</w:t>
      </w:r>
      <w:r>
        <w:rPr>
          <w:rFonts w:hint="eastAsia"/>
          <w:b w:val="0"/>
          <w:bCs w:val="0"/>
          <w:color w:val="000000"/>
          <w:sz w:val="18"/>
          <w:szCs w:val="18"/>
          <w:lang w:eastAsia="zh-CN"/>
        </w:rPr>
        <w:t>社会影响感知</w:t>
      </w:r>
      <w:r>
        <w:rPr>
          <w:b w:val="0"/>
          <w:bCs w:val="0"/>
          <w:color w:val="000000"/>
          <w:sz w:val="18"/>
          <w:szCs w:val="18"/>
        </w:rPr>
        <w:t>，显著性P值为0.243，水平上不呈现显著性，则不能拒绝原假设，因此此路径无效。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基于配对项内容特性刺激-&gt;</w:t>
      </w:r>
      <w:r>
        <w:rPr>
          <w:rFonts w:hint="eastAsia"/>
          <w:b w:val="0"/>
          <w:bCs w:val="0"/>
          <w:color w:val="000000"/>
          <w:sz w:val="18"/>
          <w:szCs w:val="18"/>
          <w:lang w:eastAsia="zh-CN"/>
        </w:rPr>
        <w:t>社会影响感知</w:t>
      </w:r>
      <w:r>
        <w:rPr>
          <w:b w:val="0"/>
          <w:bCs w:val="0"/>
          <w:color w:val="000000"/>
          <w:sz w:val="18"/>
          <w:szCs w:val="18"/>
        </w:rPr>
        <w:t>，显著性P值为0.695，水平上不呈现显著性，则不能拒绝原假设，因此此路径无效。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基于配对项营销策略刺激-&gt;</w:t>
      </w:r>
      <w:r>
        <w:rPr>
          <w:rFonts w:hint="eastAsia"/>
          <w:b w:val="0"/>
          <w:bCs w:val="0"/>
          <w:color w:val="000000"/>
          <w:sz w:val="18"/>
          <w:szCs w:val="18"/>
          <w:lang w:eastAsia="zh-CN"/>
        </w:rPr>
        <w:t>社会影响感知</w:t>
      </w:r>
      <w:r>
        <w:rPr>
          <w:b w:val="0"/>
          <w:bCs w:val="0"/>
          <w:color w:val="000000"/>
          <w:sz w:val="18"/>
          <w:szCs w:val="18"/>
        </w:rPr>
        <w:t>，显著性P值为0.169，水平上不呈现显著性，则不能拒绝原假设，因此此路径无效。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基于配对项</w:t>
      </w:r>
      <w:r>
        <w:rPr>
          <w:rFonts w:hint="eastAsia"/>
          <w:b w:val="0"/>
          <w:bCs w:val="0"/>
          <w:color w:val="000000"/>
          <w:sz w:val="18"/>
          <w:szCs w:val="18"/>
          <w:lang w:eastAsia="zh-CN"/>
        </w:rPr>
        <w:t>社交特性刺激</w:t>
      </w:r>
      <w:r>
        <w:rPr>
          <w:b w:val="0"/>
          <w:bCs w:val="0"/>
          <w:color w:val="000000"/>
          <w:sz w:val="18"/>
          <w:szCs w:val="18"/>
        </w:rPr>
        <w:t>-&gt;</w:t>
      </w:r>
      <w:r>
        <w:rPr>
          <w:rFonts w:hint="eastAsia"/>
          <w:b w:val="0"/>
          <w:bCs w:val="0"/>
          <w:color w:val="000000"/>
          <w:sz w:val="18"/>
          <w:szCs w:val="18"/>
          <w:lang w:eastAsia="zh-CN"/>
        </w:rPr>
        <w:t>社会影响感知</w:t>
      </w:r>
      <w:r>
        <w:rPr>
          <w:b w:val="0"/>
          <w:bCs w:val="0"/>
          <w:color w:val="000000"/>
          <w:sz w:val="18"/>
          <w:szCs w:val="18"/>
        </w:rPr>
        <w:t>，显著性P值为0.010***，水平上呈现显著性，则拒绝原假设，因此此路径有效，其影响系数为1.17。</w:t>
      </w:r>
      <w:r>
        <w:rPr>
          <w:b w:val="0"/>
          <w:bCs w:val="0"/>
          <w:color w:val="000000"/>
          <w:sz w:val="18"/>
          <w:szCs w:val="18"/>
        </w:rPr>
        <w:br w:type="textWrapping"/>
      </w:r>
    </w:p>
    <w:p w14:paraId="7FDE1DE3">
      <w:pPr>
        <w:widowControl/>
        <w:spacing w:before="0" w:after="100"/>
        <w:ind w:left="720" w:right="720"/>
        <w:jc w:val="left"/>
      </w:pPr>
      <w:r>
        <w:rPr>
          <w:b/>
          <w:bCs/>
          <w:color w:val="000000"/>
          <w:sz w:val="20"/>
          <w:szCs w:val="20"/>
        </w:rPr>
        <w:br w:type="textWrapping"/>
      </w:r>
      <w:r>
        <w:rPr>
          <w:b/>
          <w:bCs/>
          <w:color w:val="000000"/>
          <w:sz w:val="20"/>
          <w:szCs w:val="20"/>
        </w:rPr>
        <w:t>输出结果4：模型拟合指标</w:t>
      </w:r>
    </w:p>
    <w:tbl>
      <w:tblPr>
        <w:tblStyle w:val="10"/>
        <w:tblW w:w="2115" w:type="pct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9"/>
        <w:gridCol w:w="358"/>
        <w:gridCol w:w="1176"/>
        <w:gridCol w:w="585"/>
        <w:gridCol w:w="504"/>
        <w:gridCol w:w="504"/>
      </w:tblGrid>
      <w:tr w14:paraId="195C6E1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single" w:color="000000" w:sz="10" w:space="0"/>
              <w:left w:val="nil"/>
              <w:bottom w:val="single" w:color="000000" w:sz="10" w:space="0"/>
              <w:right w:val="nil"/>
            </w:tcBorders>
            <w:vAlign w:val="center"/>
          </w:tcPr>
          <w:p w14:paraId="425BAFB9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χ²</w:t>
            </w:r>
          </w:p>
        </w:tc>
        <w:tc>
          <w:tcPr>
            <w:tcBorders>
              <w:top w:val="single" w:color="000000" w:sz="10" w:space="0"/>
              <w:left w:val="nil"/>
              <w:bottom w:val="single" w:color="000000" w:sz="10" w:space="0"/>
              <w:right w:val="nil"/>
            </w:tcBorders>
            <w:vAlign w:val="center"/>
          </w:tcPr>
          <w:p w14:paraId="04989743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df</w:t>
            </w:r>
          </w:p>
        </w:tc>
        <w:tc>
          <w:tcPr>
            <w:tcBorders>
              <w:top w:val="single" w:color="000000" w:sz="10" w:space="0"/>
              <w:left w:val="nil"/>
              <w:bottom w:val="single" w:color="000000" w:sz="10" w:space="0"/>
              <w:right w:val="nil"/>
            </w:tcBorders>
            <w:vAlign w:val="center"/>
          </w:tcPr>
          <w:p w14:paraId="72AB3E11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卡方自由度比</w:t>
            </w:r>
          </w:p>
        </w:tc>
        <w:tc>
          <w:tcPr>
            <w:tcBorders>
              <w:top w:val="single" w:color="000000" w:sz="10" w:space="0"/>
              <w:left w:val="nil"/>
              <w:bottom w:val="single" w:color="000000" w:sz="10" w:space="0"/>
              <w:right w:val="nil"/>
            </w:tcBorders>
            <w:vAlign w:val="center"/>
          </w:tcPr>
          <w:p w14:paraId="45707AC0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RMSEA</w:t>
            </w:r>
          </w:p>
        </w:tc>
        <w:tc>
          <w:tcPr>
            <w:tcBorders>
              <w:top w:val="single" w:color="000000" w:sz="10" w:space="0"/>
              <w:left w:val="nil"/>
              <w:bottom w:val="single" w:color="000000" w:sz="10" w:space="0"/>
              <w:right w:val="nil"/>
            </w:tcBorders>
            <w:vAlign w:val="center"/>
          </w:tcPr>
          <w:p w14:paraId="632CBC70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CFI</w:t>
            </w:r>
          </w:p>
        </w:tc>
        <w:tc>
          <w:tcPr>
            <w:tcBorders>
              <w:top w:val="single" w:color="000000" w:sz="10" w:space="0"/>
              <w:left w:val="nil"/>
              <w:bottom w:val="single" w:color="000000" w:sz="10" w:space="0"/>
              <w:right w:val="nil"/>
            </w:tcBorders>
            <w:vAlign w:val="center"/>
          </w:tcPr>
          <w:p w14:paraId="20B03AB9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NNFI</w:t>
            </w:r>
          </w:p>
        </w:tc>
      </w:tr>
      <w:tr w14:paraId="2C878CF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F1F4E0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-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B121F2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-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A8D7A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&lt;3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B1BF8F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&lt;0.10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716D2F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&gt;0.9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B6467B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&gt;0.9 </w:t>
            </w:r>
          </w:p>
        </w:tc>
      </w:tr>
      <w:tr w14:paraId="158B83E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862405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440.488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C451D2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281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771CA7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1.568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7C7F84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0.048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637AC5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0.958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623F72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0.947 </w:t>
            </w:r>
          </w:p>
        </w:tc>
      </w:tr>
    </w:tbl>
    <w:p w14:paraId="786DFB6B">
      <w:pPr>
        <w:widowControl/>
        <w:spacing w:before="0" w:after="100"/>
        <w:ind w:left="720" w:right="72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  <w:lang w:val="en-US" w:eastAsia="zh-CN"/>
        </w:rPr>
        <w:tab/>
      </w:r>
      <w:r>
        <w:rPr>
          <w:sz w:val="18"/>
          <w:szCs w:val="18"/>
        </w:rPr>
        <w:t xml:space="preserve">注：***、**、*分别代表1%、5%、10%的显著性水平 </w:t>
      </w:r>
    </w:p>
    <w:p w14:paraId="16AE90F9">
      <w:pPr>
        <w:widowControl/>
        <w:spacing w:before="0" w:after="100"/>
        <w:ind w:left="720" w:right="720"/>
        <w:jc w:val="left"/>
      </w:pPr>
      <w:r>
        <w:rPr>
          <w:b/>
          <w:bCs/>
          <w:color w:val="000000"/>
          <w:sz w:val="20"/>
          <w:szCs w:val="20"/>
        </w:rPr>
        <w:br w:type="textWrapping"/>
      </w:r>
      <w:r>
        <w:rPr>
          <w:b/>
          <w:bCs/>
          <w:color w:val="000000"/>
          <w:sz w:val="20"/>
          <w:szCs w:val="20"/>
        </w:rPr>
        <w:t>图表说明：</w:t>
      </w:r>
    </w:p>
    <w:p w14:paraId="48EE4C3C">
      <w:pPr>
        <w:widowControl/>
        <w:spacing w:before="0" w:after="100"/>
        <w:ind w:left="720" w:right="720"/>
        <w:jc w:val="left"/>
      </w:pPr>
      <w:r>
        <w:rPr>
          <w:b w:val="0"/>
          <w:bCs w:val="0"/>
          <w:color w:val="000000"/>
          <w:sz w:val="18"/>
          <w:szCs w:val="18"/>
        </w:rPr>
        <w:t>上表展示了模型的拟合指标，可以适当选择一些指标进行评价，若所有指标均不满足，可以考虑根据输出1对路径进行删除或者重构。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● 常用指标包括卡方自由度比，RMSEA、CFI和NNFI。其它的一些指标通常使用较少，可结合实际情况进行选择使用即可。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● 卡方和自由度df主要用于比较多个模型，卡方值越小越好，自由度反映了模型的复杂程度，模型越简单，自由度越多，反之，模型越复杂，自由度越少。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● RMSEA（近似误差均方根）：一般情况下，RMSEA在0.08以下（越小越好）。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● CFI（比较拟合指数）：该指数在对假设模型和独立模型比较时，其值在0-1之间，越接近0表示拟合越差，越接近1表示拟合越好。一般情况，CFI≥0.9，认为模型拟合较好。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● NN</w:t>
      </w:r>
      <w:bookmarkStart w:id="0" w:name="_GoBack"/>
      <w:bookmarkEnd w:id="0"/>
      <w:r>
        <w:rPr>
          <w:b w:val="0"/>
          <w:bCs w:val="0"/>
          <w:color w:val="000000"/>
          <w:sz w:val="18"/>
          <w:szCs w:val="18"/>
        </w:rPr>
        <w:t>FI（非规范拟合系数）和CFI(比较拟合指数) ：其值越大越好，所拟合的模型表现较好。</w:t>
      </w:r>
      <w:r>
        <w:rPr>
          <w:b w:val="0"/>
          <w:bCs w:val="0"/>
          <w:color w:val="000000"/>
          <w:sz w:val="18"/>
          <w:szCs w:val="18"/>
        </w:rPr>
        <w:br w:type="textWrapping"/>
      </w:r>
    </w:p>
    <w:p w14:paraId="5280E6AF">
      <w:pPr>
        <w:widowControl/>
        <w:spacing w:before="0" w:after="100"/>
        <w:ind w:left="720" w:right="720"/>
        <w:jc w:val="left"/>
      </w:pPr>
      <w:r>
        <w:rPr>
          <w:b/>
          <w:bCs/>
          <w:color w:val="000000"/>
          <w:sz w:val="20"/>
          <w:szCs w:val="20"/>
        </w:rPr>
        <w:br w:type="textWrapping"/>
      </w:r>
      <w:r>
        <w:rPr>
          <w:b/>
          <w:bCs/>
          <w:color w:val="000000"/>
          <w:sz w:val="20"/>
          <w:szCs w:val="20"/>
        </w:rPr>
        <w:t>输出结果5：路径节点协方差关系表</w:t>
      </w:r>
    </w:p>
    <w:tbl>
      <w:tblPr>
        <w:tblStyle w:val="10"/>
        <w:tblW w:w="200000" w:type="pct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1"/>
        <w:gridCol w:w="273"/>
        <w:gridCol w:w="691"/>
        <w:gridCol w:w="874"/>
        <w:gridCol w:w="780"/>
        <w:gridCol w:w="498"/>
        <w:gridCol w:w="452"/>
        <w:gridCol w:w="1878"/>
      </w:tblGrid>
      <w:tr w14:paraId="1D1BEF8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single" w:color="000000" w:sz="10" w:space="0"/>
              <w:left w:val="nil"/>
              <w:bottom w:val="single" w:color="000000" w:sz="10" w:space="0"/>
              <w:right w:val="nil"/>
            </w:tcBorders>
            <w:vAlign w:val="center"/>
          </w:tcPr>
          <w:p w14:paraId="434D4276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因子A</w:t>
            </w:r>
          </w:p>
        </w:tc>
        <w:tc>
          <w:tcPr>
            <w:tcBorders>
              <w:top w:val="single" w:color="000000" w:sz="10" w:space="0"/>
              <w:left w:val="nil"/>
              <w:bottom w:val="single" w:color="000000" w:sz="10" w:space="0"/>
              <w:right w:val="nil"/>
            </w:tcBorders>
            <w:vAlign w:val="center"/>
          </w:tcPr>
          <w:p w14:paraId="729126A6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↔</w:t>
            </w:r>
          </w:p>
        </w:tc>
        <w:tc>
          <w:tcPr>
            <w:tcBorders>
              <w:top w:val="single" w:color="000000" w:sz="10" w:space="0"/>
              <w:left w:val="nil"/>
              <w:bottom w:val="single" w:color="000000" w:sz="10" w:space="0"/>
              <w:right w:val="nil"/>
            </w:tcBorders>
            <w:vAlign w:val="center"/>
          </w:tcPr>
          <w:p w14:paraId="299CFEC1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因子B</w:t>
            </w:r>
          </w:p>
        </w:tc>
        <w:tc>
          <w:tcPr>
            <w:tcBorders>
              <w:top w:val="single" w:color="000000" w:sz="10" w:space="0"/>
              <w:left w:val="nil"/>
              <w:bottom w:val="single" w:color="000000" w:sz="10" w:space="0"/>
              <w:right w:val="nil"/>
            </w:tcBorders>
            <w:vAlign w:val="center"/>
          </w:tcPr>
          <w:p w14:paraId="09836C4E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非标准估计系数</w:t>
            </w:r>
          </w:p>
        </w:tc>
        <w:tc>
          <w:tcPr>
            <w:tcBorders>
              <w:top w:val="single" w:color="000000" w:sz="10" w:space="0"/>
              <w:left w:val="nil"/>
              <w:bottom w:val="single" w:color="000000" w:sz="10" w:space="0"/>
              <w:right w:val="nil"/>
            </w:tcBorders>
            <w:vAlign w:val="center"/>
          </w:tcPr>
          <w:p w14:paraId="2EB9EE30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标准估计系数</w:t>
            </w:r>
          </w:p>
        </w:tc>
        <w:tc>
          <w:tcPr>
            <w:tcBorders>
              <w:top w:val="single" w:color="000000" w:sz="10" w:space="0"/>
              <w:left w:val="nil"/>
              <w:bottom w:val="single" w:color="000000" w:sz="10" w:space="0"/>
              <w:right w:val="nil"/>
            </w:tcBorders>
            <w:vAlign w:val="center"/>
          </w:tcPr>
          <w:p w14:paraId="42AF9050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标准误</w:t>
            </w:r>
          </w:p>
        </w:tc>
        <w:tc>
          <w:tcPr>
            <w:tcBorders>
              <w:top w:val="single" w:color="000000" w:sz="10" w:space="0"/>
              <w:left w:val="nil"/>
              <w:bottom w:val="single" w:color="000000" w:sz="10" w:space="0"/>
              <w:right w:val="nil"/>
            </w:tcBorders>
            <w:vAlign w:val="center"/>
          </w:tcPr>
          <w:p w14:paraId="253DE34E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z</w:t>
            </w:r>
          </w:p>
        </w:tc>
        <w:tc>
          <w:tcPr>
            <w:tcBorders>
              <w:top w:val="single" w:color="000000" w:sz="10" w:space="0"/>
              <w:left w:val="nil"/>
              <w:bottom w:val="single" w:color="000000" w:sz="10" w:space="0"/>
              <w:right w:val="nil"/>
            </w:tcBorders>
            <w:vAlign w:val="center"/>
          </w:tcPr>
          <w:p w14:paraId="61865CCE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P</w:t>
            </w:r>
          </w:p>
        </w:tc>
      </w:tr>
      <w:tr w14:paraId="5C5DC45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3AC396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平台特性刺激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0CE1D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↔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B7A74E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内容特性刺激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5E68FC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0.441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01CA3C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1.021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376FDD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0.061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967864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7.249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C630A6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4.198863479132342e-13 </w:t>
            </w:r>
          </w:p>
        </w:tc>
      </w:tr>
      <w:tr w14:paraId="3A299B4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DC368D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平台特性刺激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5529A2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↔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E1969D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营销策略刺激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104382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0.397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99B09C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0.966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8DC540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0.059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070024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6.719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223C7A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1.825983808600995e-11 </w:t>
            </w:r>
          </w:p>
        </w:tc>
      </w:tr>
      <w:tr w14:paraId="73D8269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CBA2D6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平台特性刺激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726BFC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↔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839DF9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zh-CN"/>
              </w:rPr>
              <w:t>社交特性刺激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5008D8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0.534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F42992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0.891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45547B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0.072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9FDF6E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7.414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6BA97D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1.2234657731369225e-13 </w:t>
            </w:r>
          </w:p>
        </w:tc>
      </w:tr>
      <w:tr w14:paraId="6875192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6E8BF1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内容特性刺激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D05F51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↔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4210AA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营销策略刺激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A69551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0.371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31943F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0.927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7069EC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0.056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04F794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6.594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BC3F4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4.29136726154411e-11 </w:t>
            </w:r>
          </w:p>
        </w:tc>
      </w:tr>
      <w:tr w14:paraId="0B11966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6CC203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内容特性刺激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71078A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↔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25E02B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zh-CN"/>
              </w:rPr>
              <w:t>社交特性刺激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EE99DA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0.455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1040E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0.779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71712F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0.066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F753F5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6.931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63EB3C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4.18687307046639e-12 </w:t>
            </w:r>
          </w:p>
        </w:tc>
      </w:tr>
      <w:tr w14:paraId="08869D0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F07846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营销策略刺激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4B02D6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↔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020D27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zh-CN"/>
              </w:rPr>
              <w:t>社交特性刺激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8D64B5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0.52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CF7F75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0.938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7D4D1A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0.073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D017FD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7.084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BCDE85"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 xml:space="preserve"> 1.4019896354966477e-12 </w:t>
            </w:r>
          </w:p>
        </w:tc>
      </w:tr>
      <w:tr w14:paraId="2140D57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gridSpan w:val="8"/>
            <w:tcBorders>
              <w:top w:val="single" w:color="000000" w:sz="10" w:space="0"/>
              <w:left w:val="nil"/>
              <w:bottom w:val="nil"/>
              <w:right w:val="nil"/>
            </w:tcBorders>
            <w:vAlign w:val="center"/>
          </w:tcPr>
          <w:p w14:paraId="533718D6">
            <w:pPr>
              <w:pBdr>
                <w:left w:val="none" w:color="auto" w:sz="0" w:space="0"/>
                <w:right w:val="none" w:color="auto" w:sz="0" w:space="0"/>
              </w:pBdr>
              <w:jc w:val="left"/>
            </w:pPr>
            <w:r>
              <w:rPr>
                <w:sz w:val="18"/>
                <w:szCs w:val="18"/>
              </w:rPr>
              <w:t xml:space="preserve"> 注：***、**、*分别代表1%、5%、10%的显著性水平 </w:t>
            </w:r>
          </w:p>
        </w:tc>
      </w:tr>
    </w:tbl>
    <w:p w14:paraId="5C5C958F">
      <w:pPr>
        <w:widowControl/>
        <w:spacing w:before="0" w:after="100"/>
        <w:ind w:left="720" w:right="720"/>
        <w:jc w:val="left"/>
      </w:pPr>
      <w:r>
        <w:rPr>
          <w:b/>
          <w:bCs/>
          <w:color w:val="000000"/>
          <w:sz w:val="20"/>
          <w:szCs w:val="20"/>
        </w:rPr>
        <w:br w:type="textWrapping"/>
      </w:r>
      <w:r>
        <w:rPr>
          <w:b/>
          <w:bCs/>
          <w:color w:val="000000"/>
          <w:sz w:val="20"/>
          <w:szCs w:val="20"/>
        </w:rPr>
        <w:t>图表说明：</w:t>
      </w:r>
    </w:p>
    <w:p w14:paraId="6CF6BDA4">
      <w:pPr>
        <w:widowControl/>
        <w:spacing w:before="0" w:after="100"/>
        <w:ind w:left="720" w:right="720"/>
        <w:jc w:val="left"/>
      </w:pPr>
      <w:r>
        <w:rPr>
          <w:b w:val="0"/>
          <w:bCs w:val="0"/>
          <w:color w:val="000000"/>
          <w:sz w:val="18"/>
          <w:szCs w:val="18"/>
        </w:rPr>
        <w:t>图表说明：上表展示了因子协方差分析的结果，包括非标准系数、标准误、Z检验值、显著性P值、标准系数。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● 根据因子之间两两配对的协方差分析表，可通过标准系数分析因子与因子之间的关联性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● 两两之间的标准系数值，一般情况下越接近1，说明因子之间具有较强的关联性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● 如果某项呈现出显著性，且标准估计系数值较高，则说明相关关系较强,可考虑从模型中加入该路径关系进行分析（数学上，若理论上没意义，可不加）</w:t>
      </w:r>
      <w:r>
        <w:rPr>
          <w:b w:val="0"/>
          <w:bCs w:val="0"/>
          <w:color w:val="000000"/>
          <w:sz w:val="18"/>
          <w:szCs w:val="18"/>
        </w:rPr>
        <w:br w:type="textWrapping"/>
      </w:r>
    </w:p>
    <w:p w14:paraId="03F95293">
      <w:pPr>
        <w:widowControl/>
        <w:spacing w:before="0" w:after="100"/>
        <w:ind w:left="720" w:right="720"/>
        <w:jc w:val="left"/>
      </w:pPr>
      <w:r>
        <w:rPr>
          <w:b/>
          <w:bCs/>
          <w:color w:val="000000"/>
          <w:sz w:val="20"/>
          <w:szCs w:val="20"/>
        </w:rPr>
        <w:br w:type="textWrapping"/>
      </w:r>
      <w:r>
        <w:rPr>
          <w:b/>
          <w:bCs/>
          <w:color w:val="000000"/>
          <w:sz w:val="20"/>
          <w:szCs w:val="20"/>
        </w:rPr>
        <w:t>智能分析：</w:t>
      </w:r>
    </w:p>
    <w:p w14:paraId="3F8F7844">
      <w:pPr>
        <w:widowControl/>
        <w:spacing w:before="0" w:after="100"/>
        <w:ind w:left="720" w:right="720"/>
        <w:jc w:val="left"/>
      </w:pPr>
      <w:r>
        <w:rPr>
          <w:b w:val="0"/>
          <w:bCs w:val="0"/>
          <w:color w:val="000000"/>
          <w:sz w:val="18"/>
          <w:szCs w:val="18"/>
        </w:rPr>
        <w:t>协方差分析的结果显示：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平台特性刺激与内容特性刺激的协方差关系呈现显著性，标准化系数为1.021，有很强的关联性建议加入路径关系进行分析。平台特性刺激与营销策略刺激的协方差关系呈现显著性，标准化系数为0.966，有很强的关联性建议加入路径关系进行分析。平台特性刺激与</w:t>
      </w:r>
      <w:r>
        <w:rPr>
          <w:rFonts w:hint="eastAsia"/>
          <w:b w:val="0"/>
          <w:bCs w:val="0"/>
          <w:color w:val="000000"/>
          <w:sz w:val="18"/>
          <w:szCs w:val="18"/>
          <w:lang w:eastAsia="zh-CN"/>
        </w:rPr>
        <w:t>社交特性刺激</w:t>
      </w:r>
      <w:r>
        <w:rPr>
          <w:b w:val="0"/>
          <w:bCs w:val="0"/>
          <w:color w:val="000000"/>
          <w:sz w:val="18"/>
          <w:szCs w:val="18"/>
        </w:rPr>
        <w:t>的协方差关系呈现显著性，标准化系数为0.891，有较强的关联性建议加入路径关系进行分析。内容特性刺激与营销策略刺激的协方差关系呈现显著性，标准化系数为0.927，有很强的关联性建议加入路径关系进行分析。内容特性刺激与</w:t>
      </w:r>
      <w:r>
        <w:rPr>
          <w:rFonts w:hint="eastAsia"/>
          <w:b w:val="0"/>
          <w:bCs w:val="0"/>
          <w:color w:val="000000"/>
          <w:sz w:val="18"/>
          <w:szCs w:val="18"/>
          <w:lang w:eastAsia="zh-CN"/>
        </w:rPr>
        <w:t>社交特性刺激</w:t>
      </w:r>
      <w:r>
        <w:rPr>
          <w:b w:val="0"/>
          <w:bCs w:val="0"/>
          <w:color w:val="000000"/>
          <w:sz w:val="18"/>
          <w:szCs w:val="18"/>
        </w:rPr>
        <w:t>的协方差关系呈现显著性，标准化系数为0.779，有较强的关联性建议加入路径关系进行分析。营销策略刺激与</w:t>
      </w:r>
      <w:r>
        <w:rPr>
          <w:rFonts w:hint="eastAsia"/>
          <w:b w:val="0"/>
          <w:bCs w:val="0"/>
          <w:color w:val="000000"/>
          <w:sz w:val="18"/>
          <w:szCs w:val="18"/>
          <w:lang w:eastAsia="zh-CN"/>
        </w:rPr>
        <w:t>社交特性刺激</w:t>
      </w:r>
      <w:r>
        <w:rPr>
          <w:b w:val="0"/>
          <w:bCs w:val="0"/>
          <w:color w:val="000000"/>
          <w:sz w:val="18"/>
          <w:szCs w:val="18"/>
        </w:rPr>
        <w:t>的协方差关系呈现显著性，标准化系数为0.938，有很强的关联性建议加入路径关系进行分析。</w:t>
      </w:r>
    </w:p>
    <w:p w14:paraId="5E6D31AF">
      <w:pPr>
        <w:pStyle w:val="4"/>
        <w:widowControl/>
      </w:pPr>
      <w:r>
        <w:t>参考文献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[1] Scientific Platform Serving for Statistics Professional 2021. SPSSPRO. (Version 1.0.11)[Online Application Software]. Retrieved from https://www.spsspro.com.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[2] 吴兵福. 结构方程模型初步研究[D].天津大学,2006.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AEE38C4"/>
    <w:rsid w:val="28EB3F11"/>
    <w:rsid w:val="52424666"/>
    <w:rsid w:val="7A09425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before="300"/>
      <w:ind w:left="720" w:right="720"/>
    </w:pPr>
    <w:rPr>
      <w:rFonts w:asciiTheme="minorHAnsi" w:hAnsiTheme="minorHAnsi" w:eastAsiaTheme="minorEastAsia" w:cstheme="minorBidi"/>
      <w:b/>
      <w:bCs/>
      <w:color w:val="000000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4194</Words>
  <Characters>4899</Characters>
  <TotalTime>13</TotalTime>
  <ScaleCrop>false</ScaleCrop>
  <LinksUpToDate>false</LinksUpToDate>
  <CharactersWithSpaces>5146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2025-12-09T15:43:00Z</dcterms:created>
  <dc:creator>SPSSPRO</dc:creator>
  <cp:lastModifiedBy>雨</cp:lastModifiedBy>
  <dcterms:modified xsi:type="dcterms:W3CDTF">2026-01-02T08:42:24Z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eyJoZGlkIjoiYmQ3NjQxYmZmN2ZkODIxYWNiNTEzMzQyMTZmNzQ1MmMiLCJ1c2VySWQiOiI2MTM3OTY5MTYifQ==</vt:lpwstr>
  </property>
  <property fmtid="{D5CDD505-2E9C-101B-9397-08002B2CF9AE}" pid="3" name="KSOProductBuildVer">
    <vt:lpwstr>2052-12.1.0.24034</vt:lpwstr>
  </property>
  <property fmtid="{D5CDD505-2E9C-101B-9397-08002B2CF9AE}" pid="4" name="ICV">
    <vt:lpwstr>C4C5408CB92B4C549C645143ECD67CED_12</vt:lpwstr>
  </property>
</Properties>
</file>