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92FF" w14:textId="77777777" w:rsidR="001A004A" w:rsidRDefault="00000000">
      <w:pPr>
        <w:jc w:val="both"/>
        <w:rPr>
          <w:rFonts w:ascii="Times New Roman" w:hAnsi="Times New Roman" w:cs="Times New Roman"/>
          <w:sz w:val="24"/>
        </w:rPr>
      </w:pPr>
      <w:bookmarkStart w:id="0" w:name="OLE_LINK5"/>
      <w:bookmarkStart w:id="1" w:name="OLE_LINK1"/>
      <w:bookmarkStart w:id="2" w:name="OLE_LINK2"/>
      <w:r>
        <w:rPr>
          <w:rFonts w:ascii="Times New Roman" w:hAnsi="Times New Roman" w:cs="Times New Roman"/>
          <w:sz w:val="24"/>
          <w:highlight w:val="yellow"/>
        </w:rPr>
        <w:t>From Tokenization to Lifecycle Execution: A Hybrid Blockchain Architecture for Regulated OTC Fund Administration</w:t>
      </w:r>
    </w:p>
    <w:p w14:paraId="7F3D2077" w14:textId="77777777" w:rsidR="001A004A" w:rsidRDefault="001A004A">
      <w:pPr>
        <w:jc w:val="both"/>
        <w:rPr>
          <w:rFonts w:ascii="Times New Roman" w:hAnsi="Times New Roman" w:cs="Times New Roman"/>
          <w:sz w:val="24"/>
        </w:rPr>
      </w:pPr>
    </w:p>
    <w:p w14:paraId="21752035" w14:textId="2F7C8817" w:rsidR="001A004A" w:rsidRDefault="00000000">
      <w:pPr>
        <w:jc w:val="both"/>
        <w:rPr>
          <w:rFonts w:ascii="Times New Roman" w:hAnsi="Times New Roman" w:cs="Times New Roman"/>
          <w:sz w:val="24"/>
          <w:lang w:val="en-AU"/>
        </w:rPr>
      </w:pPr>
      <w:r>
        <w:rPr>
          <w:rFonts w:ascii="Times New Roman" w:hAnsi="Times New Roman" w:cs="Times New Roman"/>
          <w:b/>
          <w:bCs/>
          <w:sz w:val="24"/>
          <w:lang w:val="en-AU"/>
        </w:rPr>
        <w:t>Abstract:</w:t>
      </w:r>
      <w:r>
        <w:rPr>
          <w:rFonts w:ascii="Times New Roman" w:hAnsi="Times New Roman" w:cs="Times New Roman"/>
          <w:sz w:val="24"/>
          <w:lang w:val="en-AU"/>
        </w:rPr>
        <w:t> </w:t>
      </w:r>
    </w:p>
    <w:p w14:paraId="25614FD2" w14:textId="77777777" w:rsidR="001A004A" w:rsidRDefault="00000000">
      <w:pPr>
        <w:jc w:val="both"/>
        <w:rPr>
          <w:rFonts w:ascii="Times New Roman" w:hAnsi="Times New Roman" w:cs="Times New Roman"/>
          <w:sz w:val="24"/>
          <w:lang w:val="en-AU"/>
        </w:rPr>
      </w:pPr>
      <w:r>
        <w:rPr>
          <w:rFonts w:ascii="Times New Roman" w:hAnsi="Times New Roman" w:cs="Times New Roman"/>
          <w:b/>
          <w:bCs/>
          <w:sz w:val="24"/>
          <w:lang w:val="en-AU"/>
        </w:rPr>
        <w:t>Keywords:</w:t>
      </w:r>
      <w:r>
        <w:rPr>
          <w:rFonts w:ascii="Times New Roman" w:hAnsi="Times New Roman" w:cs="Times New Roman"/>
          <w:sz w:val="24"/>
          <w:lang w:val="en-AU"/>
        </w:rPr>
        <w:t> OTC fund management; hybrid blockchain; constrained state transition; compliance-aware smart contracts; asset tokenization; NAV versioning</w:t>
      </w:r>
    </w:p>
    <w:p w14:paraId="213FF878" w14:textId="77777777" w:rsidR="001A004A" w:rsidRDefault="001A004A">
      <w:pPr>
        <w:jc w:val="both"/>
        <w:rPr>
          <w:rFonts w:ascii="Times New Roman" w:hAnsi="Times New Roman" w:cs="Times New Roman"/>
          <w:sz w:val="24"/>
          <w:lang w:val="en-AU"/>
        </w:rPr>
      </w:pPr>
    </w:p>
    <w:p w14:paraId="2E2BCA85" w14:textId="77777777" w:rsidR="001A004A" w:rsidRDefault="001A004A">
      <w:pPr>
        <w:jc w:val="both"/>
        <w:rPr>
          <w:rFonts w:ascii="Times New Roman" w:hAnsi="Times New Roman" w:cs="Times New Roman"/>
          <w:sz w:val="24"/>
          <w:lang w:val="en-AU"/>
        </w:rPr>
      </w:pPr>
    </w:p>
    <w:p w14:paraId="61050943" w14:textId="77777777" w:rsidR="001A004A" w:rsidRDefault="001A004A">
      <w:pPr>
        <w:jc w:val="both"/>
        <w:rPr>
          <w:rFonts w:ascii="Times New Roman" w:hAnsi="Times New Roman" w:cs="Times New Roman"/>
          <w:sz w:val="24"/>
          <w:lang w:val="en-AU"/>
        </w:rPr>
      </w:pPr>
    </w:p>
    <w:p w14:paraId="19412AFB" w14:textId="77777777" w:rsidR="001A004A" w:rsidRDefault="001A004A">
      <w:pPr>
        <w:jc w:val="both"/>
        <w:rPr>
          <w:rFonts w:ascii="Times New Roman" w:hAnsi="Times New Roman" w:cs="Times New Roman"/>
          <w:sz w:val="24"/>
          <w:lang w:val="en-AU"/>
        </w:rPr>
      </w:pPr>
    </w:p>
    <w:p w14:paraId="741A9847" w14:textId="77777777" w:rsidR="001A004A" w:rsidRDefault="001A004A">
      <w:pPr>
        <w:jc w:val="both"/>
        <w:rPr>
          <w:rFonts w:ascii="Times New Roman" w:hAnsi="Times New Roman" w:cs="Times New Roman"/>
          <w:sz w:val="24"/>
          <w:lang w:val="en-AU"/>
        </w:rPr>
      </w:pPr>
    </w:p>
    <w:p w14:paraId="07D0CEDB" w14:textId="77777777" w:rsidR="004F5CDA" w:rsidRPr="004F5CDA" w:rsidRDefault="004F5CDA" w:rsidP="004F5CDA">
      <w:pPr>
        <w:jc w:val="both"/>
        <w:rPr>
          <w:rFonts w:ascii="Times New Roman" w:hAnsi="Times New Roman" w:cs="Times New Roman"/>
          <w:b/>
          <w:bCs/>
          <w:sz w:val="24"/>
          <w:lang w:val="en-AU"/>
        </w:rPr>
      </w:pPr>
      <w:r>
        <w:rPr>
          <w:rFonts w:ascii="Times New Roman" w:hAnsi="Times New Roman" w:cs="Times New Roman"/>
          <w:b/>
          <w:bCs/>
          <w:sz w:val="24"/>
          <w:lang w:val="en-AU"/>
        </w:rPr>
        <w:t xml:space="preserve">1 引言</w:t>
      </w:r>
    </w:p>
    <w:p w14:paraId="709C6CDD" w14:textId="52B5F54B" w:rsidR="004F5CD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受监管场外（</w:t>
      </w:r>
      <w:r>
        <w:rPr>
          <w:rFonts w:ascii="Times New Roman" w:eastAsia="Songti SC" w:hAnsi="Times New Roman" w:cs="Times New Roman"/>
          <w:sz w:val="24"/>
          <w:lang w:val="en-AU"/>
        </w:rPr>
        <w:t>over-the-counter，OTC）基金的申购赎回由基金管理人及指定服务机构依据基金合同和监管规则办理，采用经批准的资产净值（net asset value，NAV）计算申购赎回结果（</w:t>
      </w:r>
      <w:r>
        <w:rPr>
          <w:rFonts w:ascii="Times New Roman" w:eastAsia="Songti SC" w:hAnsi="Times New Roman" w:cs="Times New Roman" w:hint="eastAsia"/>
          <w:sz w:val="24"/>
          <w:lang w:val="en-AU"/>
        </w:rPr>
        <w:t xml:space="preserve"> </w:t>
      </w:r>
      <w:r>
        <w:rPr>
          <w:rFonts w:ascii="Times New Roman" w:eastAsia="Songti SC" w:hAnsi="Times New Roman" w:cs="Times New Roman"/>
          <w:sz w:val="24"/>
          <w:lang w:val="en-AU"/>
        </w:rPr>
        <w:t>）。投资者权益的形成与调整涉及资格核验、估值确认、指令处理、份额登记和结算等业务环节。随着基金服务数字化，这些环节逐步通过跨机构系统衔接，信息版本、生效时点与执行顺序影响指令处理及份额登记所采用的依据。如何在业务状态持续变化的过程中保持各环节执</w:t>
      </w:r>
      <w:r>
        <w:rPr>
          <w:rFonts w:ascii="Times New Roman" w:eastAsia="Songti SC" w:hAnsi="Times New Roman" w:cs="Times New Roman" w:hint="eastAsia"/>
          <w:sz w:val="24"/>
          <w:lang w:val="en-AU"/>
        </w:rPr>
        <w:t>行依据的一致性，成为基金数字化运作的重要问题。</w:t>
      </w:r>
    </w:p>
    <w:p w14:paraId="4DFB1DEB" w14:textId="3CB776A1" w:rsidR="004F5CD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基金业务依赖明确的职责分工与授权关系。基金管理人承担投资管理和治理决策，基金行政管理机构（</w:t>
      </w:r>
      <w:r>
        <w:rPr>
          <w:rFonts w:ascii="Times New Roman" w:eastAsia="Songti SC" w:hAnsi="Times New Roman" w:cs="Times New Roman"/>
          <w:sz w:val="24"/>
          <w:lang w:val="en-AU"/>
        </w:rPr>
        <w:t>fund administrator）提供核算、估值支持、申购赎回处理和份额登记等服务，合规服务机构、托管人和审计人分别参与资格审查、资产保管及业务复核。具体分工由基金合同、服务协议和适用规则确定，机构授权与责任安排构成业务协作的基础（</w:t>
      </w:r>
      <w:r>
        <w:rPr>
          <w:rFonts w:ascii="Times New Roman" w:eastAsia="Songti SC" w:hAnsi="Times New Roman" w:cs="Times New Roman" w:hint="eastAsia"/>
          <w:sz w:val="24"/>
          <w:lang w:val="en-AU"/>
        </w:rPr>
        <w:t xml:space="preserve"> </w:t>
      </w:r>
      <w:r>
        <w:rPr>
          <w:rFonts w:ascii="Times New Roman" w:eastAsia="Songti SC" w:hAnsi="Times New Roman" w:cs="Times New Roman"/>
          <w:sz w:val="24"/>
          <w:lang w:val="en-AU"/>
        </w:rPr>
        <w:t>）。各参与方独立维护系统和文件，资格变更、NAV更新及治理决定可能在不同时间进入业务流程，导致指令处理与份额登记采用不同</w:t>
      </w:r>
      <w:r>
        <w:rPr>
          <w:rFonts w:ascii="Times New Roman" w:eastAsia="Songti SC" w:hAnsi="Times New Roman" w:cs="Times New Roman" w:hint="eastAsia"/>
          <w:sz w:val="24"/>
          <w:lang w:val="en-AU"/>
        </w:rPr>
        <w:t xml:space="preserve">依据。分散记录也增加了跨机构对账和复核成本（ </w:t>
      </w:r>
      <w:r>
        <w:rPr>
          <w:rFonts w:ascii="Times New Roman" w:eastAsia="Songti SC" w:hAnsi="Times New Roman" w:cs="Times New Roman"/>
          <w:sz w:val="24"/>
          <w:lang w:val="en-AU"/>
        </w:rPr>
        <w:t>）。审计人员通过关联投资者指令、授权记录、估值文件和结算证据，解释份额变化的形成过程。</w:t>
      </w:r>
    </w:p>
    <w:p w14:paraId="5FC379DD" w14:textId="474FFF5C" w:rsidR="004F5CD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 xml:space="preserve">区块链为跨机构协调提供了共享记录与可编程执行的技术基础。共同账本支持参与方依据一致的业务历史核对状态，智能合约能够在状态更新前检查预设条件，将部分事后核对转化为执行时验证（ </w:t>
      </w:r>
      <w:r>
        <w:rPr>
          <w:rFonts w:ascii="Times New Roman" w:eastAsia="Songti SC" w:hAnsi="Times New Roman" w:cs="Times New Roman"/>
          <w:sz w:val="24"/>
          <w:lang w:val="en-AU"/>
        </w:rPr>
        <w:t>）。资产代币化进一步连接金融权利的数字表示与业务操作，为份额登记、业务处理和结算之间的衔接提供了可能（</w:t>
      </w:r>
      <w:r>
        <w:rPr>
          <w:rFonts w:ascii="Times New Roman" w:eastAsia="Songti SC" w:hAnsi="Times New Roman" w:cs="Times New Roman" w:hint="eastAsia"/>
          <w:sz w:val="24"/>
          <w:lang w:val="en-AU"/>
        </w:rPr>
        <w:t xml:space="preserve"> </w:t>
      </w:r>
      <w:r>
        <w:rPr>
          <w:rFonts w:ascii="Times New Roman" w:eastAsia="Songti SC" w:hAnsi="Times New Roman" w:cs="Times New Roman"/>
          <w:sz w:val="24"/>
          <w:lang w:val="en-AU"/>
        </w:rPr>
        <w:t>）。在基金业务中，机构确认的资格、估值和授权结果可以纳入智能合约的执行检查，</w:t>
      </w:r>
      <w:bookmarkStart w:id="3" w:name="OLE_LINK20"/>
      <w:r>
        <w:rPr>
          <w:rFonts w:ascii="Times New Roman" w:eastAsia="Songti SC" w:hAnsi="Times New Roman" w:cs="Times New Roman"/>
          <w:sz w:val="24"/>
          <w:lang w:val="en-AU"/>
        </w:rPr>
        <w:lastRenderedPageBreak/>
        <w:t>使份额变化与适用的业务条件保持一致。共享记录同时保存业</w:t>
      </w:r>
      <w:r>
        <w:rPr>
          <w:rFonts w:ascii="Times New Roman" w:eastAsia="Songti SC" w:hAnsi="Times New Roman" w:cs="Times New Roman" w:hint="eastAsia"/>
          <w:sz w:val="24"/>
          <w:lang w:val="en-AU"/>
        </w:rPr>
        <w:t>务状态及其变更依据，为跨机构核对和历史追溯提供共同的信息基础。</w:t>
      </w:r>
    </w:p>
    <w:p w14:paraId="1A06E0E3" w14:textId="2C2899BA" w:rsidR="004F5CD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 xml:space="preserve">基金业务的连续运行使执行条件具有相互依赖的时间关系。投资者资格随尽职调查和风险评估更新，其变化影响后续参与条件及既有持仓的处置（ </w:t>
      </w:r>
      <w:r>
        <w:rPr>
          <w:rFonts w:ascii="Times New Roman" w:eastAsia="Songti SC" w:hAnsi="Times New Roman" w:cs="Times New Roman"/>
          <w:sz w:val="24"/>
          <w:lang w:val="en-AU"/>
        </w:rPr>
        <w:t>）。申购赎回以适用的NAV版本为计算依据，历史业务对特定版本的引用关系应在估值更新后得到保留（</w:t>
      </w:r>
      <w:r>
        <w:rPr>
          <w:rFonts w:ascii="Times New Roman" w:eastAsia="Songti SC" w:hAnsi="Times New Roman" w:cs="Times New Roman" w:hint="eastAsia"/>
          <w:sz w:val="24"/>
          <w:lang w:val="en-AU"/>
        </w:rPr>
        <w:t xml:space="preserve"> </w:t>
      </w:r>
      <w:r>
        <w:rPr>
          <w:rFonts w:ascii="Times New Roman" w:eastAsia="Songti SC" w:hAnsi="Times New Roman" w:cs="Times New Roman"/>
          <w:sz w:val="24"/>
          <w:lang w:val="en-AU"/>
        </w:rPr>
        <w:t>）。暂停业务、限制账户和调整权限等治理决定，则改变不同操作的执行范围。资格、估值、授权与运营状态由此共同决定份额操作的有效性（</w:t>
      </w:r>
      <w:r>
        <w:rPr>
          <w:rFonts w:ascii="Times New Roman" w:eastAsia="Songti SC" w:hAnsi="Times New Roman" w:cs="Times New Roman" w:hint="eastAsia"/>
          <w:sz w:val="24"/>
          <w:lang w:val="en-AU"/>
        </w:rPr>
        <w:t xml:space="preserve"> </w:t>
      </w:r>
      <w:r>
        <w:rPr>
          <w:rFonts w:ascii="Times New Roman" w:eastAsia="Songti SC" w:hAnsi="Times New Roman" w:cs="Times New Roman"/>
          <w:sz w:val="24"/>
          <w:lang w:val="en-AU"/>
        </w:rPr>
        <w:t>）。审计复核进一步关注操作发生时的责任主体、适用条件和支持证据，以解释</w:t>
      </w:r>
      <w:r>
        <w:rPr>
          <w:rFonts w:ascii="Times New Roman" w:eastAsia="Songti SC" w:hAnsi="Times New Roman" w:cs="Times New Roman" w:hint="eastAsia"/>
          <w:sz w:val="24"/>
          <w:lang w:val="en-AU"/>
        </w:rPr>
        <w:t xml:space="preserve">具体业务结果。业务状态与机构治理之间的联系，因而构成追溯历史份额变化的重要依据（ </w:t>
      </w:r>
      <w:r>
        <w:rPr>
          <w:rFonts w:ascii="Times New Roman" w:eastAsia="Songti SC" w:hAnsi="Times New Roman" w:cs="Times New Roman"/>
          <w:sz w:val="24"/>
          <w:lang w:val="en-AU"/>
        </w:rPr>
        <w:t>）。</w:t>
      </w:r>
    </w:p>
    <w:p w14:paraId="10AE40F9" w14:textId="4C954D75" w:rsidR="004F5CD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 xml:space="preserve">身份核验、受限发行与转让以及隐私保护许可，已支持资格和授权条件参与链上操作（ </w:t>
      </w:r>
      <w:r>
        <w:rPr>
          <w:rFonts w:ascii="Times New Roman" w:eastAsia="Songti SC" w:hAnsi="Times New Roman" w:cs="Times New Roman"/>
          <w:sz w:val="24"/>
          <w:lang w:val="en-AU"/>
        </w:rPr>
        <w:t>）。在连续基金业务中，各项条件之间的依赖同时涉及当前执行与历史解释：操作执行时依据适用的资格、估值和治理状态判断其有效性，业务完成后通过保留这些状态与份额变化的对应关系支持追溯。随着业务条件更新，当前状态与历史执行依据可能发生差异。因此，状态转换规则应明确操作执行所依据的条件，事件记录则应保留这些条件与份额变化的关联。资格、NAV和治理条件如何共同约束份额操作，以及事件记录如何支持执行过程及其依据的重构，仍有待系统建模与验证。研究问题由此聚焦于如何在保留机构职责的条件下，将机构确认的业务条件转化为一致执行的规则，维持份额变化与历史依据之间的可追溯关系。</w:t>
      </w:r>
    </w:p>
    <w:p w14:paraId="5FA3DDC6" w14:textId="7EE486C2" w:rsidR="001A004A" w:rsidRPr="004F5CDA" w:rsidRDefault="004F5CDA" w:rsidP="004F5CDA">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针对上述问题，本研究构建基金业务状态模型，设计混合区块链架构，实现智能合约原型。资格审查、</w:t>
      </w:r>
      <w:r>
        <w:rPr>
          <w:rFonts w:ascii="Times New Roman" w:eastAsia="Songti SC" w:hAnsi="Times New Roman" w:cs="Times New Roman"/>
          <w:sz w:val="24"/>
          <w:lang w:val="en-AU"/>
        </w:rPr>
        <w:t>NAV计算、法律文件处理和现金结算由链下机构完成，授权结果及证据引用用于链上执行。研究贡献体现在三个方面</w:t>
      </w:r>
      <w:r>
        <w:rPr>
          <w:rFonts w:ascii="Times New Roman" w:eastAsia="Songti SC" w:hAnsi="Times New Roman" w:cs="Times New Roman" w:hint="eastAsia"/>
          <w:sz w:val="24"/>
          <w:lang w:val="en-AU"/>
        </w:rPr>
        <w:t>。</w:t>
      </w:r>
      <w:r>
        <w:rPr>
          <w:rFonts w:ascii="Times New Roman" w:eastAsia="Songti SC" w:hAnsi="Times New Roman" w:cs="Times New Roman"/>
          <w:sz w:val="24"/>
          <w:lang w:val="en-AU"/>
        </w:rPr>
        <w:t>第一，提出联合表达投资者资格、持仓处置状态、份额余额、NAV版本、治理权限和运营状态的形式化模型，通过操作有效性谓词刻画各项条件对份额状态转换的共同约束</w:t>
      </w:r>
      <w:r>
        <w:rPr>
          <w:rFonts w:ascii="Times New Roman" w:eastAsia="Songti SC" w:hAnsi="Times New Roman" w:cs="Times New Roman" w:hint="eastAsia"/>
          <w:sz w:val="24"/>
          <w:lang w:val="en-AU"/>
        </w:rPr>
        <w:t>。</w:t>
      </w:r>
      <w:r>
        <w:rPr>
          <w:rFonts w:ascii="Times New Roman" w:eastAsia="Songti SC" w:hAnsi="Times New Roman" w:cs="Times New Roman"/>
          <w:sz w:val="24"/>
          <w:lang w:val="en-AU"/>
        </w:rPr>
        <w:t>第二，构建连接机构判断与确定性执行的混合架构，明确机构确认结果纳入共享状态的路径、执行依据和责任边界</w:t>
      </w:r>
      <w:r>
        <w:rPr>
          <w:rFonts w:ascii="Times New Roman" w:eastAsia="Songti SC" w:hAnsi="Times New Roman" w:cs="Times New Roman" w:hint="eastAsia"/>
          <w:sz w:val="24"/>
          <w:lang w:val="en-AU"/>
        </w:rPr>
        <w:t>。</w:t>
      </w:r>
      <w:r>
        <w:rPr>
          <w:rFonts w:ascii="Times New Roman" w:eastAsia="Songti SC" w:hAnsi="Times New Roman" w:cs="Times New Roman"/>
          <w:sz w:val="24"/>
          <w:lang w:val="en-AU"/>
        </w:rPr>
        <w:t>第三，设计面向过程级审计重构的事件记录机制，将份额变化与适用</w:t>
      </w:r>
      <w:r>
        <w:rPr>
          <w:rFonts w:ascii="Times New Roman" w:eastAsia="Songti SC" w:hAnsi="Times New Roman" w:cs="Times New Roman" w:hint="eastAsia"/>
          <w:sz w:val="24"/>
          <w:lang w:val="en-AU"/>
        </w:rPr>
        <w:t>状态、估值版本和授权信息关联，支持历史业务过程及其依据的追溯。原型评价采用受控业务场景，通过约束执行测试与单项约束消融检验状态转换的一致性，结合事件回放和</w:t>
      </w:r>
      <w:r>
        <w:rPr>
          <w:rFonts w:ascii="Times New Roman" w:eastAsia="Songti SC" w:hAnsi="Times New Roman" w:cs="Times New Roman"/>
          <w:sz w:val="24"/>
          <w:lang w:val="en-AU"/>
        </w:rPr>
        <w:t>NAV引用检查评价审计投影重构及历史估值追溯，通过Gas消耗测量分析各类业务操作的执行成本。</w:t>
      </w:r>
    </w:p>
    <w:p w14:paraId="6AC0E4EF" w14:textId="245227C6" w:rsidR="00A20CBB" w:rsidRPr="00A20CBB" w:rsidRDefault="00000000" w:rsidP="00A20CBB">
      <w:pPr>
        <w:jc w:val="both"/>
        <w:rPr>
          <w:rFonts w:ascii="Times New Roman" w:hAnsi="Times New Roman" w:cs="Times New Roman"/>
          <w:b/>
          <w:bCs/>
          <w:sz w:val="24"/>
          <w:lang w:val="en-AU"/>
        </w:rPr>
      </w:pPr>
      <w:r>
        <w:rPr>
          <w:rFonts w:ascii="Times New Roman" w:hAnsi="Times New Roman" w:cs="Times New Roman"/>
          <w:b/>
          <w:bCs/>
          <w:sz w:val="24"/>
          <w:lang w:val="en-AU"/>
        </w:rPr>
        <w:t>2. Related Work</w:t>
      </w:r>
    </w:p>
    <w:p w14:paraId="051B9D8A" w14:textId="758319B0" w:rsidR="00A20CBB" w:rsidRPr="00A20CBB" w:rsidRDefault="00A20CBB" w:rsidP="00A20CBB">
      <w:pPr>
        <w:jc w:val="both"/>
        <w:rPr>
          <w:rFonts w:ascii="Times New Roman" w:eastAsia="Songti SC" w:hAnsi="Times New Roman" w:cs="Times New Roman"/>
          <w:b/>
          <w:bCs/>
          <w:sz w:val="24"/>
          <w:lang w:val="en-AU"/>
        </w:rPr>
      </w:pPr>
      <w:r>
        <w:rPr>
          <w:rFonts w:ascii="Times New Roman" w:eastAsia="Songti SC" w:hAnsi="Times New Roman" w:cs="Times New Roman"/>
          <w:b/>
          <w:bCs/>
          <w:sz w:val="24"/>
          <w:lang w:val="en-AU"/>
        </w:rPr>
        <w:t xml:space="preserve">2.1 Asset Tokenization and Financial Coordination</w:t>
      </w:r>
    </w:p>
    <w:p w14:paraId="7116ED4D" w14:textId="0CCDCF03" w:rsidR="00A20CBB" w:rsidRPr="00A20CBB" w:rsidRDefault="00A20CBB" w:rsidP="00A20CBB">
      <w:pPr>
        <w:jc w:val="both"/>
        <w:rPr>
          <w:rFonts w:ascii="Times New Roman" w:eastAsia="Songti SC" w:hAnsi="Times New Roman" w:cs="Times New Roman" w:hint="eastAsia"/>
          <w:sz w:val="24"/>
          <w:lang w:val="en-AU"/>
        </w:rPr>
      </w:pPr>
      <w:r>
        <w:rPr>
          <w:rFonts w:ascii="Times New Roman" w:eastAsia="Songti SC" w:hAnsi="Times New Roman" w:cs="Times New Roman" w:hint="eastAsia"/>
          <w:sz w:val="24"/>
          <w:lang w:val="en-AU"/>
        </w:rPr>
        <w:t>电子市场研究从协调成本出发，分析信息技术如何影响交易信息获取、业务沟通和组织间协作，揭示电子通信与市场及组织安排之间的关系（</w:t>
      </w:r>
      <w:r>
        <w:rPr>
          <w:rFonts w:ascii="Times New Roman" w:eastAsia="Songti SC" w:hAnsi="Times New Roman" w:cs="Times New Roman"/>
          <w:sz w:val="24"/>
          <w:lang w:val="en-AU"/>
        </w:rPr>
        <w:t>）。区块链研究进一步从验证成本和网络组织成本解释共享记录的经济作用，关注信息验证与参与</w:t>
        <w:lastRenderedPageBreak/>
        <w:t>方协作如何通过共同基础设施开展（）。两类研究分别强调交易协调方式和信息验证机制，为分析金融业务中的多方信息交换提供了理论基础。</w:t>
      </w:r>
    </w:p>
    <w:p w14:paraId="20D7B984" w14:textId="7E49C896" w:rsidR="00A20CBB" w:rsidRPr="00A20CBB" w:rsidRDefault="00A20CBB" w:rsidP="00A20CBB">
      <w:pPr>
        <w:jc w:val="both"/>
        <w:rPr>
          <w:rFonts w:ascii="Times New Roman" w:eastAsia="Songti SC" w:hAnsi="Times New Roman" w:cs="Times New Roman" w:hint="eastAsia"/>
          <w:sz w:val="24"/>
          <w:lang w:val="en-AU"/>
        </w:rPr>
      </w:pPr>
      <w:r>
        <w:rPr>
          <w:rFonts w:ascii="Times New Roman" w:eastAsia="Songti SC" w:hAnsi="Times New Roman" w:cs="Times New Roman" w:hint="eastAsia"/>
          <w:sz w:val="24"/>
          <w:lang w:val="en-AU"/>
        </w:rPr>
        <w:t>资产代币化将共享记录与金融权益的表示、转移和处理联系起来。代币的业务含义与发行结构、登记安排、托管关系及法律效力相关，数字表示与权利形成之间的关系因而成为重要研究对象（</w:t>
      </w:r>
      <w:r>
        <w:rPr>
          <w:rFonts w:ascii="Times New Roman" w:eastAsia="Songti SC" w:hAnsi="Times New Roman" w:cs="Times New Roman"/>
          <w:sz w:val="24"/>
          <w:lang w:val="en-AU"/>
        </w:rPr>
        <w:t>）。基金代币化研究进一步讨论基金记录与数字结算基础设施的衔接，将估值、申购赎回和行政处理纳入应用分析（）。相较于一般的信息协调问题，基金份额操作涉及具体金融权益的形成与变更，其业务依据包括投资者条件、适用估值和机构确认结果。由此，基金代币化的研究对象延伸至权益记录与形成条件之间</w:t>
      </w:r>
      <w:r>
        <w:rPr>
          <w:rFonts w:ascii="Times New Roman" w:eastAsia="Songti SC" w:hAnsi="Times New Roman" w:cs="Times New Roman" w:hint="eastAsia"/>
          <w:sz w:val="24"/>
          <w:lang w:val="en-AU"/>
        </w:rPr>
        <w:t>的关系，关注机构结果如何参与份额处理，以及这些结果如何随业务运行持续更新。</w:t>
      </w:r>
    </w:p>
    <w:p w14:paraId="0EF4BDD8" w14:textId="7F592AAD" w:rsidR="00A20CBB" w:rsidRPr="00A20CBB" w:rsidRDefault="00A20CBB" w:rsidP="00A20CBB">
      <w:pPr>
        <w:jc w:val="both"/>
        <w:rPr>
          <w:rFonts w:ascii="Times New Roman" w:eastAsia="Songti SC" w:hAnsi="Times New Roman" w:cs="Times New Roman"/>
          <w:b/>
          <w:bCs/>
          <w:sz w:val="24"/>
          <w:lang w:val="en-AU"/>
        </w:rPr>
      </w:pPr>
      <w:r>
        <w:rPr>
          <w:rFonts w:ascii="Times New Roman" w:eastAsia="Songti SC" w:hAnsi="Times New Roman" w:cs="Times New Roman"/>
          <w:b/>
          <w:bCs/>
          <w:sz w:val="24"/>
          <w:lang w:val="en-AU"/>
        </w:rPr>
        <w:t xml:space="preserve">2.2 Cross-organizational Fund Lifecycle Coordination</w:t>
      </w:r>
    </w:p>
    <w:p w14:paraId="5E23C67B" w14:textId="24745835" w:rsidR="00A20CBB" w:rsidRPr="00A20CBB" w:rsidRDefault="00A20CBB" w:rsidP="00A20CBB">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跨组织工作流研究通过任务顺序、数据依赖和参与方交互描述机构间业务衔接。XX()</w:t>
      </w:r>
      <w:r>
        <w:rPr>
          <w:rFonts w:ascii="Times New Roman" w:eastAsia="Songti SC" w:hAnsi="Times New Roman" w:cs="Times New Roman"/>
          <w:sz w:val="24"/>
          <w:lang w:val="en-AU"/>
        </w:rPr>
        <w:t>利用形式化流程与消息交互连接各组织的局部活动，为分析共同业务过程提供了方法。区块链流程研究进一步通过共享状态和智能合约协调分散执行，</w:t>
      </w:r>
      <w:r>
        <w:rPr>
          <w:rFonts w:ascii="Times New Roman" w:eastAsia="Songti SC" w:hAnsi="Times New Roman" w:cs="Times New Roman" w:hint="eastAsia"/>
          <w:sz w:val="24"/>
          <w:lang w:val="en-AU"/>
        </w:rPr>
        <w:t>XX()</w:t>
      </w:r>
      <w:r>
        <w:rPr>
          <w:rFonts w:ascii="Times New Roman" w:eastAsia="Songti SC" w:hAnsi="Times New Roman" w:cs="Times New Roman"/>
          <w:sz w:val="24"/>
          <w:lang w:val="en-AU"/>
        </w:rPr>
        <w:t>展示了跨组织流程监测与执行机制，</w:t>
      </w:r>
      <w:r>
        <w:rPr>
          <w:rFonts w:ascii="Times New Roman" w:eastAsia="Songti SC" w:hAnsi="Times New Roman" w:cs="Times New Roman" w:hint="eastAsia"/>
          <w:sz w:val="24"/>
          <w:lang w:val="en-AU"/>
        </w:rPr>
        <w:t>XX()</w:t>
      </w:r>
      <w:r>
        <w:rPr>
          <w:rFonts w:ascii="Times New Roman" w:eastAsia="Songti SC" w:hAnsi="Times New Roman" w:cs="Times New Roman"/>
          <w:sz w:val="24"/>
          <w:lang w:val="en-AU"/>
        </w:rPr>
        <w:t>从建模、执行、监测和治理等方面讨论区块链业务流程管理。上述研究分别从流程关系、执行机制和管理安排进入跨组织协作，使任务依赖及其执行条件成为可描述和可观察的研究对</w:t>
      </w:r>
      <w:r>
        <w:rPr>
          <w:rFonts w:ascii="Times New Roman" w:eastAsia="Songti SC" w:hAnsi="Times New Roman" w:cs="Times New Roman" w:hint="eastAsia"/>
          <w:sz w:val="24"/>
          <w:lang w:val="en-AU"/>
        </w:rPr>
        <w:t>象。基金管理中的资格核验、估值确认、指令处理和份额登记，可以据此分析为相互关联的机构活动，各环节提交的结果为后续处理提供输入。</w:t>
      </w:r>
    </w:p>
    <w:p w14:paraId="004B318F" w14:textId="68AC63B6" w:rsidR="00A20CBB" w:rsidRPr="00A20CBB" w:rsidRDefault="00A20CBB" w:rsidP="00A20CBB">
      <w:pPr>
        <w:jc w:val="both"/>
        <w:rPr>
          <w:rFonts w:ascii="Times New Roman" w:eastAsia="Songti SC" w:hAnsi="Times New Roman" w:cs="Times New Roman" w:hint="eastAsia"/>
          <w:sz w:val="24"/>
          <w:lang w:val="en-AU"/>
        </w:rPr>
      </w:pPr>
      <w:r>
        <w:rPr>
          <w:rFonts w:ascii="Times New Roman" w:eastAsia="Songti SC" w:hAnsi="Times New Roman" w:cs="Times New Roman" w:hint="eastAsia"/>
          <w:sz w:val="24"/>
          <w:lang w:val="en-AU"/>
        </w:rPr>
        <w:t>基金生命周期中的条件维护具有跨流程特征。基金代币化研究所讨论的估值、行政管理和结算衔接，体现了份额操作与周期性业务及持续性机构服务之间的联系（</w:t>
      </w:r>
      <w:r>
        <w:rPr>
          <w:rFonts w:ascii="Times New Roman" w:eastAsia="Songti SC" w:hAnsi="Times New Roman" w:cs="Times New Roman"/>
          <w:sz w:val="24"/>
          <w:lang w:val="en-AU"/>
        </w:rPr>
        <w:t>）；流程管理研究对数据、权限和治理的讨论，则为分析这些条件的维护与使用提供了机制视角（）。在受监管基金场景中，投资者资格可以关联多个请求，NAV具有相应的估值周期，权限调整和运营决定可以影响多项操作。这些条件的更新周期、适用范围和维护主体各有差异，其变化时点与单笔申购赎回的处理进度未必一致。因而</w:t>
      </w:r>
      <w:r>
        <w:rPr>
          <w:rFonts w:ascii="Times New Roman" w:eastAsia="Songti SC" w:hAnsi="Times New Roman" w:cs="Times New Roman" w:hint="eastAsia"/>
          <w:sz w:val="24"/>
          <w:lang w:val="en-AU"/>
        </w:rPr>
        <w:t>，生命周期协调涉及任务之间的衔接，也涉及持续维护的条件如何在具体请求中共同参与判断。</w:t>
      </w:r>
    </w:p>
    <w:p w14:paraId="5FB8DB18" w14:textId="435312B0" w:rsidR="00A20CBB" w:rsidRPr="00A20CBB" w:rsidRDefault="00A20CBB" w:rsidP="00A20CBB">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跨时间的业务依赖进一步区分了当前状态与历史引用的作用。流程监测关注业务进度和执行轨迹，事件分析利用活动顺序、主体和业务对象解释既有过程，两者分别为执行管理和历史分析提供信息(</w:t>
      </w:r>
      <w:r>
        <w:rPr>
          <w:rFonts w:ascii="Times New Roman" w:eastAsia="Songti SC" w:hAnsi="Times New Roman" w:cs="Times New Roman"/>
          <w:sz w:val="24"/>
          <w:lang w:val="en-AU"/>
        </w:rPr>
        <w:t>）。对于基金业务，更新后的NAV为后续请求提供估值选择，已完成申购赎回保留其采用的版本引用；资格和权限变化影响后续操作，历史业务则关联执行时的条件。当前状态用于组织后续处理，历史引用用于解释既有份额变化。将持续状态、单次操作和历史引用联系起来，可以进一步分析条件更新的作</w:t>
      </w:r>
      <w:r>
        <w:rPr>
          <w:rFonts w:ascii="Times New Roman" w:eastAsia="Songti SC" w:hAnsi="Times New Roman" w:cs="Times New Roman" w:hint="eastAsia"/>
          <w:sz w:val="24"/>
          <w:lang w:val="en-AU"/>
        </w:rPr>
        <w:t>用范围及其与已完成业务之间的关系。</w:t>
      </w:r>
    </w:p>
    <w:p w14:paraId="676A900D" w14:textId="2211F9FF" w:rsidR="00A20CBB" w:rsidRPr="00A20CBB" w:rsidRDefault="00A20CBB" w:rsidP="00A20CBB">
      <w:pPr>
        <w:jc w:val="both"/>
        <w:rPr>
          <w:rFonts w:ascii="Times New Roman" w:eastAsia="Songti SC" w:hAnsi="Times New Roman" w:cs="Times New Roman"/>
          <w:b/>
          <w:bCs/>
          <w:sz w:val="24"/>
          <w:lang w:val="en-AU"/>
        </w:rPr>
      </w:pPr>
      <w:r>
        <w:rPr>
          <w:rFonts w:ascii="Times New Roman" w:eastAsia="Songti SC" w:hAnsi="Times New Roman" w:cs="Times New Roman"/>
          <w:b/>
          <w:bCs/>
          <w:sz w:val="24"/>
          <w:lang w:val="en-AU"/>
        </w:rPr>
        <w:t xml:space="preserve">2.3 Programmable Compliance and Institutional Governance</w:t>
      </w:r>
    </w:p>
    <w:p w14:paraId="7E251E95" w14:textId="684407E5" w:rsidR="00A20CBB" w:rsidRPr="00A20CBB" w:rsidRDefault="00A20CBB" w:rsidP="00A20CBB">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lastRenderedPageBreak/>
        <w:t>可编程合规研究将身份属性、参与许可和操作限制与数字资产处理联系起来。证券发行与安全代币服务研究围绕身份核验、发行安排和交易控制设计业务机制，使机构规则能够参与数字权益操作(</w:t>
      </w:r>
      <w:r>
        <w:rPr>
          <w:rFonts w:ascii="Times New Roman" w:eastAsia="Songti SC" w:hAnsi="Times New Roman" w:cs="Times New Roman"/>
          <w:sz w:val="24"/>
          <w:lang w:val="en-AU"/>
        </w:rPr>
        <w:t>）。这类研究为资格结果参与份额处理提供了分析基础。基金生命周期中的资格条件还具有操作相关性：新增申购、接收转让份额与处置既有持仓具有不同的业务目的，资格变化对相应操作的影响需要结合基金规则解释。冻结、复核或受控退出等安排涉及既有持仓的处置方式，参与条件与持仓处置之间的</w:t>
      </w:r>
      <w:r>
        <w:rPr>
          <w:rFonts w:ascii="Times New Roman" w:eastAsia="Songti SC" w:hAnsi="Times New Roman" w:cs="Times New Roman" w:hint="eastAsia"/>
          <w:sz w:val="24"/>
          <w:lang w:val="en-AU"/>
        </w:rPr>
        <w:t>关系因而构成合规状态建模的重要问题。</w:t>
      </w:r>
    </w:p>
    <w:p w14:paraId="6EF69FD5" w14:textId="642F4719" w:rsidR="00A20CBB" w:rsidRPr="00A20CBB" w:rsidRDefault="00A20CBB" w:rsidP="00A20CBB">
      <w:pPr>
        <w:jc w:val="both"/>
        <w:rPr>
          <w:rFonts w:ascii="Times New Roman" w:eastAsia="Songti SC" w:hAnsi="Times New Roman" w:cs="Times New Roman" w:hint="eastAsia"/>
          <w:sz w:val="24"/>
          <w:lang w:val="en-AU"/>
        </w:rPr>
      </w:pPr>
      <w:r>
        <w:rPr>
          <w:rFonts w:ascii="Times New Roman" w:eastAsia="Songti SC" w:hAnsi="Times New Roman" w:cs="Times New Roman" w:hint="eastAsia"/>
          <w:sz w:val="24"/>
          <w:lang w:val="en-AU"/>
        </w:rPr>
        <w:t>资格确认与状态更新同时涉及机构授权和判断责任。XX()</w:t>
      </w:r>
      <w:r>
        <w:rPr>
          <w:rFonts w:ascii="Times New Roman" w:eastAsia="Songti SC" w:hAnsi="Times New Roman" w:cs="Times New Roman"/>
          <w:sz w:val="24"/>
          <w:lang w:val="en-AU"/>
        </w:rPr>
        <w:t>从决策权、责任配置和激励机制分析区块链治理，进一步讨论区块链与组织间治理机制的关系。相较于围绕身份及操作许可展开的合规研究，治理研究强调规则形成、更新和执行所涉及的组织关系</w:t>
      </w:r>
      <w:r>
        <w:rPr>
          <w:rFonts w:ascii="Times New Roman" w:eastAsia="Songti SC" w:hAnsi="Times New Roman" w:cs="Times New Roman" w:hint="eastAsia"/>
          <w:sz w:val="24"/>
          <w:lang w:val="en-AU"/>
        </w:rPr>
        <w:t>()</w:t>
      </w:r>
      <w:r>
        <w:rPr>
          <w:rFonts w:ascii="Times New Roman" w:eastAsia="Songti SC" w:hAnsi="Times New Roman" w:cs="Times New Roman"/>
          <w:sz w:val="24"/>
          <w:lang w:val="en-AU"/>
        </w:rPr>
        <w:t>。结合两类研究，投资者状态、机构权限和判断依据构成相互关联的分析对象</w:t>
      </w:r>
      <w:r>
        <w:rPr>
          <w:rFonts w:ascii="Times New Roman" w:eastAsia="Songti SC" w:hAnsi="Times New Roman" w:cs="Times New Roman" w:hint="eastAsia"/>
          <w:sz w:val="24"/>
          <w:lang w:val="en-AU"/>
        </w:rPr>
        <w:t>。</w:t>
      </w:r>
      <w:r>
        <w:rPr>
          <w:rFonts w:ascii="Times New Roman" w:eastAsia="Songti SC" w:hAnsi="Times New Roman" w:cs="Times New Roman"/>
          <w:sz w:val="24"/>
          <w:lang w:val="en-AU"/>
        </w:rPr>
        <w:t>投资者状态表达参与及持仓处置条件，机构权限规定更新主体及其操作范围，资格材料和专业程序提供判断依据。可编程合规由此涉及资格结果对操作的约束，也涉及结</w:t>
      </w:r>
      <w:r>
        <w:rPr>
          <w:rFonts w:ascii="Times New Roman" w:eastAsia="Songti SC" w:hAnsi="Times New Roman" w:cs="Times New Roman" w:hint="eastAsia"/>
          <w:sz w:val="24"/>
          <w:lang w:val="en-AU"/>
        </w:rPr>
        <w:t>果更新的授权来源，以及更新行为与后续业务之间的责任关联。</w:t>
      </w:r>
    </w:p>
    <w:p w14:paraId="065E90FD" w14:textId="2AF36F74" w:rsidR="00A20CBB" w:rsidRPr="00A20CBB" w:rsidRDefault="00A20CBB" w:rsidP="00A20CBB">
      <w:pPr>
        <w:jc w:val="both"/>
        <w:rPr>
          <w:rFonts w:ascii="Times New Roman" w:eastAsia="Songti SC" w:hAnsi="Times New Roman" w:cs="Times New Roman"/>
          <w:b/>
          <w:bCs/>
          <w:sz w:val="24"/>
          <w:lang w:val="en-AU"/>
        </w:rPr>
      </w:pPr>
      <w:r>
        <w:rPr>
          <w:rFonts w:ascii="Times New Roman" w:eastAsia="Songti SC" w:hAnsi="Times New Roman" w:cs="Times New Roman"/>
          <w:b/>
          <w:bCs/>
          <w:sz w:val="24"/>
          <w:lang w:val="en-AU"/>
        </w:rPr>
        <w:t xml:space="preserve">2.4 Auditability and Process Reconstruction</w:t>
      </w:r>
    </w:p>
    <w:p w14:paraId="40953E0D" w14:textId="57F37485" w:rsidR="00A20CBB" w:rsidRPr="00A20CBB" w:rsidRDefault="00A20CBB" w:rsidP="00A20CBB">
      <w:pPr>
        <w:jc w:val="both"/>
        <w:rPr>
          <w:rFonts w:ascii="Times New Roman" w:eastAsia="Songti SC" w:hAnsi="Times New Roman" w:cs="Times New Roman" w:hint="eastAsia"/>
          <w:sz w:val="24"/>
          <w:lang w:val="en-AU"/>
        </w:rPr>
      </w:pPr>
      <w:r>
        <w:rPr>
          <w:rFonts w:ascii="Times New Roman" w:eastAsia="Songti SC" w:hAnsi="Times New Roman" w:cs="Times New Roman" w:hint="eastAsia"/>
          <w:sz w:val="24"/>
          <w:lang w:val="en-AU"/>
        </w:rPr>
        <w:t>审计与过程分析研究通过业务活动及其关联解释结果的形成路径。XX()</w:t>
      </w:r>
      <w:r>
        <w:rPr>
          <w:rFonts w:ascii="Times New Roman" w:eastAsia="Songti SC" w:hAnsi="Times New Roman" w:cs="Times New Roman"/>
          <w:sz w:val="24"/>
          <w:lang w:val="en-AU"/>
        </w:rPr>
        <w:t>利用银行业务事件日志开展过程挖掘，展示活动顺序、执行主体和业务对象在审计分析中的价值。</w:t>
      </w:r>
      <w:r>
        <w:rPr>
          <w:rFonts w:ascii="Times New Roman" w:eastAsia="Songti SC" w:hAnsi="Times New Roman" w:cs="Times New Roman" w:hint="eastAsia"/>
          <w:sz w:val="24"/>
          <w:lang w:val="en-AU"/>
        </w:rPr>
        <w:t>XX()</w:t>
      </w:r>
      <w:r>
        <w:rPr>
          <w:rFonts w:ascii="Times New Roman" w:eastAsia="Songti SC" w:hAnsi="Times New Roman" w:cs="Times New Roman"/>
          <w:sz w:val="24"/>
          <w:lang w:val="en-AU"/>
        </w:rPr>
        <w:t>讨论智能合约与业务验证、审计程序及证据获取之间的联系，将程序化规则纳入审计分析。前者主要从观察到的活动分析流程行为，后者关注程序规则与审计活动的衔接。对于基金管理，份额变化表达登记结果，操作主体、适用NAV和相关条件提供结果形成的背景；资格更新、权限调整和暂停恢复则表达执行环境</w:t>
      </w:r>
      <w:r>
        <w:rPr>
          <w:rFonts w:ascii="Times New Roman" w:eastAsia="Songti SC" w:hAnsi="Times New Roman" w:cs="Times New Roman" w:hint="eastAsia"/>
          <w:sz w:val="24"/>
          <w:lang w:val="en-AU"/>
        </w:rPr>
        <w:t>的变化。将这些活动置于关联记录中，有助于分析业务结果与控制条件之间的关系。</w:t>
      </w:r>
    </w:p>
    <w:p w14:paraId="387A4C91" w14:textId="31C9F573" w:rsidR="00A20CBB" w:rsidRPr="00A20CBB" w:rsidRDefault="00A20CBB" w:rsidP="00A20CBB">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事件分析与状态重构具有不同的信息要求。过程挖掘通过事件序列识别活动路径及其差异，基于规则的流程执行则将操作与业务状态变化联系起来（</w:t>
      </w:r>
      <w:r>
        <w:rPr>
          <w:rFonts w:ascii="Times New Roman" w:eastAsia="Songti SC" w:hAnsi="Times New Roman" w:cs="Times New Roman"/>
          <w:sz w:val="24"/>
          <w:lang w:val="en-AU"/>
        </w:rPr>
        <w:t>）。生命周期状态回放关注事件内容与转换语义之间的对应关系，即如何根据已记录的变化恢复特定时点的业务变量。基金场景中的相关信息包括余额变化、资格更新、NAV提交和治理活动。其中，份额事件提供余额变化信息，资格和治理事件表达条件调整，版本引用关联业务采用的估值，主体信息标识操作及更新来源。事件的分析价值由此与其所表达</w:t>
      </w:r>
      <w:r>
        <w:rPr>
          <w:rFonts w:ascii="Times New Roman" w:eastAsia="Songti SC" w:hAnsi="Times New Roman" w:cs="Times New Roman" w:hint="eastAsia"/>
          <w:sz w:val="24"/>
          <w:lang w:val="en-AU"/>
        </w:rPr>
        <w:t>的状态变量、转换关系和引用内容相联系。</w:t>
      </w:r>
    </w:p>
    <w:p w14:paraId="704298AE" w14:textId="2BD9FC2B" w:rsidR="00A20CBB" w:rsidRPr="00A20CBB" w:rsidRDefault="00A20CBB" w:rsidP="00A20CBB">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业务状态与机构证据之间的关联构成另一项审计要求。智能合约审计研究对证据获取的讨论，为连接执行记录与业务材料提供了研究基础（</w:t>
      </w:r>
      <w:r>
        <w:rPr>
          <w:rFonts w:ascii="Times New Roman" w:eastAsia="Songti SC" w:hAnsi="Times New Roman" w:cs="Times New Roman"/>
          <w:sz w:val="24"/>
          <w:lang w:val="en-AU"/>
        </w:rPr>
        <w:t>）。在基金业务中，资格文件、估值底稿、投资者指令和结算记录提供机构判断及处理活动的依据，事件记录表达相关结果的提交、使用和变更。证据标识可以在两类信息之间建立引用关系，为历史业务复核提供线索。状态回放用于分析生命周期变量及其变化，</w:t>
        <w:lastRenderedPageBreak/>
        <w:t>机构材料和审计程序用于核查资格判断、估值依据与结算情况。两类分析通过事件引用相衔接，使过程重构与业务复核围绕同</w:t>
      </w:r>
      <w:r>
        <w:rPr>
          <w:rFonts w:ascii="Times New Roman" w:eastAsia="Songti SC" w:hAnsi="Times New Roman" w:cs="Times New Roman" w:hint="eastAsia"/>
          <w:sz w:val="24"/>
          <w:lang w:val="en-AU"/>
        </w:rPr>
        <w:t>一操作建立联系。</w:t>
      </w:r>
    </w:p>
    <w:p w14:paraId="7B2658BD" w14:textId="10380213" w:rsidR="00A20CBB" w:rsidRPr="00AB6B8A" w:rsidRDefault="00A20CBB" w:rsidP="00A20CBB">
      <w:pPr>
        <w:jc w:val="both"/>
        <w:rPr>
          <w:rFonts w:ascii="Times New Roman" w:eastAsia="Songti SC" w:hAnsi="Times New Roman" w:cs="Times New Roman"/>
          <w:b/>
          <w:bCs/>
          <w:sz w:val="24"/>
          <w:lang w:val="en-AU"/>
        </w:rPr>
      </w:pPr>
      <w:r>
        <w:rPr>
          <w:rFonts w:ascii="Times New Roman" w:eastAsia="Songti SC" w:hAnsi="Times New Roman" w:cs="Times New Roman"/>
          <w:b/>
          <w:bCs/>
          <w:sz w:val="24"/>
          <w:lang w:val="en-AU"/>
        </w:rPr>
        <w:t xml:space="preserve">2.5 Research Gap</w:t>
      </w:r>
    </w:p>
    <w:p w14:paraId="1C5F8E73" w14:textId="0675F584" w:rsidR="00A22721" w:rsidRPr="00A22721" w:rsidRDefault="00A22721" w:rsidP="00A22721">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资产代币化、跨组织工作流、可编程合规和过程审计研究分别关注数字表示与金融权利的关系、活动及其执行依赖、参与条件与机构授权，以及活动轨迹和证据关联（）。受监管基金业务将这些研究对象汇集于持续发生的份额操作中，资格维护、估值更新、行政处理和结算之间的联系，使业务条件具有跨流程、跨时间的依赖关系（）。这些条件由不同机构维护，共同参与操作判断。条件更新后，已完成业务所采用的估值与授权依据仍需保留，以支持历史解释与复核。</w:t>
      </w:r>
    </w:p>
    <w:p w14:paraId="1CF8F2D4" w14:textId="77777777" w:rsidR="00A22721" w:rsidRDefault="00A22721" w:rsidP="00A22721">
      <w:pPr>
        <w:jc w:val="both"/>
        <w:rPr>
          <w:rFonts w:ascii="Times New Roman" w:eastAsia="Songti SC" w:hAnsi="Times New Roman" w:cs="Times New Roman"/>
          <w:sz w:val="24"/>
          <w:lang w:val="en-AU"/>
        </w:rPr>
      </w:pPr>
      <w:r>
        <w:rPr>
          <w:rFonts w:ascii="Times New Roman" w:eastAsia="Songti SC" w:hAnsi="Times New Roman" w:cs="Times New Roman" w:hint="eastAsia"/>
          <w:sz w:val="24"/>
          <w:lang w:val="en-AU"/>
        </w:rPr>
        <w:t>现有研究为分析上述关系提供了基础。流程管理研究关注执行依赖与状态推进，过程审计研究关注事件信息及其与业务证据的联系（）。在这些研究的交汇处，受监管基金生命周期提出了两个相互关联的问题。不同周期更新的资格、估值、授权和运营状态如何在具体份额操作中联合适用，以及条件变化后如何通过历史引用与事件记录重构既有业务的执行依据。本文据此研究机构确认结果、份额状态转换与历史记录之间的关联，关注如何在保留机构职责的条件下协调当前业务执行与历史状态重构。</w:t>
      </w:r>
    </w:p>
    <w:p w14:paraId="4DEA99A3" w14:textId="722F55BC" w:rsidR="001A004A" w:rsidRDefault="00000000" w:rsidP="00A22721">
      <w:pPr>
        <w:jc w:val="both"/>
        <w:rPr>
          <w:rFonts w:ascii="Times New Roman" w:hAnsi="Times New Roman" w:cs="Times New Roman"/>
          <w:b/>
          <w:bCs/>
          <w:sz w:val="24"/>
          <w:lang w:val="en-AU"/>
        </w:rPr>
      </w:pPr>
      <w:r>
        <w:rPr>
          <w:rFonts w:ascii="Times New Roman" w:hAnsi="Times New Roman" w:cs="Times New Roman"/>
          <w:b/>
          <w:bCs/>
          <w:sz w:val="24"/>
          <w:lang w:val="en-AU"/>
        </w:rPr>
        <w:t>3. Formal Constraint-aware Lifecycle State Model</w:t>
      </w:r>
    </w:p>
    <w:p w14:paraId="5256FDA6" w14:textId="77777777" w:rsidR="006D3C3F" w:rsidRPr="006D3C3F" w:rsidRDefault="006D3C3F" w:rsidP="006D3C3F">
      <w:pPr>
        <w:jc w:val="both"/>
        <w:rPr>
          <w:rFonts w:ascii="Times New Roman" w:eastAsia="Songti SC" w:hAnsi="Times New Roman" w:cs="Times New Roman"/>
          <w:b/>
          <w:bCs/>
          <w:sz w:val="24"/>
        </w:rPr>
      </w:pPr>
      <w:r>
        <w:rPr>
          <w:rFonts w:ascii="Times New Roman" w:eastAsia="Songti SC" w:hAnsi="Times New Roman" w:cs="Times New Roman"/>
          <w:b/>
          <w:bCs/>
          <w:sz w:val="24"/>
        </w:rPr>
        <w:t>3.1 状态空间与生命周期变量</w:t>
      </w:r>
    </w:p>
    <w:p w14:paraId="6E4D9894" w14:textId="4E81360B"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 xml:space="preserve">受监管场外基金的份额变动受投资者资格、估值依据、治理权限和运营状态共同约束。设投资者集合为 </w:t>
      </w:r>
      <m:oMath>
        <m:r>
          <m:rPr>
            <m:scr m:val="script"/>
          </m:rPr>
          <w:rPr>
            <w:rFonts w:ascii="Cambria Math" w:eastAsia="Songti SC" w:hAnsi="Cambria Math" w:cs="Times New Roman"/>
            <w:sz w:val="24"/>
          </w:rPr>
          <m:t>I</m:t>
        </m:r>
      </m:oMath>
      <w:r>
        <w:rPr>
          <w:rFonts w:ascii="Times New Roman" w:eastAsia="Songti SC" w:hAnsi="Times New Roman" w:cs="Times New Roman"/>
          <w:sz w:val="24"/>
        </w:rPr>
        <w:t xml:space="preserve">，业务参与者集合为 </w:t>
      </w:r>
      <m:oMath>
        <m:r>
          <m:rPr>
            <m:scr m:val="script"/>
          </m:rPr>
          <w:rPr>
            <w:rFonts w:ascii="Cambria Math" w:eastAsia="Songti SC" w:hAnsi="Cambria Math" w:cs="Times New Roman"/>
            <w:sz w:val="24"/>
          </w:rPr>
          <m:t>P</m:t>
        </m:r>
      </m:oMath>
      <w:r>
        <w:rPr>
          <w:rFonts w:ascii="Times New Roman" w:eastAsia="Songti SC" w:hAnsi="Times New Roman" w:cs="Times New Roman"/>
          <w:sz w:val="24"/>
        </w:rPr>
        <w:t xml:space="preserve">，治理角色集合为 </w:t>
      </w:r>
      <m:oMath>
        <m:r>
          <m:rPr>
            <m:scr m:val="script"/>
          </m:rPr>
          <w:rPr>
            <w:rFonts w:ascii="Cambria Math" w:eastAsia="Songti SC" w:hAnsi="Cambria Math" w:cs="Times New Roman"/>
            <w:sz w:val="24"/>
          </w:rPr>
          <m:t>R</m:t>
        </m:r>
      </m:oMath>
      <w:r>
        <w:rPr>
          <w:rFonts w:ascii="Times New Roman" w:eastAsia="Songti SC" w:hAnsi="Times New Roman" w:cs="Times New Roman"/>
          <w:sz w:val="24"/>
        </w:rPr>
        <w:t xml:space="preserve">。以 </w:t>
      </w:r>
      <m:oMath>
        <m:r>
          <w:rPr>
            <w:rFonts w:ascii="Cambria Math" w:eastAsia="Songti SC" w:hAnsi="Cambria Math" w:cs="Times New Roman"/>
            <w:sz w:val="24"/>
          </w:rPr>
          <m:t>t</m:t>
        </m:r>
      </m:oMath>
      <w:r>
        <w:rPr>
          <w:rFonts w:ascii="Times New Roman" w:eastAsia="Songti SC" w:hAnsi="Times New Roman" w:cs="Times New Roman"/>
          <w:sz w:val="24"/>
        </w:rPr>
        <w:t>表示请求处理序号，请求处理前的基金状态定义为</w:t>
      </w:r>
    </w:p>
    <w:p w14:paraId="770EA36A" w14:textId="2D5B365C"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r>
            <w:rPr>
              <w:rFonts w:ascii="Cambria Math" w:eastAsia="Songti SC" w:hAnsi="Cambria Math" w:cs="Times New Roman"/>
              <w:sz w:val="24"/>
            </w:rPr>
            <m:t>=</m:t>
          </m:r>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L</m:t>
                  </m:r>
                </m:e>
                <m:sub>
                  <m:r>
                    <w:rPr>
                      <w:rFonts w:ascii="Cambria Math" w:eastAsia="Songti SC" w:hAnsi="Cambria Math" w:cs="Times New Roman"/>
                      <w:sz w:val="24"/>
                    </w:rPr>
                    <m:t>t</m:t>
                  </m:r>
                </m:sub>
              </m:sSub>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这些变量构成生命周期操作的执行状态。模型从满足变量取值要求的初始状态开始，其中初始余额非负，初始NAV记录、角色分配及运营状态由基金初始化安排确定。投资者身份材料、估值底稿、法律文件和现金结算凭证保留在链下，相关机构确认结果及证据引用进入链上业务记录。各状态变量的取值域与业务含义见表1。</w:t>
      </w:r>
    </w:p>
    <w:p w14:paraId="07A0069B"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表1 生命周期状态变量、取值域与业务含义</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2"/>
        <w:gridCol w:w="2032"/>
        <w:gridCol w:w="4996"/>
      </w:tblGrid>
      <w:tr w:rsidR="006D3C3F" w:rsidRPr="006D3C3F" w14:paraId="4BEAFF31" w14:textId="77777777" w:rsidTr="00BB2EA7">
        <w:trPr>
          <w:tblHeader/>
        </w:trPr>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12A2DC5"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变量</w:t>
            </w:r>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A2AA0A7"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取值域</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0620874"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业务含义</w:t>
            </w:r>
          </w:p>
        </w:tc>
      </w:tr>
      <w:tr w:rsidR="006D3C3F" w:rsidRPr="006D3C3F" w14:paraId="39F90472" w14:textId="77777777" w:rsidTr="00BB2EA7">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14CC55C" w14:textId="41CCDE6A"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oMath>
            </m:oMathPara>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93C1205" w14:textId="415AC867" w:rsidR="006D3C3F" w:rsidRPr="006D3C3F" w:rsidRDefault="006D3C3F" w:rsidP="006D3C3F">
            <w:pPr>
              <w:jc w:val="both"/>
              <w:rPr>
                <w:rFonts w:ascii="Times New Roman" w:eastAsia="Songti SC" w:hAnsi="Times New Roman" w:cs="Times New Roman"/>
                <w:sz w:val="24"/>
              </w:rPr>
            </w:pPr>
            <m:oMathPara>
              <m:oMath>
                <m:r>
                  <m:rPr>
                    <m:scr m:val="script"/>
                  </m:rPr>
                  <w:rPr>
                    <w:rFonts w:ascii="Cambria Math" w:eastAsia="Songti SC" w:hAnsi="Cambria Math" w:cs="Times New Roman"/>
                    <w:sz w:val="24"/>
                  </w:rPr>
                  <m:t>I→</m:t>
                </m:r>
                <m:sSub>
                  <m:sSubPr>
                    <m:ctrlPr>
                      <w:rPr>
                        <w:rFonts w:ascii="Cambria Math" w:eastAsia="Songti SC" w:hAnsi="Cambria Math" w:cs="Times New Roman"/>
                        <w:sz w:val="24"/>
                      </w:rPr>
                    </m:ctrlPr>
                  </m:sSubPr>
                  <m:e>
                    <m:r>
                      <m:rPr>
                        <m:scr m:val="double-struck"/>
                      </m:rPr>
                      <w:rPr>
                        <w:rFonts w:ascii="Cambria Math" w:eastAsia="Songti SC" w:hAnsi="Cambria Math" w:cs="Times New Roman"/>
                        <w:sz w:val="24"/>
                      </w:rPr>
                      <m:t>N</m:t>
                    </m:r>
                  </m:e>
                  <m:sub>
                    <m:r>
                      <w:rPr>
                        <w:rFonts w:ascii="Cambria Math" w:eastAsia="Songti SC" w:hAnsi="Cambria Math" w:cs="Times New Roman"/>
                        <w:sz w:val="24"/>
                      </w:rPr>
                      <m:t>0</m:t>
                    </m:r>
                  </m:sub>
                </m:sSub>
              </m:oMath>
            </m:oMathPara>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08C1B1E"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固定精度下的投资者份额余额</w:t>
            </w:r>
          </w:p>
        </w:tc>
      </w:tr>
      <w:tr w:rsidR="006D3C3F" w:rsidRPr="006D3C3F" w14:paraId="0FEE8C34" w14:textId="77777777" w:rsidTr="00BB2EA7">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12C6C3F" w14:textId="30CB2733"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oMath>
            </m:oMathPara>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04176C4" w14:textId="241B1303" w:rsidR="006D3C3F" w:rsidRPr="006D3C3F" w:rsidRDefault="006D3C3F" w:rsidP="006D3C3F">
            <w:pPr>
              <w:jc w:val="both"/>
              <w:rPr>
                <w:rFonts w:ascii="Times New Roman" w:eastAsia="Songti SC" w:hAnsi="Times New Roman" w:cs="Times New Roman"/>
                <w:sz w:val="24"/>
              </w:rPr>
            </w:pPr>
            <m:oMathPara>
              <m:oMath>
                <m:r>
                  <m:rPr>
                    <m:scr m:val="script"/>
                  </m:rPr>
                  <w:rPr>
                    <w:rFonts w:ascii="Cambria Math" w:eastAsia="Songti SC" w:hAnsi="Cambria Math" w:cs="Times New Roman"/>
                    <w:sz w:val="24"/>
                  </w:rPr>
                  <m:t>I→</m:t>
                </m:r>
                <m:d>
                  <m:dPr>
                    <m:begChr m:val="{"/>
                    <m:sepChr m:val=","/>
                    <m:endChr m:val="}"/>
                    <m:ctrlPr>
                      <w:rPr>
                        <w:rFonts w:ascii="Cambria Math" w:eastAsia="Songti SC" w:hAnsi="Cambria Math" w:cs="Times New Roman"/>
                        <w:sz w:val="24"/>
                      </w:rPr>
                    </m:ctrlPr>
                  </m:dPr>
                  <m:e>
                    <m:r>
                      <w:rPr>
                        <w:rFonts w:ascii="Cambria Math" w:eastAsia="Songti SC" w:hAnsi="Cambria Math" w:cs="Times New Roman"/>
                        <w:sz w:val="24"/>
                      </w:rPr>
                      <m:t>0</m:t>
                    </m:r>
                  </m:e>
                  <m:e>
                    <m:r>
                      <w:rPr>
                        <w:rFonts w:ascii="Cambria Math" w:eastAsia="Songti SC" w:hAnsi="Cambria Math" w:cs="Times New Roman"/>
                        <w:sz w:val="24"/>
                      </w:rPr>
                      <m:t>1</m:t>
                    </m:r>
                  </m:e>
                </m:d>
                <m:r>
                  <m:rPr>
                    <m:scr m:val="script"/>
                  </m:rPr>
                  <w:rPr>
                    <w:rFonts w:ascii="Cambria Math" w:eastAsia="Songti SC" w:hAnsi="Cambria Math" w:cs="Times New Roman"/>
                    <w:sz w:val="24"/>
                  </w:rPr>
                  <m:t>×D</m:t>
                </m:r>
              </m:oMath>
            </m:oMathPara>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A761ACA"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投资者资格与既有持仓处置状态</w:t>
            </w:r>
          </w:p>
        </w:tc>
      </w:tr>
      <w:tr w:rsidR="006D3C3F" w:rsidRPr="006D3C3F" w14:paraId="7E0E6F82" w14:textId="77777777" w:rsidTr="00BB2EA7">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D85720B" w14:textId="4D92ECB4"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oMath>
            </m:oMathPara>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374F0F5"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NAV记录的有限序列</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84C9C22"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估值数值、估值日期、机构确认信息与证据引用</w:t>
            </w:r>
          </w:p>
        </w:tc>
      </w:tr>
      <w:tr w:rsidR="006D3C3F" w:rsidRPr="006D3C3F" w14:paraId="2F6376B6" w14:textId="77777777" w:rsidTr="00BB2EA7">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AD8C00C" w14:textId="6A11994C"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oMath>
            </m:oMathPara>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84C3C8A" w14:textId="0F9F7519" w:rsidR="006D3C3F" w:rsidRPr="006D3C3F" w:rsidRDefault="006D3C3F" w:rsidP="006D3C3F">
            <w:pPr>
              <w:jc w:val="both"/>
              <w:rPr>
                <w:rFonts w:ascii="Times New Roman" w:eastAsia="Songti SC" w:hAnsi="Times New Roman" w:cs="Times New Roman"/>
                <w:sz w:val="24"/>
              </w:rPr>
            </w:pPr>
            <m:oMathPara>
              <m:oMath>
                <m:r>
                  <m:rPr>
                    <m:scr m:val="script"/>
                  </m:rPr>
                  <w:rPr>
                    <w:rFonts w:ascii="Cambria Math" w:eastAsia="Songti SC" w:hAnsi="Cambria Math" w:cs="Times New Roman"/>
                    <w:sz w:val="24"/>
                  </w:rPr>
                  <m:t>P→</m:t>
                </m:r>
                <m:sSup>
                  <m:sSupPr>
                    <m:ctrlPr>
                      <w:rPr>
                        <w:rFonts w:ascii="Cambria Math" w:eastAsia="Songti SC" w:hAnsi="Cambria Math" w:cs="Times New Roman"/>
                        <w:sz w:val="24"/>
                      </w:rPr>
                    </m:ctrlPr>
                  </m:sSupPr>
                  <m:e>
                    <m:r>
                      <w:rPr>
                        <w:rFonts w:ascii="Cambria Math" w:eastAsia="Songti SC" w:hAnsi="Cambria Math" w:cs="Times New Roman"/>
                        <w:sz w:val="24"/>
                      </w:rPr>
                      <m:t>2</m:t>
                    </m:r>
                  </m:e>
                  <m:sup>
                    <m:r>
                      <m:rPr>
                        <m:scr m:val="script"/>
                      </m:rPr>
                      <w:rPr>
                        <w:rFonts w:ascii="Cambria Math" w:eastAsia="Songti SC" w:hAnsi="Cambria Math" w:cs="Times New Roman"/>
                        <w:sz w:val="24"/>
                      </w:rPr>
                      <m:t>R</m:t>
                    </m:r>
                  </m:sup>
                </m:sSup>
              </m:oMath>
            </m:oMathPara>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FBB4C1A"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参与者当前持有的治理角色</w:t>
            </w:r>
          </w:p>
        </w:tc>
      </w:tr>
      <w:tr w:rsidR="006D3C3F" w:rsidRPr="006D3C3F" w14:paraId="29C01D59" w14:textId="77777777" w:rsidTr="00BB2EA7">
        <w:tc>
          <w:tcPr>
            <w:tcW w:w="126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5CDE1DC" w14:textId="76996EA5"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L</m:t>
                    </m:r>
                  </m:e>
                  <m:sub>
                    <m:r>
                      <w:rPr>
                        <w:rFonts w:ascii="Cambria Math" w:eastAsia="Songti SC" w:hAnsi="Cambria Math" w:cs="Times New Roman"/>
                        <w:sz w:val="24"/>
                      </w:rPr>
                      <m:t>t</m:t>
                    </m:r>
                  </m:sub>
                </m:sSub>
              </m:oMath>
            </m:oMathPara>
          </w:p>
        </w:tc>
        <w:tc>
          <w:tcPr>
            <w:tcW w:w="2032" w:type="dxa"/>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65E822D" w14:textId="7C447B2B" w:rsidR="006D3C3F" w:rsidRPr="006D3C3F" w:rsidRDefault="006D3C3F" w:rsidP="006D3C3F">
            <w:pPr>
              <w:jc w:val="both"/>
              <w:rPr>
                <w:rFonts w:ascii="Times New Roman" w:eastAsia="Songti SC" w:hAnsi="Times New Roman" w:cs="Times New Roman"/>
                <w:sz w:val="24"/>
              </w:rPr>
            </w:pPr>
            <m:oMathPara>
              <m:oMath>
                <m:d>
                  <m:dPr>
                    <m:begChr m:val="{"/>
                    <m:sepChr m:val=","/>
                    <m:endChr m:val="}"/>
                    <m:ctrlPr>
                      <w:rPr>
                        <w:rFonts w:ascii="Cambria Math" w:eastAsia="Songti SC" w:hAnsi="Cambria Math" w:cs="Times New Roman"/>
                        <w:sz w:val="24"/>
                      </w:rPr>
                    </m:ctrlPr>
                  </m:dPr>
                  <m:e>
                    <m:r>
                      <m:rPr>
                        <m:sty m:val="p"/>
                      </m:rPr>
                      <w:rPr>
                        <w:rFonts w:ascii="Cambria Math" w:eastAsia="Songti SC" w:hAnsi="Cambria Math" w:cs="Times New Roman"/>
                        <w:sz w:val="24"/>
                      </w:rPr>
                      <m:t>Active</m:t>
                    </m:r>
                  </m:e>
                  <m:e>
                    <m:r>
                      <m:rPr>
                        <m:sty m:val="p"/>
                      </m:rPr>
                      <w:rPr>
                        <w:rFonts w:ascii="Cambria Math" w:eastAsia="Songti SC" w:hAnsi="Cambria Math" w:cs="Times New Roman"/>
                        <w:sz w:val="24"/>
                      </w:rPr>
                      <m:t>Paused</m:t>
                    </m:r>
                  </m:e>
                </m:d>
              </m:oMath>
            </m:oMathPara>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2B4B63D"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基金运营状态</w:t>
            </w:r>
          </w:p>
        </w:tc>
      </w:tr>
    </w:tbl>
    <w:p w14:paraId="4A32BB58"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份额余额采用非负整数表示，同一状态中具有非零余额的投资者数量为有限值。总份额由余额分布导出</w:t>
      </w:r>
    </w:p>
    <w:p w14:paraId="0C2B6B41" w14:textId="219D1233"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S</m:t>
              </m:r>
            </m:e>
            <m:sub>
              <m:r>
                <w:rPr>
                  <w:rFonts w:ascii="Cambria Math" w:eastAsia="Songti SC" w:hAnsi="Cambria Math" w:cs="Times New Roman"/>
                  <w:sz w:val="24"/>
                </w:rPr>
                <m:t>t</m:t>
              </m:r>
            </m:sub>
          </m:sSub>
          <m:r>
            <w:rPr>
              <w:rFonts w:ascii="Cambria Math" w:eastAsia="Songti SC" w:hAnsi="Cambria Math" w:cs="Times New Roman"/>
              <w:sz w:val="24"/>
            </w:rPr>
            <m:t>=</m:t>
          </m:r>
          <m:nary>
            <m:naryPr>
              <m:chr m:val="∑"/>
              <m:limLoc m:val="undOvr"/>
              <m:grow m:val="1"/>
              <m:supHide m:val="1"/>
              <m:ctrlPr>
                <w:rPr>
                  <w:rFonts w:ascii="Cambria Math" w:eastAsia="Songti SC" w:hAnsi="Cambria Math" w:cs="Times New Roman"/>
                  <w:sz w:val="24"/>
                </w:rPr>
              </m:ctrlPr>
            </m:naryPr>
            <m:sub>
              <m:r>
                <w:rPr>
                  <w:rFonts w:ascii="Cambria Math" w:eastAsia="Songti SC" w:hAnsi="Cambria Math" w:cs="Times New Roman"/>
                  <w:sz w:val="24"/>
                </w:rPr>
                <m:t>i∈</m:t>
              </m:r>
              <m:r>
                <m:rPr>
                  <m:scr m:val="script"/>
                </m:rPr>
                <w:rPr>
                  <w:rFonts w:ascii="Cambria Math" w:eastAsia="Songti SC" w:hAnsi="Cambria Math" w:cs="Times New Roman"/>
                  <w:sz w:val="24"/>
                </w:rPr>
                <m:t>I</m:t>
              </m:r>
            </m:sub>
            <m:sup/>
            <m:e>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e>
          </m:nary>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投资者资格与持仓处置分别描述新增参与条件和既有权益的处理方式</w:t>
      </w:r>
    </w:p>
    <w:p w14:paraId="37F69552" w14:textId="21D00226"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e>
              <m:d>
                <m:dPr>
                  <m:ctrlPr>
                    <w:rPr>
                      <w:rFonts w:ascii="Cambria Math" w:eastAsia="Songti SC" w:hAnsi="Cambria Math" w:cs="Times New Roman"/>
                      <w:sz w:val="24"/>
                    </w:rPr>
                  </m:ctrlPr>
                </m:dPr>
                <m:e>
                  <m:r>
                    <w:rPr>
                      <w:rFonts w:ascii="Cambria Math" w:eastAsia="Songti SC" w:hAnsi="Cambria Math" w:cs="Times New Roman"/>
                      <w:sz w:val="24"/>
                    </w:rPr>
                    <m:t>i</m:t>
                  </m:r>
                </m:e>
              </m:d>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e>
          </m:d>
          <m:r>
            <w:rPr>
              <w:rFonts w:ascii="Cambria Math" w:eastAsia="Songti SC" w:hAnsi="Cambria Math" w:cs="Times New Roman"/>
              <w:sz w:val="24"/>
            </w:rPr>
            <m:t>,</m:t>
          </m:r>
          <m:r>
            <w:rPr>
              <w:rFonts w:ascii="Times New Roman" w:eastAsia="Songti SC" w:hAnsi="Times New Roman" w:cs="Times New Roman"/>
              <w:i/>
              <w:sz w:val="24"/>
            </w:rPr>
            <w:br/>
          </m:r>
        </m:oMath>
        <m:oMath>
          <m:r>
            <m:rPr>
              <m:scr m:val="script"/>
            </m:rPr>
            <w:rPr>
              <w:rFonts w:ascii="Cambria Math" w:eastAsia="Songti SC" w:hAnsi="Cambria Math" w:cs="Times New Roman"/>
              <w:sz w:val="24"/>
            </w:rPr>
            <m:t>D=</m:t>
          </m:r>
          <m:d>
            <m:dPr>
              <m:begChr m:val="{"/>
              <m:sepChr m:val=","/>
              <m:endChr m:val="}"/>
              <m:ctrlPr>
                <w:rPr>
                  <w:rFonts w:ascii="Cambria Math" w:eastAsia="Songti SC" w:hAnsi="Cambria Math" w:cs="Times New Roman"/>
                  <w:sz w:val="24"/>
                </w:rPr>
              </m:ctrlPr>
            </m:dPr>
            <m:e>
              <m:r>
                <m:rPr>
                  <m:sty m:val="p"/>
                </m:rPr>
                <w:rPr>
                  <w:rFonts w:ascii="Cambria Math" w:eastAsia="Songti SC" w:hAnsi="Cambria Math" w:cs="Times New Roman"/>
                  <w:sz w:val="24"/>
                </w:rPr>
                <m:t>Normal</m:t>
              </m:r>
            </m:e>
            <m:e>
              <m:r>
                <m:rPr>
                  <m:sty m:val="p"/>
                </m:rPr>
                <w:rPr>
                  <w:rFonts w:ascii="Cambria Math" w:eastAsia="Songti SC" w:hAnsi="Cambria Math" w:cs="Times New Roman"/>
                  <w:sz w:val="24"/>
                </w:rPr>
                <m:t>Frozen</m:t>
              </m:r>
            </m:e>
            <m:e>
              <m:r>
                <m:rPr>
                  <m:sty m:val="p"/>
                </m:rPr>
                <w:rPr>
                  <w:rFonts w:ascii="Cambria Math" w:eastAsia="Songti SC" w:hAnsi="Cambria Math" w:cs="Times New Roman"/>
                  <w:sz w:val="24"/>
                </w:rPr>
                <m:t>Review</m:t>
              </m:r>
            </m:e>
            <m:e>
              <m:r>
                <m:rPr>
                  <m:sty m:val="p"/>
                </m:rPr>
                <w:rPr>
                  <w:rFonts w:ascii="Cambria Math" w:eastAsia="Songti SC" w:hAnsi="Cambria Math" w:cs="Times New Roman"/>
                  <w:sz w:val="24"/>
                </w:rPr>
                <m:t>ControlledExit</m:t>
              </m:r>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其中，</w:t>
      </w:r>
      <m:oMath>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oMath>
      <w:r>
        <w:rPr>
          <w:rFonts w:ascii="Times New Roman" w:eastAsia="Songti SC" w:hAnsi="Times New Roman" w:cs="Times New Roman"/>
          <w:sz w:val="24"/>
        </w:rPr>
        <w:t xml:space="preserve"> 表示当前参与资格，</w:t>
      </w:r>
      <m:oMath>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oMath>
      <w:r>
        <w:rPr>
          <w:rFonts w:ascii="Times New Roman" w:eastAsia="Songti SC" w:hAnsi="Times New Roman" w:cs="Times New Roman"/>
          <w:sz w:val="24"/>
        </w:rPr>
        <w:t xml:space="preserve"> 分别表示正常持仓、冻结、复核和受控退出。资格变化限制后续申购及受让，持仓处置状态决定既有份额的操作条件。基础模型采用账户级处置规则，受控退出表示经机构授权的赎回许可，额度、期限和分批退出安排属于进一步的业务约束。</w:t>
      </w:r>
    </w:p>
    <w:p w14:paraId="09CB4708"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NAV采用追加式版本序列</w:t>
      </w:r>
    </w:p>
    <w:p w14:paraId="3A0488C9" w14:textId="43EF3A8E"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r>
            <w:rPr>
              <w:rFonts w:ascii="Cambria Math" w:eastAsia="Songti SC" w:hAnsi="Cambria Math" w:cs="Times New Roman"/>
              <w:sz w:val="24"/>
            </w:rPr>
            <m:t>=</m:t>
          </m:r>
          <m:d>
            <m:dPr>
              <m:begChr m:val="⟨"/>
              <m:sepChr m:val=","/>
              <m:end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1</m:t>
                  </m:r>
                </m:sub>
              </m:sSub>
            </m:e>
            <m:e>
              <m:r>
                <w:rPr>
                  <w:rFonts w:ascii="Cambria Math" w:eastAsia="Songti SC" w:hAnsi="Cambria Math" w:cs="Times New Roman"/>
                  <w:sz w:val="24"/>
                </w:rPr>
                <m:t>…</m:t>
              </m:r>
            </m:e>
            <m:e>
              <m:sSub>
                <m:sSubPr>
                  <m:ctrlPr>
                    <w:rPr>
                      <w:rFonts w:ascii="Cambria Math" w:eastAsia="Songti SC" w:hAnsi="Cambria Math" w:cs="Times New Roman"/>
                      <w:sz w:val="24"/>
                    </w:rPr>
                  </m:ctrlPr>
                </m:sSubPr>
                <m:e>
                  <m:r>
                    <w:rPr>
                      <w:rFonts w:ascii="Cambria Math" w:eastAsia="Songti SC" w:hAnsi="Cambria Math" w:cs="Times New Roman"/>
                      <w:sz w:val="24"/>
                    </w:rPr>
                    <m:t>ν</m:t>
                  </m:r>
                </m:e>
                <m:sub>
                  <m:sSub>
                    <m:sSubPr>
                      <m:ctrlPr>
                        <w:rPr>
                          <w:rFonts w:ascii="Cambria Math" w:eastAsia="Songti SC" w:hAnsi="Cambria Math" w:cs="Times New Roman"/>
                          <w:sz w:val="24"/>
                        </w:rPr>
                      </m:ctrlPr>
                    </m:sSubPr>
                    <m:e>
                      <m:r>
                        <w:rPr>
                          <w:rFonts w:ascii="Cambria Math" w:eastAsia="Songti SC" w:hAnsi="Cambria Math" w:cs="Times New Roman"/>
                          <w:sz w:val="24"/>
                        </w:rPr>
                        <m:t>k</m:t>
                      </m:r>
                    </m:e>
                    <m:sub>
                      <m:r>
                        <w:rPr>
                          <w:rFonts w:ascii="Cambria Math" w:eastAsia="Songti SC" w:hAnsi="Cambria Math" w:cs="Times New Roman"/>
                          <w:sz w:val="24"/>
                        </w:rPr>
                        <m:t>t</m:t>
                      </m:r>
                    </m:sub>
                  </m:sSub>
                </m:sub>
              </m:sSub>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 xml:space="preserve">记录 </w:t>
      </w:r>
      <m:oMath>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v</m:t>
            </m:r>
          </m:sub>
        </m:sSub>
      </m:oMath>
      <w:r>
        <w:rPr>
          <w:rFonts w:ascii="Times New Roman" w:eastAsia="Songti SC" w:hAnsi="Times New Roman" w:cs="Times New Roman"/>
          <w:sz w:val="24"/>
        </w:rPr>
        <w:t>保存版本标识、NAV数值、估值日期、提交主体、机构确认信息和证据引用。估值计算与批准由链下机构完成，授权主体提交相应结果。新估值追加为后续版本，既有记录保留原有内容，使历史申购和赎回能够关联其执行时采用的估值依据。</w:t>
      </w:r>
    </w:p>
    <w:p w14:paraId="5B00613B" w14:textId="77777777" w:rsidR="006D3C3F" w:rsidRPr="006D3C3F" w:rsidRDefault="006D3C3F" w:rsidP="006D3C3F">
      <w:pPr>
        <w:jc w:val="both"/>
        <w:rPr>
          <w:rFonts w:ascii="Times New Roman" w:eastAsia="Songti SC" w:hAnsi="Times New Roman" w:cs="Times New Roman"/>
          <w:b/>
          <w:bCs/>
          <w:sz w:val="24"/>
        </w:rPr>
      </w:pPr>
      <w:r>
        <w:rPr>
          <w:rFonts w:ascii="Times New Roman" w:eastAsia="Songti SC" w:hAnsi="Times New Roman" w:cs="Times New Roman"/>
          <w:b/>
          <w:bCs/>
          <w:sz w:val="24"/>
        </w:rPr>
        <w:t>3.2 操作有效性与状态转换</w:t>
      </w:r>
    </w:p>
    <w:p w14:paraId="389F08F3" w14:textId="77777777"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基础生命周期操作集合定义为</w:t>
      </w:r>
    </w:p>
    <w:p w14:paraId="1EAC90EA" w14:textId="4BA62FC1" w:rsidR="006D3C3F" w:rsidRPr="006D3C3F" w:rsidRDefault="006D3C3F" w:rsidP="006D3C3F">
      <w:pPr>
        <w:jc w:val="both"/>
        <w:rPr>
          <w:rFonts w:ascii="Times New Roman" w:eastAsia="Songti SC" w:hAnsi="Times New Roman" w:cs="Times New Roman"/>
          <w:sz w:val="24"/>
        </w:rPr>
      </w:pPr>
      <m:oMathPara>
        <m:oMath>
          <m:eqArr>
            <m:eqArrPr>
              <m:ctrlPr>
                <w:rPr>
                  <w:rFonts w:ascii="Cambria Math" w:eastAsia="Songti SC" w:hAnsi="Cambria Math" w:cs="Times New Roman"/>
                  <w:sz w:val="24"/>
                </w:rPr>
              </m:ctrlPr>
            </m:eqArrPr>
            <m:e>
              <m:r>
                <m:rPr>
                  <m:scr m:val="script"/>
                </m:rPr>
                <w:rPr>
                  <w:rFonts w:ascii="Cambria Math" w:eastAsia="Songti SC" w:hAnsi="Cambria Math" w:cs="Times New Roman"/>
                  <w:sz w:val="24"/>
                </w:rPr>
                <m:t>O</m:t>
              </m:r>
              <m:d>
                <m:dPr>
                  <m:begChr m:val=""/>
                  <m:endChr m:val="{"/>
                  <m:ctrlPr>
                    <w:rPr>
                      <w:rFonts w:ascii="Cambria Math" w:eastAsia="Songti SC" w:hAnsi="Cambria Math" w:cs="Times New Roman"/>
                      <w:sz w:val="24"/>
                    </w:rPr>
                  </m:ctrlPr>
                </m:dPr>
                <m:e>
                  <m:r>
                    <w:rPr>
                      <w:rFonts w:ascii="Cambria Math" w:eastAsia="Songti SC" w:hAnsi="Cambria Math" w:cs="Times New Roman"/>
                      <w:sz w:val="24"/>
                    </w:rPr>
                    <m:t>=</m:t>
                  </m:r>
                </m:e>
              </m:d>
              <m:r>
                <w:rPr>
                  <w:rFonts w:ascii="Cambria Math" w:eastAsia="Songti SC" w:hAnsi="Cambria Math" w:cs="Times New Roman"/>
                  <w:sz w:val="24"/>
                </w:rPr>
                <m:t>&amp;</m:t>
              </m:r>
              <m:r>
                <m:rPr>
                  <m:sty m:val="p"/>
                </m:rPr>
                <w:rPr>
                  <w:rFonts w:ascii="Cambria Math" w:eastAsia="Songti SC" w:hAnsi="Cambria Math" w:cs="Times New Roman"/>
                  <w:sz w:val="24"/>
                </w:rPr>
                <m:t>updateQualification</m:t>
              </m:r>
              <m:r>
                <w:rPr>
                  <w:rFonts w:ascii="Cambria Math" w:eastAsia="Songti SC" w:hAnsi="Cambria Math" w:cs="Times New Roman"/>
                  <w:sz w:val="24"/>
                </w:rPr>
                <m:t>,</m:t>
              </m:r>
              <m:r>
                <m:rPr>
                  <m:sty m:val="p"/>
                </m:rPr>
                <w:rPr>
                  <w:rFonts w:ascii="Cambria Math" w:eastAsia="Songti SC" w:hAnsi="Cambria Math" w:cs="Times New Roman"/>
                  <w:sz w:val="24"/>
                </w:rPr>
                <m:t>submitNAV</m:t>
              </m:r>
              <m:r>
                <w:rPr>
                  <w:rFonts w:ascii="Cambria Math" w:eastAsia="Songti SC" w:hAnsi="Cambria Math" w:cs="Times New Roman"/>
                  <w:sz w:val="24"/>
                </w:rPr>
                <m:t>,</m:t>
              </m:r>
              <m:r>
                <m:rPr>
                  <m:sty m:val="p"/>
                </m:rPr>
                <w:rPr>
                  <w:rFonts w:ascii="Cambria Math" w:eastAsia="Songti SC" w:hAnsi="Cambria Math" w:cs="Times New Roman"/>
                  <w:sz w:val="24"/>
                </w:rPr>
                <m:t>subscribe</m:t>
              </m:r>
              <m:r>
                <w:rPr>
                  <w:rFonts w:ascii="Cambria Math" w:eastAsia="Songti SC" w:hAnsi="Cambria Math" w:cs="Times New Roman"/>
                  <w:sz w:val="24"/>
                </w:rPr>
                <m:t>,</m:t>
              </m:r>
              <m:r>
                <m:rPr>
                  <m:sty m:val="p"/>
                </m:rPr>
                <w:rPr>
                  <w:rFonts w:ascii="Cambria Math" w:eastAsia="Songti SC" w:hAnsi="Cambria Math" w:cs="Times New Roman"/>
                  <w:sz w:val="24"/>
                </w:rPr>
                <m:t>redeem</m:t>
              </m:r>
              <m:r>
                <w:rPr>
                  <w:rFonts w:ascii="Cambria Math" w:eastAsia="Songti SC" w:hAnsi="Cambria Math" w:cs="Times New Roman"/>
                  <w:sz w:val="24"/>
                </w:rPr>
                <m:t>,</m:t>
              </m:r>
              <m:r>
                <m:rPr>
                  <m:sty m:val="p"/>
                </m:rPr>
                <w:rPr>
                  <w:rFonts w:ascii="Cambria Math" w:eastAsia="Songti SC" w:hAnsi="Cambria Math" w:cs="Times New Roman"/>
                  <w:sz w:val="24"/>
                </w:rPr>
                <m:t>transfer</m:t>
              </m:r>
              <m:r>
                <w:rPr>
                  <w:rFonts w:ascii="Cambria Math" w:eastAsia="Songti SC" w:hAnsi="Cambria Math" w:cs="Times New Roman"/>
                  <w:sz w:val="24"/>
                </w:rPr>
                <m:t>,</m:t>
              </m:r>
            </m:e>
            <m:e>
              <m:r>
                <w:rPr>
                  <w:rFonts w:ascii="Cambria Math" w:eastAsia="Songti SC" w:hAnsi="Cambria Math" w:cs="Times New Roman"/>
                  <w:sz w:val="24"/>
                </w:rPr>
                <m:t>&amp;</m:t>
              </m:r>
              <m:d>
                <m:dPr>
                  <m:begChr m:val=""/>
                  <m:endChr m:val="}"/>
                  <m:ctrlPr>
                    <w:rPr>
                      <w:rFonts w:ascii="Cambria Math" w:eastAsia="Songti SC" w:hAnsi="Cambria Math" w:cs="Times New Roman"/>
                      <w:sz w:val="24"/>
                    </w:rPr>
                  </m:ctrlPr>
                </m:dPr>
                <m:e>
                  <m:r>
                    <m:rPr>
                      <m:sty m:val="p"/>
                    </m:rPr>
                    <w:rPr>
                      <w:rFonts w:ascii="Cambria Math" w:eastAsia="Songti SC" w:hAnsi="Cambria Math" w:cs="Times New Roman"/>
                      <w:sz w:val="24"/>
                    </w:rPr>
                    <m:t>pause</m:t>
                  </m:r>
                  <m:r>
                    <w:rPr>
                      <w:rFonts w:ascii="Cambria Math" w:eastAsia="Songti SC" w:hAnsi="Cambria Math" w:cs="Times New Roman"/>
                      <w:sz w:val="24"/>
                    </w:rPr>
                    <m:t>,</m:t>
                  </m:r>
                  <m:r>
                    <m:rPr>
                      <m:sty m:val="p"/>
                    </m:rPr>
                    <w:rPr>
                      <w:rFonts w:ascii="Cambria Math" w:eastAsia="Songti SC" w:hAnsi="Cambria Math" w:cs="Times New Roman"/>
                      <w:sz w:val="24"/>
                    </w:rPr>
                    <m:t>resume</m:t>
                  </m:r>
                  <m:r>
                    <w:rPr>
                      <w:rFonts w:ascii="Cambria Math" w:eastAsia="Songti SC" w:hAnsi="Cambria Math" w:cs="Times New Roman"/>
                      <w:sz w:val="24"/>
                    </w:rPr>
                    <m:t>,</m:t>
                  </m:r>
                  <m:r>
                    <m:rPr>
                      <m:sty m:val="p"/>
                    </m:rPr>
                    <w:rPr>
                      <w:rFonts w:ascii="Cambria Math" w:eastAsia="Songti SC" w:hAnsi="Cambria Math" w:cs="Times New Roman"/>
                      <w:sz w:val="24"/>
                    </w:rPr>
                    <m:t>updateRole</m:t>
                  </m:r>
                </m:e>
              </m:d>
              <m:r>
                <w:rPr>
                  <w:rFonts w:ascii="Cambria Math" w:eastAsia="Songti SC" w:hAnsi="Cambria Math" w:cs="Times New Roman"/>
                  <w:sz w:val="24"/>
                </w:rPr>
                <m:t>.</m:t>
              </m:r>
            </m:e>
          </m:eqArr>
          <m:r>
            <w:rPr>
              <w:rFonts w:ascii="Times New Roman" w:eastAsia="Songti SC" w:hAnsi="Times New Roman" w:cs="Times New Roman"/>
              <w:sz w:val="24"/>
            </w:rPr>
            <w:br/>
          </m:r>
        </m:oMath>
      </m:oMathPara>
      <w:r>
        <w:rPr>
          <w:rFonts w:ascii="Times New Roman" w:eastAsia="Songti SC" w:hAnsi="Times New Roman" w:cs="Times New Roman"/>
          <w:sz w:val="24"/>
        </w:rPr>
        <w:t xml:space="preserve">对于操作 </w:t>
      </w:r>
      <m:oMath>
        <m:r>
          <w:rPr>
            <w:rFonts w:ascii="Cambria Math" w:eastAsia="Songti SC" w:hAnsi="Cambria Math" w:cs="Times New Roman"/>
            <w:sz w:val="24"/>
          </w:rPr>
          <m:t>o</m:t>
        </m:r>
      </m:oMath>
      <w:r>
        <w:rPr>
          <w:rFonts w:ascii="Times New Roman" w:eastAsia="Songti SC" w:hAnsi="Times New Roman" w:cs="Times New Roman"/>
          <w:sz w:val="24"/>
        </w:rPr>
        <w:t xml:space="preserve">、执行主体 </w:t>
      </w:r>
      <m:oMath>
        <m:r>
          <w:rPr>
            <w:rFonts w:ascii="Cambria Math" w:eastAsia="Songti SC" w:hAnsi="Cambria Math" w:cs="Times New Roman"/>
            <w:sz w:val="24"/>
          </w:rPr>
          <m:t>a</m:t>
        </m:r>
      </m:oMath>
      <w:r>
        <w:rPr>
          <w:rFonts w:ascii="Times New Roman" w:eastAsia="Songti SC" w:hAnsi="Times New Roman" w:cs="Times New Roman"/>
          <w:sz w:val="24"/>
        </w:rPr>
        <w:t xml:space="preserve">和业务参数 </w:t>
      </w:r>
      <m:oMath>
        <m:r>
          <w:rPr>
            <w:rFonts w:ascii="Cambria Math" w:eastAsia="Songti SC" w:hAnsi="Cambria Math" w:cs="Times New Roman"/>
            <w:sz w:val="24"/>
          </w:rPr>
          <m:t>p</m:t>
        </m:r>
      </m:oMath>
      <w:r>
        <w:rPr>
          <w:rFonts w:ascii="Times New Roman" w:eastAsia="Songti SC" w:hAnsi="Times New Roman" w:cs="Times New Roman"/>
          <w:sz w:val="24"/>
        </w:rPr>
        <w:t>，有效性谓词定义为</w:t>
      </w:r>
    </w:p>
    <w:p w14:paraId="7F5E7F35" w14:textId="532321D0" w:rsidR="006D3C3F" w:rsidRPr="006D3C3F" w:rsidRDefault="006D3C3F" w:rsidP="006D3C3F">
      <w:pPr>
        <w:jc w:val="both"/>
        <w:rPr>
          <w:rFonts w:ascii="Times New Roman" w:eastAsia="Songti SC" w:hAnsi="Times New Roman" w:cs="Times New Roman"/>
          <w:sz w:val="24"/>
        </w:rPr>
      </w:pPr>
      <m:oMathPara>
        <m:oMath>
          <m:eqArr>
            <m:eqArrPr>
              <m:ctrlPr>
                <w:rPr>
                  <w:rFonts w:ascii="Cambria Math" w:eastAsia="Songti SC" w:hAnsi="Cambria Math" w:cs="Times New Roman"/>
                  <w:sz w:val="24"/>
                </w:rPr>
              </m:ctrlPr>
            </m:eqArrPr>
            <m:e>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=&amp;</m:t>
              </m:r>
              <m:r>
                <m:rPr>
                  <m:sty m:val="p"/>
                </m:rPr>
                <w:rPr>
                  <w:rFonts w:ascii="Cambria Math" w:eastAsia="Songti SC" w:hAnsi="Cambria Math" w:cs="Times New Roman"/>
                  <w:sz w:val="24"/>
                </w:rPr>
                <m:t>Authorized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d>
            </m:e>
            <m:e>
              <m:r>
                <w:rPr>
                  <w:rFonts w:ascii="Cambria Math" w:eastAsia="Songti SC" w:hAnsi="Cambria Math" w:cs="Times New Roman"/>
                  <w:sz w:val="24"/>
                </w:rPr>
                <m:t>&amp;∧</m:t>
              </m:r>
              <m:r>
                <m:rPr>
                  <m:sty m:val="p"/>
                </m:rPr>
                <w:rPr>
                  <w:rFonts w:ascii="Cambria Math" w:eastAsia="Songti SC" w:hAnsi="Cambria Math" w:cs="Times New Roman"/>
                  <w:sz w:val="24"/>
                </w:rPr>
                <m:t>ComplianceValid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d>
            </m:e>
            <m:e>
              <m:r>
                <w:rPr>
                  <w:rFonts w:ascii="Cambria Math" w:eastAsia="Songti SC" w:hAnsi="Cambria Math" w:cs="Times New Roman"/>
                  <w:sz w:val="24"/>
                </w:rPr>
                <m:t>&amp;∧</m:t>
              </m:r>
              <m:r>
                <m:rPr>
                  <m:sty m:val="p"/>
                </m:rPr>
                <w:rPr>
                  <w:rFonts w:ascii="Cambria Math" w:eastAsia="Songti SC" w:hAnsi="Cambria Math" w:cs="Times New Roman"/>
                  <w:sz w:val="24"/>
                </w:rPr>
                <m:t>NAVValid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e>
              </m:d>
            </m:e>
            <m:e>
              <m:r>
                <w:rPr>
                  <w:rFonts w:ascii="Cambria Math" w:eastAsia="Songti SC" w:hAnsi="Cambria Math" w:cs="Times New Roman"/>
                  <w:sz w:val="24"/>
                </w:rPr>
                <m:t>&amp;∧</m:t>
              </m:r>
              <m:r>
                <m:rPr>
                  <m:sty m:val="p"/>
                </m:rPr>
                <w:rPr>
                  <w:rFonts w:ascii="Cambria Math" w:eastAsia="Songti SC" w:hAnsi="Cambria Math" w:cs="Times New Roman"/>
                  <w:sz w:val="24"/>
                </w:rPr>
                <m:t>LifecycleValid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sSub>
                    <m:sSubPr>
                      <m:ctrlPr>
                        <w:rPr>
                          <w:rFonts w:ascii="Cambria Math" w:eastAsia="Songti SC" w:hAnsi="Cambria Math" w:cs="Times New Roman"/>
                          <w:sz w:val="24"/>
                        </w:rPr>
                      </m:ctrlPr>
                    </m:sSubPr>
                    <m:e>
                      <m:r>
                        <w:rPr>
                          <w:rFonts w:ascii="Cambria Math" w:eastAsia="Songti SC" w:hAnsi="Cambria Math" w:cs="Times New Roman"/>
                          <w:sz w:val="24"/>
                        </w:rPr>
                        <m:t>L</m:t>
                      </m:r>
                    </m:e>
                    <m:sub>
                      <m:r>
                        <w:rPr>
                          <w:rFonts w:ascii="Cambria Math" w:eastAsia="Songti SC" w:hAnsi="Cambria Math" w:cs="Times New Roman"/>
                          <w:sz w:val="24"/>
                        </w:rPr>
                        <m:t>t</m:t>
                      </m:r>
                    </m:sub>
                  </m:sSub>
                </m:e>
              </m:d>
            </m:e>
            <m:e>
              <m:r>
                <w:rPr>
                  <w:rFonts w:ascii="Cambria Math" w:eastAsia="Songti SC" w:hAnsi="Cambria Math" w:cs="Times New Roman"/>
                  <w:sz w:val="24"/>
                </w:rPr>
                <m:t>&amp;∧</m:t>
              </m:r>
              <m:r>
                <m:rPr>
                  <m:sty m:val="p"/>
                </m:rPr>
                <w:rPr>
                  <w:rFonts w:ascii="Cambria Math" w:eastAsia="Songti SC" w:hAnsi="Cambria Math" w:cs="Times New Roman"/>
                  <w:sz w:val="24"/>
                </w:rPr>
                <m:t>ParamConsistent</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e>
          </m:eqArr>
          <m:r>
            <w:rPr>
              <w:rFonts w:ascii="Times New Roman" w:eastAsia="Songti SC" w:hAnsi="Times New Roman" w:cs="Times New Roman"/>
              <w:sz w:val="24"/>
            </w:rPr>
            <w:br/>
          </m:r>
        </m:oMath>
      </m:oMathPara>
      <w:r>
        <w:rPr>
          <w:rFonts w:ascii="Times New Roman" w:eastAsia="Songti SC" w:hAnsi="Times New Roman" w:cs="Times New Roman"/>
          <w:sz w:val="24"/>
        </w:rPr>
        <w:t xml:space="preserve">操作与角色之间的权限关系由 </w:t>
      </w:r>
      <m:oMath>
        <m:r>
          <m:rPr>
            <m:sty m:val="p"/>
          </m:rPr>
          <w:rPr>
            <w:rFonts w:ascii="Cambria Math" w:eastAsia="Songti SC" w:hAnsi="Cambria Math" w:cs="Times New Roman"/>
            <w:sz w:val="24"/>
          </w:rPr>
          <m:t>AllowedRoles</m:t>
        </m:r>
      </m:oMath>
      <w:r>
        <w:rPr>
          <w:rFonts w:ascii="Times New Roman" w:eastAsia="Songti SC" w:hAnsi="Times New Roman" w:cs="Times New Roman"/>
          <w:sz w:val="24"/>
        </w:rPr>
        <w:t>给定，授权条件为</w:t>
      </w:r>
    </w:p>
    <w:p w14:paraId="102A6439" w14:textId="4182D49B" w:rsidR="006D3C3F" w:rsidRPr="006D3C3F" w:rsidRDefault="006D3C3F" w:rsidP="006D3C3F">
      <w:pPr>
        <w:jc w:val="both"/>
        <w:rPr>
          <w:rFonts w:ascii="Times New Roman" w:eastAsia="Songti SC" w:hAnsi="Times New Roman" w:cs="Times New Roman"/>
          <w:sz w:val="24"/>
        </w:rPr>
      </w:pPr>
      <m:oMathPara>
        <m:oMath>
          <m:r>
            <m:rPr>
              <m:sty m:val="p"/>
            </m:rPr>
            <w:rPr>
              <w:rFonts w:ascii="Cambria Math" w:eastAsia="Songti SC" w:hAnsi="Cambria Math" w:cs="Times New Roman"/>
              <w:sz w:val="24"/>
            </w:rPr>
            <m:t>Authorized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r>
            <w:rPr>
              <w:rFonts w:ascii="Cambria Math" w:eastAsia="Songti SC" w:hAnsi="Cambria Math" w:cs="Times New Roman"/>
              <w:sz w:val="24"/>
            </w:rPr>
            <m:t>⟺</m:t>
          </m:r>
          <m:r>
            <m:rPr>
              <m:nor/>
            </m:rPr>
            <w:rPr>
              <w:rFonts w:ascii="Times New Roman" w:eastAsia="Songti SC" w:hAnsi="Times New Roman" w:cs="Times New Roman"/>
              <w:sz w:val="24"/>
            </w:rPr>
            <m:t>  </m:t>
          </m:r>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a</m:t>
              </m:r>
            </m:e>
          </m:d>
          <m:r>
            <w:rPr>
              <w:rFonts w:ascii="Cambria Math" w:eastAsia="Songti SC" w:hAnsi="Cambria Math" w:cs="Times New Roman"/>
              <w:sz w:val="24"/>
            </w:rPr>
            <m:t>∩</m:t>
          </m:r>
          <m:r>
            <m:rPr>
              <m:sty m:val="p"/>
            </m:rPr>
            <w:rPr>
              <w:rFonts w:ascii="Cambria Math" w:eastAsia="Songti SC" w:hAnsi="Cambria Math" w:cs="Times New Roman"/>
              <w:sz w:val="24"/>
            </w:rPr>
            <m:t>AllowedRoles</m:t>
          </m:r>
          <m:d>
            <m:dPr>
              <m:ctrlPr>
                <w:rPr>
                  <w:rFonts w:ascii="Cambria Math" w:eastAsia="Songti SC" w:hAnsi="Cambria Math" w:cs="Times New Roman"/>
                  <w:sz w:val="24"/>
                </w:rPr>
              </m:ctrlPr>
            </m:dPr>
            <m:e>
              <m:r>
                <w:rPr>
                  <w:rFonts w:ascii="Cambria Math" w:eastAsia="Songti SC" w:hAnsi="Cambria Math" w:cs="Times New Roman"/>
                  <w:sz w:val="24"/>
                </w:rPr>
                <m:t>o</m:t>
              </m:r>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 xml:space="preserve">资格条件随份额操作类型变化。申购要求投资者具备参与资格且处于正常持仓状态；赎回允许正常持仓下的合格投资者退出，或依据受控退出状态执行；转让要求双方具备参与资格且处于正常持仓状态。对于申购和赎回投资者 </w:t>
      </w:r>
      <m:oMath>
        <m:r>
          <w:rPr>
            <w:rFonts w:ascii="Cambria Math" w:eastAsia="Songti SC" w:hAnsi="Cambria Math" w:cs="Times New Roman"/>
            <w:sz w:val="24"/>
          </w:rPr>
          <m:t>i</m:t>
        </m:r>
      </m:oMath>
      <w:r>
        <w:rPr>
          <w:rFonts w:ascii="Times New Roman" w:eastAsia="Songti SC" w:hAnsi="Times New Roman" w:cs="Times New Roman"/>
          <w:sz w:val="24"/>
        </w:rPr>
        <w:t xml:space="preserve">，以及转让双方 </w:t>
      </w:r>
      <m:oMath>
        <m:r>
          <w:rPr>
            <w:rFonts w:ascii="Cambria Math" w:eastAsia="Songti SC" w:hAnsi="Cambria Math" w:cs="Times New Roman"/>
            <w:sz w:val="24"/>
          </w:rPr>
          <m:t>i</m:t>
        </m:r>
      </m:oMath>
      <w:r>
        <w:rPr>
          <w:rFonts w:ascii="Times New Roman" w:eastAsia="Songti SC" w:hAnsi="Times New Roman" w:cs="Times New Roman"/>
          <w:sz w:val="24"/>
        </w:rPr>
        <w:t>、</w:t>
      </w:r>
      <m:oMath>
        <m:r>
          <w:rPr>
            <w:rFonts w:ascii="Cambria Math" w:eastAsia="Songti SC" w:hAnsi="Cambria Math" w:cs="Times New Roman"/>
            <w:sz w:val="24"/>
          </w:rPr>
          <m:t>j</m:t>
        </m:r>
      </m:oMath>
      <w:r>
        <w:rPr>
          <w:rFonts w:ascii="Times New Roman" w:eastAsia="Songti SC" w:hAnsi="Times New Roman" w:cs="Times New Roman"/>
          <w:sz w:val="24"/>
        </w:rPr>
        <w:t>，分别有</w:t>
      </w:r>
    </w:p>
    <w:p w14:paraId="311C1242" w14:textId="05D50ACC" w:rsidR="006D3C3F" w:rsidRPr="006D3C3F" w:rsidRDefault="006D3C3F" w:rsidP="006D3C3F">
      <w:pPr>
        <w:jc w:val="both"/>
        <w:rPr>
          <w:rFonts w:ascii="Times New Roman" w:eastAsia="Songti SC" w:hAnsi="Times New Roman" w:cs="Times New Roman"/>
          <w:sz w:val="24"/>
        </w:rPr>
      </w:pPr>
      <m:oMathPara>
        <m:oMath>
          <m:eqArr>
            <m:eqArrPr>
              <m:ctrlPr>
                <w:rPr>
                  <w:rFonts w:ascii="Cambria Math" w:eastAsia="Songti SC" w:hAnsi="Cambria Math" w:cs="Times New Roman"/>
                  <w:sz w:val="24"/>
                </w:rPr>
              </m:ctrlPr>
            </m:eqArrPr>
            <m:e>
              <m:r>
                <m:rPr>
                  <m:sty m:val="p"/>
                </m:rPr>
                <w:rPr>
                  <w:rFonts w:ascii="Cambria Math" w:eastAsia="Songti SC" w:hAnsi="Cambria Math" w:cs="Times New Roman"/>
                  <w:sz w:val="24"/>
                </w:rPr>
                <m:t>ComplianceValid</m:t>
              </m:r>
              <m:d>
                <m:dPr>
                  <m:sepChr m:val=","/>
                  <m:ctrlPr>
                    <w:rPr>
                      <w:rFonts w:ascii="Cambria Math" w:eastAsia="Songti SC" w:hAnsi="Cambria Math" w:cs="Times New Roman"/>
                      <w:sz w:val="24"/>
                    </w:rPr>
                  </m:ctrlPr>
                </m:dPr>
                <m:e>
                  <m:r>
                    <m:rPr>
                      <m:sty m:val="p"/>
                    </m:rPr>
                    <w:rPr>
                      <w:rFonts w:ascii="Cambria Math" w:eastAsia="Songti SC" w:hAnsi="Cambria Math" w:cs="Times New Roman"/>
                      <w:sz w:val="24"/>
                    </w:rPr>
                    <m:t>subscribe</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r>
                <w:rPr>
                  <w:rFonts w:ascii="Cambria Math" w:eastAsia="Songti SC" w:hAnsi="Cambria Math" w:cs="Times New Roman"/>
                  <w:sz w:val="24"/>
                </w:rPr>
                <m:t>⟺</m:t>
              </m:r>
              <m:r>
                <m:rPr>
                  <m:nor/>
                </m:rPr>
                <w:rPr>
                  <w:rFonts w:ascii="Times New Roman" w:eastAsia="Songti SC" w:hAnsi="Times New Roman" w:cs="Times New Roman"/>
                  <w:sz w:val="24"/>
                </w:rPr>
                <m:t>  </m:t>
              </m:r>
              <m:r>
                <w:rPr>
                  <w:rFonts w:ascii="Cambria Math" w:eastAsia="Songti SC" w:hAnsi="Cambria Math" w:cs="Times New Roman"/>
                  <w:sz w:val="24"/>
                </w:rPr>
                <m:t>&amp;</m:t>
              </m:r>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=1∧</m:t>
              </m:r>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r>
                <m:rPr>
                  <m:sty m:val="p"/>
                </m:rPr>
                <w:rPr>
                  <w:rFonts w:ascii="Cambria Math" w:eastAsia="Songti SC" w:hAnsi="Cambria Math" w:cs="Times New Roman"/>
                  <w:sz w:val="24"/>
                </w:rPr>
                <m:t>Normal</m:t>
              </m:r>
              <m:r>
                <w:rPr>
                  <w:rFonts w:ascii="Cambria Math" w:eastAsia="Songti SC" w:hAnsi="Cambria Math" w:cs="Times New Roman"/>
                  <w:sz w:val="24"/>
                </w:rPr>
                <m:t>,</m:t>
              </m:r>
            </m:e>
            <m:e>
              <m:r>
                <m:rPr>
                  <m:sty m:val="p"/>
                </m:rPr>
                <w:rPr>
                  <w:rFonts w:ascii="Cambria Math" w:eastAsia="Songti SC" w:hAnsi="Cambria Math" w:cs="Times New Roman"/>
                  <w:sz w:val="24"/>
                </w:rPr>
                <m:t>ComplianceValid</m:t>
              </m:r>
              <m:d>
                <m:dPr>
                  <m:sepChr m:val=","/>
                  <m:ctrlPr>
                    <w:rPr>
                      <w:rFonts w:ascii="Cambria Math" w:eastAsia="Songti SC" w:hAnsi="Cambria Math" w:cs="Times New Roman"/>
                      <w:sz w:val="24"/>
                    </w:rPr>
                  </m:ctrlPr>
                </m:dPr>
                <m:e>
                  <m:r>
                    <m:rPr>
                      <m:sty m:val="p"/>
                    </m:rPr>
                    <w:rPr>
                      <w:rFonts w:ascii="Cambria Math" w:eastAsia="Songti SC" w:hAnsi="Cambria Math" w:cs="Times New Roman"/>
                      <w:sz w:val="24"/>
                    </w:rPr>
                    <m:t>redeem</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r>
                <w:rPr>
                  <w:rFonts w:ascii="Cambria Math" w:eastAsia="Songti SC" w:hAnsi="Cambria Math" w:cs="Times New Roman"/>
                  <w:sz w:val="24"/>
                </w:rPr>
                <m:t>⟺</m:t>
              </m:r>
              <m:r>
                <m:rPr>
                  <m:nor/>
                </m:rPr>
                <w:rPr>
                  <w:rFonts w:ascii="Times New Roman" w:eastAsia="Songti SC" w:hAnsi="Times New Roman" w:cs="Times New Roman"/>
                  <w:sz w:val="24"/>
                </w:rPr>
                <m:t>  </m:t>
              </m:r>
              <m:r>
                <w:rPr>
                  <w:rFonts w:ascii="Cambria Math" w:eastAsia="Songti SC" w:hAnsi="Cambria Math" w:cs="Times New Roman"/>
                  <w:sz w:val="24"/>
                </w:rPr>
                <m:t>&amp;</m:t>
              </m:r>
              <m:d>
                <m:dPr>
                  <m:begChr m:val="["/>
                  <m:end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=1∧</m:t>
                  </m:r>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r>
                    <m:rPr>
                      <m:sty m:val="p"/>
                    </m:rPr>
                    <w:rPr>
                      <w:rFonts w:ascii="Cambria Math" w:eastAsia="Songti SC" w:hAnsi="Cambria Math" w:cs="Times New Roman"/>
                      <w:sz w:val="24"/>
                    </w:rPr>
                    <m:t>Normal</m:t>
                  </m:r>
                </m:e>
              </m:d>
            </m:e>
            <m:e>
              <m:r>
                <w:rPr>
                  <w:rFonts w:ascii="Cambria Math" w:eastAsia="Songti SC" w:hAnsi="Cambria Math" w:cs="Times New Roman"/>
                  <w:sz w:val="24"/>
                </w:rPr>
                <m:t>&amp;∨</m:t>
              </m:r>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r>
                <m:rPr>
                  <m:sty m:val="p"/>
                </m:rPr>
                <w:rPr>
                  <w:rFonts w:ascii="Cambria Math" w:eastAsia="Songti SC" w:hAnsi="Cambria Math" w:cs="Times New Roman"/>
                  <w:sz w:val="24"/>
                </w:rPr>
                <m:t>ControlledExit</m:t>
              </m:r>
              <m:r>
                <w:rPr>
                  <w:rFonts w:ascii="Cambria Math" w:eastAsia="Songti SC" w:hAnsi="Cambria Math" w:cs="Times New Roman"/>
                  <w:sz w:val="24"/>
                </w:rPr>
                <m:t>,</m:t>
              </m:r>
            </m:e>
            <m:e>
              <m:r>
                <m:rPr>
                  <m:sty m:val="p"/>
                </m:rPr>
                <w:rPr>
                  <w:rFonts w:ascii="Cambria Math" w:eastAsia="Songti SC" w:hAnsi="Cambria Math" w:cs="Times New Roman"/>
                  <w:sz w:val="24"/>
                </w:rPr>
                <m:t>ComplianceValid</m:t>
              </m:r>
              <m:d>
                <m:dPr>
                  <m:sepChr m:val=","/>
                  <m:ctrlPr>
                    <w:rPr>
                      <w:rFonts w:ascii="Cambria Math" w:eastAsia="Songti SC" w:hAnsi="Cambria Math" w:cs="Times New Roman"/>
                      <w:sz w:val="24"/>
                    </w:rPr>
                  </m:ctrlPr>
                </m:dPr>
                <m:e>
                  <m:r>
                    <m:rPr>
                      <m:sty m:val="p"/>
                    </m:rPr>
                    <w:rPr>
                      <w:rFonts w:ascii="Cambria Math" w:eastAsia="Songti SC" w:hAnsi="Cambria Math" w:cs="Times New Roman"/>
                      <w:sz w:val="24"/>
                    </w:rPr>
                    <m:t>transfer</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r>
                <w:rPr>
                  <w:rFonts w:ascii="Cambria Math" w:eastAsia="Songti SC" w:hAnsi="Cambria Math" w:cs="Times New Roman"/>
                  <w:sz w:val="24"/>
                </w:rPr>
                <m:t>⟺</m:t>
              </m:r>
              <m:r>
                <m:rPr>
                  <m:nor/>
                </m:rPr>
                <w:rPr>
                  <w:rFonts w:ascii="Times New Roman" w:eastAsia="Songti SC" w:hAnsi="Times New Roman" w:cs="Times New Roman"/>
                  <w:sz w:val="24"/>
                </w:rPr>
                <m:t>  </m:t>
              </m:r>
              <m:r>
                <w:rPr>
                  <w:rFonts w:ascii="Cambria Math" w:eastAsia="Songti SC" w:hAnsi="Cambria Math" w:cs="Times New Roman"/>
                  <w:sz w:val="24"/>
                </w:rPr>
                <m:t>&amp;</m:t>
              </m:r>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j</m:t>
                  </m:r>
                </m:e>
              </m:d>
              <m:r>
                <w:rPr>
                  <w:rFonts w:ascii="Cambria Math" w:eastAsia="Songti SC" w:hAnsi="Cambria Math" w:cs="Times New Roman"/>
                  <w:sz w:val="24"/>
                </w:rPr>
                <m:t>=1</m:t>
              </m:r>
            </m:e>
            <m:e>
              <m:r>
                <w:rPr>
                  <w:rFonts w:ascii="Cambria Math" w:eastAsia="Songti SC" w:hAnsi="Cambria Math" w:cs="Times New Roman"/>
                  <w:sz w:val="24"/>
                </w:rPr>
                <m:t>&amp;∧</m:t>
              </m:r>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d</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j</m:t>
                  </m:r>
                </m:e>
              </m:d>
              <m:r>
                <w:rPr>
                  <w:rFonts w:ascii="Cambria Math" w:eastAsia="Songti SC" w:hAnsi="Cambria Math" w:cs="Times New Roman"/>
                  <w:sz w:val="24"/>
                </w:rPr>
                <m:t>=</m:t>
              </m:r>
              <m:r>
                <m:rPr>
                  <m:sty m:val="p"/>
                </m:rPr>
                <w:rPr>
                  <w:rFonts w:ascii="Cambria Math" w:eastAsia="Songti SC" w:hAnsi="Cambria Math" w:cs="Times New Roman"/>
                  <w:sz w:val="24"/>
                </w:rPr>
                <m:t>Normal</m:t>
              </m:r>
              <m:r>
                <w:rPr>
                  <w:rFonts w:ascii="Cambria Math" w:eastAsia="Songti SC" w:hAnsi="Cambria Math" w:cs="Times New Roman"/>
                  <w:sz w:val="24"/>
                </w:rPr>
                <m:t>.</m:t>
              </m:r>
            </m:e>
          </m:eqArr>
          <m:r>
            <w:rPr>
              <w:rFonts w:ascii="Times New Roman" w:eastAsia="Songti SC" w:hAnsi="Times New Roman" w:cs="Times New Roman"/>
              <w:sz w:val="24"/>
            </w:rPr>
            <w:br/>
          </m:r>
        </m:oMath>
      </m:oMathPara>
      <w:r>
        <w:rPr>
          <w:rFonts w:ascii="Times New Roman" w:eastAsia="Songti SC" w:hAnsi="Times New Roman" w:cs="Times New Roman"/>
          <w:sz w:val="24"/>
        </w:rPr>
        <w:t xml:space="preserve">冻结和复核状态不满足上述份额操作的资格条件。运营条件要求申购、赎回和转让在 </w:t>
      </w:r>
      <m:oMath>
        <m:r>
          <m:rPr>
            <m:sty m:val="p"/>
          </m:rPr>
          <w:rPr>
            <w:rFonts w:ascii="Cambria Math" w:eastAsia="Songti SC" w:hAnsi="Cambria Math" w:cs="Times New Roman"/>
            <w:sz w:val="24"/>
          </w:rPr>
          <m:t>Active</m:t>
        </m:r>
      </m:oMath>
      <w:r>
        <w:rPr>
          <w:rFonts w:ascii="Times New Roman" w:eastAsia="Songti SC" w:hAnsi="Times New Roman" w:cs="Times New Roman"/>
          <w:sz w:val="24"/>
        </w:rPr>
        <w:t>状态下执行，受控退出采用相同运营约束。资格更新、NAV提交、角色更新及暂停恢复依据对应治理权限和参数规则判断。与某项操作无关的条件取真值。</w:t>
      </w:r>
    </w:p>
    <w:p w14:paraId="1CF53682" w14:textId="46B9CF80"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 xml:space="preserve">申购和赎回参数包含单一NAV版本标识 </w:t>
      </w:r>
      <m:oMath>
        <m:r>
          <w:rPr>
            <w:rFonts w:ascii="Cambria Math" w:eastAsia="Songti SC" w:hAnsi="Cambria Math" w:cs="Times New Roman"/>
            <w:sz w:val="24"/>
          </w:rPr>
          <m:t>v</m:t>
        </m:r>
      </m:oMath>
      <w:r>
        <w:rPr>
          <w:rFonts w:ascii="Times New Roman" w:eastAsia="Songti SC" w:hAnsi="Times New Roman" w:cs="Times New Roman"/>
          <w:sz w:val="24"/>
        </w:rPr>
        <w:t>，估值有效性定义为</w:t>
      </w:r>
    </w:p>
    <w:p w14:paraId="50D4B03A" w14:textId="1941D7CA" w:rsidR="006D3C3F" w:rsidRPr="006D3C3F" w:rsidRDefault="006D3C3F" w:rsidP="006D3C3F">
      <w:pPr>
        <w:jc w:val="both"/>
        <w:rPr>
          <w:rFonts w:ascii="Times New Roman" w:eastAsia="Songti SC" w:hAnsi="Times New Roman" w:cs="Times New Roman"/>
          <w:sz w:val="24"/>
        </w:rPr>
      </w:pPr>
      <m:oMathPara>
        <m:oMath>
          <m:eqArr>
            <m:eqArrPr>
              <m:ctrlPr>
                <w:rPr>
                  <w:rFonts w:ascii="Cambria Math" w:eastAsia="Songti SC" w:hAnsi="Cambria Math" w:cs="Times New Roman"/>
                  <w:sz w:val="24"/>
                </w:rPr>
              </m:ctrlPr>
            </m:eqArrPr>
            <m:e>
              <m:r>
                <m:rPr>
                  <m:sty m:val="p"/>
                </m:rPr>
                <w:rPr>
                  <w:rFonts w:ascii="Cambria Math" w:eastAsia="Songti SC" w:hAnsi="Cambria Math" w:cs="Times New Roman"/>
                  <w:sz w:val="24"/>
                </w:rPr>
                <m:t>NAVValid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r>
                <w:rPr>
                  <w:rFonts w:ascii="Cambria Math" w:eastAsia="Songti SC" w:hAnsi="Cambria Math" w:cs="Times New Roman"/>
                  <w:sz w:val="24"/>
                </w:rPr>
                <m:t>⟺</m:t>
              </m:r>
              <m:r>
                <m:rPr>
                  <m:nor/>
                </m:rPr>
                <w:rPr>
                  <w:rFonts w:ascii="Times New Roman" w:eastAsia="Songti SC" w:hAnsi="Times New Roman" w:cs="Times New Roman"/>
                  <w:sz w:val="24"/>
                </w:rPr>
                <m:t>  </m:t>
              </m:r>
              <m:r>
                <w:rPr>
                  <w:rFonts w:ascii="Cambria Math" w:eastAsia="Songti SC" w:hAnsi="Cambria Math" w:cs="Times New Roman"/>
                  <w:sz w:val="24"/>
                </w:rPr>
                <m:t>&amp;v∈</m:t>
              </m:r>
              <m:d>
                <m:dPr>
                  <m:begChr m:val="{"/>
                  <m:sepChr m:val=","/>
                  <m:endChr m:val="}"/>
                  <m:ctrlPr>
                    <w:rPr>
                      <w:rFonts w:ascii="Cambria Math" w:eastAsia="Songti SC" w:hAnsi="Cambria Math" w:cs="Times New Roman"/>
                      <w:sz w:val="24"/>
                    </w:rPr>
                  </m:ctrlPr>
                </m:dPr>
                <m:e>
                  <m:r>
                    <w:rPr>
                      <w:rFonts w:ascii="Cambria Math" w:eastAsia="Songti SC" w:hAnsi="Cambria Math" w:cs="Times New Roman"/>
                      <w:sz w:val="24"/>
                    </w:rPr>
                    <m:t>1</m:t>
                  </m:r>
                </m:e>
                <m:e>
                  <m:r>
                    <w:rPr>
                      <w:rFonts w:ascii="Cambria Math" w:eastAsia="Songti SC" w:hAnsi="Cambria Math" w:cs="Times New Roman"/>
                      <w:sz w:val="24"/>
                    </w:rPr>
                    <m:t>…</m:t>
                  </m:r>
                </m:e>
                <m:e>
                  <m:sSub>
                    <m:sSubPr>
                      <m:ctrlPr>
                        <w:rPr>
                          <w:rFonts w:ascii="Cambria Math" w:eastAsia="Songti SC" w:hAnsi="Cambria Math" w:cs="Times New Roman"/>
                          <w:sz w:val="24"/>
                        </w:rPr>
                      </m:ctrlPr>
                    </m:sSubPr>
                    <m:e>
                      <m:r>
                        <w:rPr>
                          <w:rFonts w:ascii="Cambria Math" w:eastAsia="Songti SC" w:hAnsi="Cambria Math" w:cs="Times New Roman"/>
                          <w:sz w:val="24"/>
                        </w:rPr>
                        <m:t>k</m:t>
                      </m:r>
                    </m:e>
                    <m:sub>
                      <m:r>
                        <w:rPr>
                          <w:rFonts w:ascii="Cambria Math" w:eastAsia="Songti SC" w:hAnsi="Cambria Math" w:cs="Times New Roman"/>
                          <w:sz w:val="24"/>
                        </w:rPr>
                        <m:t>t</m:t>
                      </m:r>
                    </m:sub>
                  </m:sSub>
                </m:e>
              </m:d>
            </m:e>
            <m:e>
              <m:r>
                <w:rPr>
                  <w:rFonts w:ascii="Cambria Math" w:eastAsia="Songti SC" w:hAnsi="Cambria Math" w:cs="Times New Roman"/>
                  <w:sz w:val="24"/>
                </w:rPr>
                <m:t>&amp;∧</m:t>
              </m:r>
              <m:r>
                <m:rPr>
                  <m:sty m:val="p"/>
                </m:rPr>
                <w:rPr>
                  <w:rFonts w:ascii="Cambria Math" w:eastAsia="Songti SC" w:hAnsi="Cambria Math" w:cs="Times New Roman"/>
                  <w:sz w:val="24"/>
                </w:rPr>
                <m:t>Approved</m:t>
              </m:r>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v</m:t>
                      </m:r>
                    </m:sub>
                  </m:sSub>
                </m:e>
              </m:d>
            </m:e>
            <m:e>
              <m:r>
                <w:rPr>
                  <w:rFonts w:ascii="Cambria Math" w:eastAsia="Songti SC" w:hAnsi="Cambria Math" w:cs="Times New Roman"/>
                  <w:sz w:val="24"/>
                </w:rPr>
                <m:t>&amp;∧</m:t>
              </m:r>
              <m:r>
                <m:rPr>
                  <m:sty m:val="p"/>
                </m:rPr>
                <w:rPr>
                  <w:rFonts w:ascii="Cambria Math" w:eastAsia="Songti SC" w:hAnsi="Cambria Math" w:cs="Times New Roman"/>
                  <w:sz w:val="24"/>
                </w:rPr>
                <m:t>Applicable</m:t>
              </m:r>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v</m:t>
                      </m:r>
                    </m:sub>
                  </m:sSub>
                </m:e>
                <m:e>
                  <m:r>
                    <w:rPr>
                      <w:rFonts w:ascii="Cambria Math" w:eastAsia="Songti SC" w:hAnsi="Cambria Math" w:cs="Times New Roman"/>
                      <w:sz w:val="24"/>
                    </w:rPr>
                    <m:t>p</m:t>
                  </m:r>
                </m:e>
              </m:d>
              <m:r>
                <w:rPr>
                  <w:rFonts w:ascii="Cambria Math" w:eastAsia="Songti SC" w:hAnsi="Cambria Math" w:cs="Times New Roman"/>
                  <w:sz w:val="24"/>
                </w:rPr>
                <m:t>.</m:t>
              </m:r>
            </m:e>
          </m:eqArr>
          <m:r>
            <w:rPr>
              <w:rFonts w:ascii="Times New Roman" w:eastAsia="Songti SC" w:hAnsi="Times New Roman" w:cs="Times New Roman"/>
              <w:sz w:val="24"/>
            </w:rPr>
            <w:br/>
          </m:r>
        </m:oMath>
      </m:oMathPara>
      <w:r>
        <w:rPr>
          <w:rFonts w:ascii="Times New Roman" w:eastAsia="Songti SC" w:hAnsi="Times New Roman" w:cs="Times New Roman"/>
          <w:sz w:val="24"/>
        </w:rPr>
        <w:t>其中，Approved 表示记录对应经机构批准的估值结果，Applicable 表示该版本与请求所属估值批次及基金处理规则相匹配。适用性规则由基金业务安排确定，可依据估值日期、处理批次或授权版本选择表达。基础模型将机构确认信息的登记要求及NAV适用性规则视为既定业务规则，请求参数与NAV记录提供相应判断所需的信息。操作通过版本标识引用估值，不默认以最新记录替代业务指定版本。参数一致性检查金额、份额、余额、版本标识、数值精度和算术范围，NAV提交还要求估值为正且记录符合登记规则。</w:t>
      </w:r>
    </w:p>
    <w:p w14:paraId="0A798BD9" w14:textId="24E69000"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 xml:space="preserve">有效请求由确定性转换函数 </w:t>
      </w:r>
      <m:oMath>
        <m:sSub>
          <m:sSubPr>
            <m:ctrlPr>
              <w:rPr>
                <w:rFonts w:ascii="Cambria Math" w:eastAsia="Songti SC" w:hAnsi="Cambria Math" w:cs="Times New Roman"/>
                <w:sz w:val="24"/>
              </w:rPr>
            </m:ctrlPr>
          </m:sSubPr>
          <m:e>
            <m:r>
              <w:rPr>
                <w:rFonts w:ascii="Cambria Math" w:eastAsia="Songti SC" w:hAnsi="Cambria Math" w:cs="Times New Roman"/>
                <w:sz w:val="24"/>
              </w:rPr>
              <m:t>T</m:t>
            </m:r>
          </m:e>
          <m:sub>
            <m:r>
              <w:rPr>
                <w:rFonts w:ascii="Cambria Math" w:eastAsia="Songti SC" w:hAnsi="Cambria Math" w:cs="Times New Roman"/>
                <w:sz w:val="24"/>
              </w:rPr>
              <m:t>o</m:t>
            </m:r>
          </m:sub>
        </m:sSub>
      </m:oMath>
      <w:r>
        <w:rPr>
          <w:rFonts w:ascii="Times New Roman" w:eastAsia="Songti SC" w:hAnsi="Times New Roman" w:cs="Times New Roman"/>
          <w:sz w:val="24"/>
        </w:rPr>
        <w:t>更新状态，拒绝请求保持原有业务状态</w:t>
      </w:r>
    </w:p>
    <w:p w14:paraId="59F48E1B" w14:textId="3980CE80"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t+1</m:t>
              </m:r>
            </m:sub>
          </m:sSub>
          <m:r>
            <w:rPr>
              <w:rFonts w:ascii="Cambria Math" w:eastAsia="Songti SC" w:hAnsi="Cambria Math" w:cs="Times New Roman"/>
              <w:sz w:val="24"/>
            </w:rPr>
            <m:t>=</m:t>
          </m:r>
          <m:d>
            <m:dPr>
              <m:begChr m:val="{"/>
              <m:endChr m:val=""/>
              <m:ctrlPr>
                <w:rPr>
                  <w:rFonts w:ascii="Cambria Math" w:eastAsia="Songti SC" w:hAnsi="Cambria Math" w:cs="Times New Roman"/>
                  <w:sz w:val="24"/>
                </w:rPr>
              </m:ctrlPr>
            </m:dPr>
            <m:e>
              <m:m>
                <m:mPr>
                  <m:plcHide m:val="1"/>
                  <m:mcs>
                    <m:mc>
                      <m:mcPr>
                        <m:count m:val="2"/>
                        <m:mcJc m:val="center"/>
                      </m:mcPr>
                    </m:mc>
                  </m:mcs>
                  <m:ctrlPr>
                    <w:rPr>
                      <w:rFonts w:ascii="Cambria Math" w:eastAsia="Songti SC" w:hAnsi="Cambria Math" w:cs="Times New Roman"/>
                      <w:sz w:val="24"/>
                    </w:rPr>
                  </m:ctrlPr>
                </m:mPr>
                <m:mr>
                  <m:e>
                    <m:sSub>
                      <m:sSubPr>
                        <m:ctrlPr>
                          <w:rPr>
                            <w:rFonts w:ascii="Cambria Math" w:eastAsia="Songti SC" w:hAnsi="Cambria Math" w:cs="Times New Roman"/>
                            <w:sz w:val="24"/>
                          </w:rPr>
                        </m:ctrlPr>
                      </m:sSubPr>
                      <m:e>
                        <m:r>
                          <w:rPr>
                            <w:rFonts w:ascii="Cambria Math" w:eastAsia="Songti SC" w:hAnsi="Cambria Math" w:cs="Times New Roman"/>
                            <w:sz w:val="24"/>
                          </w:rPr>
                          <m:t>T</m:t>
                        </m:r>
                      </m:e>
                      <m:sub>
                        <m:r>
                          <w:rPr>
                            <w:rFonts w:ascii="Cambria Math" w:eastAsia="Songti SC" w:hAnsi="Cambria Math" w:cs="Times New Roman"/>
                            <w:sz w:val="24"/>
                          </w:rPr>
                          <m:t>o</m:t>
                        </m:r>
                      </m:sub>
                    </m:sSub>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e>
                        <m:r>
                          <w:rPr>
                            <w:rFonts w:ascii="Cambria Math" w:eastAsia="Songti SC" w:hAnsi="Cambria Math" w:cs="Times New Roman"/>
                            <w:sz w:val="24"/>
                          </w:rPr>
                          <m:t>a</m:t>
                        </m:r>
                      </m:e>
                      <m:e>
                        <m:r>
                          <w:rPr>
                            <w:rFonts w:ascii="Cambria Math" w:eastAsia="Songti SC" w:hAnsi="Cambria Math" w:cs="Times New Roman"/>
                            <w:sz w:val="24"/>
                          </w:rPr>
                          <m:t>p</m:t>
                        </m:r>
                      </m:e>
                    </m:d>
                    <m:r>
                      <w:rPr>
                        <w:rFonts w:ascii="Cambria Math" w:eastAsia="Songti SC" w:hAnsi="Cambria Math" w:cs="Times New Roman"/>
                        <w:sz w:val="24"/>
                      </w:rPr>
                      <m:t>,</m:t>
                    </m:r>
                  </m:e>
                  <m:e>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e>
                </m:mr>
                <m:m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r>
                      <w:rPr>
                        <w:rFonts w:ascii="Cambria Math" w:eastAsia="Songti SC" w:hAnsi="Cambria Math" w:cs="Times New Roman"/>
                        <w:sz w:val="24"/>
                      </w:rPr>
                      <m:t>,</m:t>
                    </m:r>
                  </m:e>
                  <m:e>
                    <m:r>
                      <w:rPr>
                        <w:rFonts w:ascii="Cambria Math" w:eastAsia="Songti SC" w:hAnsi="Cambria Math" w:cs="Times New Roman"/>
                        <w:sz w:val="24"/>
                      </w:rPr>
                      <m:t>¬</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e>
                </m:mr>
              </m:m>
            </m:e>
          </m:d>
          <m:r>
            <w:rPr>
              <w:rFonts w:ascii="Times New Roman" w:eastAsia="Songti SC" w:hAnsi="Times New Roman" w:cs="Times New Roman"/>
              <w:sz w:val="24"/>
            </w:rPr>
            <w:br/>
          </m:r>
        </m:oMath>
      </m:oMathPara>
      <w:r>
        <w:rPr>
          <w:rFonts w:ascii="Times New Roman" w:eastAsia="Songti SC" w:hAnsi="Times New Roman" w:cs="Times New Roman"/>
          <w:sz w:val="24"/>
        </w:rPr>
        <w:t xml:space="preserve">设金额以最小货币单位计量，份额余额以最小份额单位计量，每一完整份额包含 </w:t>
      </w:r>
      <m:oMath>
        <m:r>
          <w:rPr>
            <w:rFonts w:ascii="Cambria Math" w:eastAsia="Songti SC" w:hAnsi="Cambria Math" w:cs="Times New Roman"/>
            <w:sz w:val="24"/>
          </w:rPr>
          <m:t>q</m:t>
        </m:r>
      </m:oMath>
      <w:r>
        <w:rPr>
          <w:rFonts w:ascii="Times New Roman" w:eastAsia="Songti SC" w:hAnsi="Times New Roman" w:cs="Times New Roman"/>
          <w:sz w:val="24"/>
        </w:rPr>
        <w:t xml:space="preserve">个最小份额单位，NAV数值 </w:t>
      </w:r>
      <m:oMath>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v</m:t>
            </m:r>
          </m:sub>
        </m:sSub>
      </m:oMath>
      <w:r>
        <w:rPr>
          <w:rFonts w:ascii="Times New Roman" w:eastAsia="Songti SC" w:hAnsi="Times New Roman" w:cs="Times New Roman"/>
          <w:sz w:val="24"/>
        </w:rPr>
        <w:t xml:space="preserve">表示每一完整份额对应的最小货币单位数量。对于申购金额 </w:t>
      </w:r>
      <m:oMath>
        <m:r>
          <w:rPr>
            <w:rFonts w:ascii="Cambria Math" w:eastAsia="Songti SC" w:hAnsi="Cambria Math" w:cs="Times New Roman"/>
            <w:sz w:val="24"/>
          </w:rPr>
          <m:t>m</m:t>
        </m:r>
      </m:oMath>
      <w:r>
        <w:rPr>
          <w:rFonts w:ascii="Times New Roman" w:eastAsia="Songti SC" w:hAnsi="Times New Roman" w:cs="Times New Roman"/>
          <w:sz w:val="24"/>
        </w:rPr>
        <w:t>，新增份额与余额变化为</w:t>
      </w:r>
    </w:p>
    <w:p w14:paraId="11966730" w14:textId="1D7ED653" w:rsidR="006D3C3F" w:rsidRPr="006D3C3F" w:rsidRDefault="006D3C3F" w:rsidP="006D3C3F">
      <w:pPr>
        <w:jc w:val="both"/>
        <w:rPr>
          <w:rFonts w:ascii="Times New Roman" w:eastAsia="Songti SC" w:hAnsi="Times New Roman" w:cs="Times New Roman"/>
          <w:sz w:val="24"/>
        </w:rPr>
      </w:pPr>
      <m:oMathPara>
        <m:oMath>
          <m:r>
            <m:rPr>
              <m:sty m:val="p"/>
            </m:rPr>
            <w:rPr>
              <w:rFonts w:ascii="Cambria Math" w:eastAsia="Songti SC" w:hAnsi="Cambria Math" w:cs="Times New Roman"/>
              <w:sz w:val="24"/>
            </w:rPr>
            <w:lastRenderedPageBreak/>
            <m:t>Δ</m:t>
          </m:r>
          <m:r>
            <w:rPr>
              <w:rFonts w:ascii="Cambria Math" w:eastAsia="Songti SC" w:hAnsi="Cambria Math" w:cs="Times New Roman"/>
              <w:sz w:val="24"/>
            </w:rPr>
            <m:t>b=</m:t>
          </m:r>
          <m:d>
            <m:dPr>
              <m:begChr m:val="⌊"/>
              <m:endChr m:val="⌋"/>
              <m:ctrlPr>
                <w:rPr>
                  <w:rFonts w:ascii="Cambria Math" w:eastAsia="Songti SC" w:hAnsi="Cambria Math" w:cs="Times New Roman"/>
                  <w:sz w:val="24"/>
                </w:rPr>
              </m:ctrlPr>
            </m:dPr>
            <m:e>
              <m:f>
                <m:fPr>
                  <m:ctrlPr>
                    <w:rPr>
                      <w:rFonts w:ascii="Cambria Math" w:eastAsia="Songti SC" w:hAnsi="Cambria Math" w:cs="Times New Roman"/>
                      <w:sz w:val="24"/>
                    </w:rPr>
                  </m:ctrlPr>
                </m:fPr>
                <m:num>
                  <m:r>
                    <w:rPr>
                      <w:rFonts w:ascii="Cambria Math" w:eastAsia="Songti SC" w:hAnsi="Cambria Math" w:cs="Times New Roman"/>
                      <w:sz w:val="24"/>
                    </w:rPr>
                    <m:t>mq</m:t>
                  </m:r>
                </m:num>
                <m:den>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v</m:t>
                      </m:r>
                    </m:sub>
                  </m:sSub>
                </m:den>
              </m:f>
            </m:e>
          </m:d>
          <m:r>
            <w:rPr>
              <w:rFonts w:ascii="Cambria Math" w:eastAsia="Songti SC" w:hAnsi="Cambria Math" w:cs="Times New Roman"/>
              <w:sz w:val="24"/>
            </w:rPr>
            <m:t>, </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t+1</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r>
            <m:rPr>
              <m:sty m:val="p"/>
            </m:rPr>
            <w:rPr>
              <w:rFonts w:ascii="Cambria Math" w:eastAsia="Songti SC" w:hAnsi="Cambria Math" w:cs="Times New Roman"/>
              <w:sz w:val="24"/>
            </w:rPr>
            <m:t>Δ</m:t>
          </m:r>
          <m:r>
            <w:rPr>
              <w:rFonts w:ascii="Cambria Math" w:eastAsia="Songti SC" w:hAnsi="Cambria Math" w:cs="Times New Roman"/>
              <w:sz w:val="24"/>
            </w:rPr>
            <m:t>b.</m:t>
          </m:r>
          <m:r>
            <w:rPr>
              <w:rFonts w:ascii="Times New Roman" w:eastAsia="Songti SC" w:hAnsi="Times New Roman" w:cs="Times New Roman"/>
              <w:i/>
              <w:sz w:val="24"/>
            </w:rPr>
            <w:br/>
          </m:r>
        </m:oMath>
      </m:oMathPara>
      <w:r>
        <w:rPr>
          <w:rFonts w:ascii="Times New Roman" w:eastAsia="Songti SC" w:hAnsi="Times New Roman" w:cs="Times New Roman"/>
          <w:sz w:val="24"/>
        </w:rPr>
        <w:t xml:space="preserve">对于以最小份额单位表示的赎回数量 </w:t>
      </w:r>
      <m:oMath>
        <m:r>
          <w:rPr>
            <w:rFonts w:ascii="Cambria Math" w:eastAsia="Songti SC" w:hAnsi="Cambria Math" w:cs="Times New Roman"/>
            <w:sz w:val="24"/>
          </w:rPr>
          <m:t>r</m:t>
        </m:r>
      </m:oMath>
      <w:r>
        <w:rPr>
          <w:rFonts w:ascii="Times New Roman" w:eastAsia="Songti SC" w:hAnsi="Times New Roman" w:cs="Times New Roman"/>
          <w:sz w:val="24"/>
        </w:rPr>
        <w:t>，对应金额与余额变化为</w:t>
      </w:r>
    </w:p>
    <w:p w14:paraId="18384C1D" w14:textId="7E553FCE" w:rsidR="006D3C3F" w:rsidRPr="006D3C3F" w:rsidRDefault="006D3C3F" w:rsidP="006D3C3F">
      <w:pPr>
        <w:jc w:val="both"/>
        <w:rPr>
          <w:rFonts w:ascii="Times New Roman" w:eastAsia="Songti SC" w:hAnsi="Times New Roman" w:cs="Times New Roman"/>
          <w:sz w:val="24"/>
        </w:rPr>
      </w:pPr>
      <m:oMathPara>
        <m:oMath>
          <m:r>
            <w:rPr>
              <w:rFonts w:ascii="Cambria Math" w:eastAsia="Songti SC" w:hAnsi="Cambria Math" w:cs="Times New Roman"/>
              <w:sz w:val="24"/>
            </w:rPr>
            <m:t>c=</m:t>
          </m:r>
          <m:d>
            <m:dPr>
              <m:begChr m:val="⌊"/>
              <m:endChr m:val="⌋"/>
              <m:ctrlPr>
                <w:rPr>
                  <w:rFonts w:ascii="Cambria Math" w:eastAsia="Songti SC" w:hAnsi="Cambria Math" w:cs="Times New Roman"/>
                  <w:sz w:val="24"/>
                </w:rPr>
              </m:ctrlPr>
            </m:dPr>
            <m:e>
              <m:f>
                <m:fPr>
                  <m:ctrlPr>
                    <w:rPr>
                      <w:rFonts w:ascii="Cambria Math" w:eastAsia="Songti SC" w:hAnsi="Cambria Math" w:cs="Times New Roman"/>
                      <w:sz w:val="24"/>
                    </w:rPr>
                  </m:ctrlPr>
                </m:fPr>
                <m:num>
                  <m:r>
                    <w:rPr>
                      <w:rFonts w:ascii="Cambria Math" w:eastAsia="Songti SC" w:hAnsi="Cambria Math" w:cs="Times New Roman"/>
                      <w:sz w:val="24"/>
                    </w:rPr>
                    <m:t>r</m:t>
                  </m:r>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v</m:t>
                      </m:r>
                    </m:sub>
                  </m:sSub>
                </m:num>
                <m:den>
                  <m:r>
                    <w:rPr>
                      <w:rFonts w:ascii="Cambria Math" w:eastAsia="Songti SC" w:hAnsi="Cambria Math" w:cs="Times New Roman"/>
                      <w:sz w:val="24"/>
                    </w:rPr>
                    <m:t>q</m:t>
                  </m:r>
                </m:den>
              </m:f>
            </m:e>
          </m:d>
          <m:r>
            <w:rPr>
              <w:rFonts w:ascii="Cambria Math" w:eastAsia="Songti SC" w:hAnsi="Cambria Math" w:cs="Times New Roman"/>
              <w:sz w:val="24"/>
            </w:rPr>
            <m:t>, </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t+1</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-r.</m:t>
          </m:r>
          <m:r>
            <w:rPr>
              <w:rFonts w:ascii="Times New Roman" w:eastAsia="Songti SC" w:hAnsi="Times New Roman" w:cs="Times New Roman"/>
              <w:i/>
              <w:sz w:val="24"/>
            </w:rPr>
            <w:br/>
          </m:r>
        </m:oMath>
      </m:oMathPara>
      <w:r>
        <w:rPr>
          <w:rFonts w:ascii="Times New Roman" w:eastAsia="Songti SC" w:hAnsi="Times New Roman" w:cs="Times New Roman"/>
          <w:sz w:val="24"/>
        </w:rPr>
        <w:t xml:space="preserve">投资者 </w:t>
      </w:r>
      <m:oMath>
        <m:r>
          <w:rPr>
            <w:rFonts w:ascii="Cambria Math" w:eastAsia="Songti SC" w:hAnsi="Cambria Math" w:cs="Times New Roman"/>
            <w:sz w:val="24"/>
          </w:rPr>
          <m:t>i</m:t>
        </m:r>
      </m:oMath>
      <w:r>
        <w:rPr>
          <w:rFonts w:ascii="Times New Roman" w:eastAsia="Songti SC" w:hAnsi="Times New Roman" w:cs="Times New Roman"/>
          <w:sz w:val="24"/>
        </w:rPr>
        <w:t xml:space="preserve">向不同投资者 </w:t>
      </w:r>
      <m:oMath>
        <m:r>
          <w:rPr>
            <w:rFonts w:ascii="Cambria Math" w:eastAsia="Songti SC" w:hAnsi="Cambria Math" w:cs="Times New Roman"/>
            <w:sz w:val="24"/>
          </w:rPr>
          <m:t>j</m:t>
        </m:r>
      </m:oMath>
      <w:r>
        <w:rPr>
          <w:rFonts w:ascii="Times New Roman" w:eastAsia="Songti SC" w:hAnsi="Times New Roman" w:cs="Times New Roman"/>
          <w:sz w:val="24"/>
        </w:rPr>
        <w:t xml:space="preserve">转让 </w:t>
      </w:r>
      <m:oMath>
        <m:r>
          <w:rPr>
            <w:rFonts w:ascii="Cambria Math" w:eastAsia="Songti SC" w:hAnsi="Cambria Math" w:cs="Times New Roman"/>
            <w:sz w:val="24"/>
          </w:rPr>
          <m:t>r</m:t>
        </m:r>
      </m:oMath>
      <w:r>
        <w:rPr>
          <w:rFonts w:ascii="Times New Roman" w:eastAsia="Songti SC" w:hAnsi="Times New Roman" w:cs="Times New Roman"/>
          <w:sz w:val="24"/>
        </w:rPr>
        <w:t>个最小份额单位时</w:t>
      </w:r>
    </w:p>
    <w:p w14:paraId="408FCA2D" w14:textId="48181BB1"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t+1</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-r, </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t+1</m:t>
              </m:r>
            </m:sub>
          </m:sSub>
          <m:d>
            <m:dPr>
              <m:ctrlPr>
                <w:rPr>
                  <w:rFonts w:ascii="Cambria Math" w:eastAsia="Songti SC" w:hAnsi="Cambria Math" w:cs="Times New Roman"/>
                  <w:sz w:val="24"/>
                </w:rPr>
              </m:ctrlPr>
            </m:dPr>
            <m:e>
              <m:r>
                <w:rPr>
                  <w:rFonts w:ascii="Cambria Math" w:eastAsia="Songti SC" w:hAnsi="Cambria Math" w:cs="Times New Roman"/>
                  <w:sz w:val="24"/>
                </w:rPr>
                <m:t>j</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j</m:t>
              </m:r>
            </m:e>
          </m:d>
          <m:r>
            <w:rPr>
              <w:rFonts w:ascii="Cambria Math" w:eastAsia="Songti SC" w:hAnsi="Cambria Math" w:cs="Times New Roman"/>
              <w:sz w:val="24"/>
            </w:rPr>
            <m:t>+r.</m:t>
          </m:r>
          <m:r>
            <w:rPr>
              <w:rFonts w:ascii="Times New Roman" w:eastAsia="Songti SC" w:hAnsi="Times New Roman" w:cs="Times New Roman"/>
              <w:i/>
              <w:sz w:val="24"/>
            </w:rPr>
            <w:br/>
          </m:r>
        </m:oMath>
      </m:oMathPara>
      <w:r>
        <w:rPr>
          <w:rFonts w:ascii="Times New Roman" w:eastAsia="Songti SC" w:hAnsi="Times New Roman" w:cs="Times New Roman"/>
          <w:sz w:val="24"/>
        </w:rPr>
        <w:t>数量计算采用向下取整规则，参数检查要求申购金额与新增份额为正、赎回和转让数量为正且不超过当前余额，并满足算术范围约束。未受影响的账户余额保持原值。资格更新设置指定投资者的参与资格与持仓处置状态，NAV提交在现有序列末尾追加记录，角色更新对指定主体执行角色授予或撤销，暂停与恢复分别设置基金运营状态。各操作未涉及的状态变量保持不变。上述金额关系描述份额变更的计算依据，现金履约通过链下结算记录关联。</w:t>
      </w:r>
    </w:p>
    <w:p w14:paraId="674BF40A" w14:textId="77777777" w:rsidR="006D3C3F" w:rsidRPr="006D3C3F" w:rsidRDefault="006D3C3F" w:rsidP="006D3C3F">
      <w:pPr>
        <w:jc w:val="both"/>
        <w:rPr>
          <w:rFonts w:ascii="Times New Roman" w:eastAsia="Songti SC" w:hAnsi="Times New Roman" w:cs="Times New Roman"/>
          <w:b/>
          <w:bCs/>
          <w:sz w:val="24"/>
        </w:rPr>
      </w:pPr>
      <w:r>
        <w:rPr>
          <w:rFonts w:ascii="Times New Roman" w:eastAsia="Songti SC" w:hAnsi="Times New Roman" w:cs="Times New Roman"/>
          <w:b/>
          <w:bCs/>
          <w:sz w:val="24"/>
        </w:rPr>
        <w:t>3.3 生命周期不变量与转换性质</w:t>
      </w:r>
    </w:p>
    <w:p w14:paraId="67DE1FB6" w14:textId="0904D794"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生命周期一致性由状态不变量和转换性质共同刻画。状态不变量描述可达状态中的数量关系，转换性质描述操作对份额分布、估值记录及接受条件的影响。余额非负表示为</w:t>
      </w:r>
      <w:r>
        <w:rPr>
          <w:rFonts w:ascii="Times New Roman" w:eastAsia="Songti SC" w:hAnsi="Times New Roman" w:cs="Times New Roman" w:hint="eastAsia"/>
          <w:sz w:val="24"/>
        </w:rPr>
        <w:t>：</w:t>
      </w:r>
    </w:p>
    <w:p w14:paraId="1D3CEDEA" w14:textId="7E68795D"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I</m:t>
              </m:r>
            </m:e>
            <m:sub>
              <m:r>
                <w:rPr>
                  <w:rFonts w:ascii="Cambria Math" w:eastAsia="Songti SC" w:hAnsi="Cambria Math" w:cs="Times New Roman"/>
                  <w:sz w:val="24"/>
                </w:rPr>
                <m:t>B</m:t>
              </m:r>
            </m:sub>
          </m:sSub>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≡∀i∈</m:t>
          </m:r>
          <m:r>
            <m:rPr>
              <m:scr m:val="script"/>
            </m:rPr>
            <w:rPr>
              <w:rFonts w:ascii="Cambria Math" w:eastAsia="Songti SC" w:hAnsi="Cambria Math" w:cs="Times New Roman"/>
              <w:sz w:val="24"/>
            </w:rPr>
            <m:t>I, </m:t>
          </m:r>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i</m:t>
              </m:r>
            </m:e>
          </m:d>
          <m:r>
            <w:rPr>
              <w:rFonts w:ascii="Cambria Math" w:eastAsia="Songti SC" w:hAnsi="Cambria Math" w:cs="Times New Roman"/>
              <w:sz w:val="24"/>
            </w:rPr>
            <m:t>≥0.</m:t>
          </m:r>
          <m:r>
            <w:rPr>
              <w:rFonts w:ascii="Times New Roman" w:eastAsia="Songti SC" w:hAnsi="Times New Roman" w:cs="Times New Roman"/>
              <w:i/>
              <w:sz w:val="24"/>
            </w:rPr>
            <w:br/>
          </m:r>
        </m:oMath>
      </m:oMathPara>
      <w:r>
        <w:rPr>
          <w:rFonts w:ascii="Times New Roman" w:eastAsia="Songti SC" w:hAnsi="Times New Roman" w:cs="Times New Roman"/>
          <w:sz w:val="24"/>
        </w:rPr>
        <w:t>给定满足该条件的初始状态，申购通过正份额增量保持余额非负，赎回和转让通过余额上限检查约束减量，其他操作保持余额分布。因此，对接受的操作有</w:t>
      </w:r>
      <w:r>
        <w:rPr>
          <w:rFonts w:ascii="Times New Roman" w:eastAsia="Songti SC" w:hAnsi="Times New Roman" w:cs="Times New Roman" w:hint="eastAsia"/>
          <w:sz w:val="24"/>
        </w:rPr>
        <w:t>：</w:t>
      </w:r>
    </w:p>
    <w:p w14:paraId="564C651D" w14:textId="1982D03F"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I</m:t>
              </m:r>
            </m:e>
            <m:sub>
              <m:r>
                <w:rPr>
                  <w:rFonts w:ascii="Cambria Math" w:eastAsia="Songti SC" w:hAnsi="Cambria Math" w:cs="Times New Roman"/>
                  <w:sz w:val="24"/>
                </w:rPr>
                <m:t>B</m:t>
              </m:r>
            </m:sub>
          </m:sSub>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I</m:t>
              </m:r>
            </m:e>
            <m:sub>
              <m:r>
                <w:rPr>
                  <w:rFonts w:ascii="Cambria Math" w:eastAsia="Songti SC" w:hAnsi="Cambria Math" w:cs="Times New Roman"/>
                  <w:sz w:val="24"/>
                </w:rPr>
                <m:t>B</m:t>
              </m:r>
            </m:sub>
          </m:sSub>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T</m:t>
                  </m:r>
                </m:e>
                <m:sub>
                  <m:r>
                    <w:rPr>
                      <w:rFonts w:ascii="Cambria Math" w:eastAsia="Songti SC" w:hAnsi="Cambria Math" w:cs="Times New Roman"/>
                      <w:sz w:val="24"/>
                    </w:rPr>
                    <m:t>o</m:t>
                  </m:r>
                </m:sub>
              </m:sSub>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e>
                  <m:r>
                    <w:rPr>
                      <w:rFonts w:ascii="Cambria Math" w:eastAsia="Songti SC" w:hAnsi="Cambria Math" w:cs="Times New Roman"/>
                      <w:sz w:val="24"/>
                    </w:rPr>
                    <m:t>a</m:t>
                  </m:r>
                </m:e>
                <m:e>
                  <m:r>
                    <w:rPr>
                      <w:rFonts w:ascii="Cambria Math" w:eastAsia="Songti SC" w:hAnsi="Cambria Math" w:cs="Times New Roman"/>
                      <w:sz w:val="24"/>
                    </w:rPr>
                    <m:t>p</m:t>
                  </m:r>
                </m:e>
              </m:d>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拒绝请求保持原状态。结合初始条件和转换保持关系，可通过对请求序列的归纳推导得到余额非负在模型可达状态中的保持性。</w:t>
      </w:r>
    </w:p>
    <w:p w14:paraId="4BCFEA44" w14:textId="0C9655DB"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总份额变化与操作类型对应</w:t>
      </w:r>
      <w:r>
        <w:rPr>
          <w:rFonts w:ascii="Times New Roman" w:eastAsia="Songti SC" w:hAnsi="Times New Roman" w:cs="Times New Roman" w:hint="eastAsia"/>
          <w:sz w:val="24"/>
        </w:rPr>
        <w:t>：</w:t>
      </w:r>
    </w:p>
    <w:p w14:paraId="7CDA0130" w14:textId="3965AC78"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S</m:t>
              </m:r>
            </m:e>
            <m:sub>
              <m:r>
                <w:rPr>
                  <w:rFonts w:ascii="Cambria Math" w:eastAsia="Songti SC" w:hAnsi="Cambria Math" w:cs="Times New Roman"/>
                  <w:sz w:val="24"/>
                </w:rPr>
                <m:t>t+1</m:t>
              </m:r>
            </m:sub>
          </m:sSub>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S</m:t>
              </m:r>
            </m:e>
            <m:sub>
              <m:r>
                <w:rPr>
                  <w:rFonts w:ascii="Cambria Math" w:eastAsia="Songti SC" w:hAnsi="Cambria Math" w:cs="Times New Roman"/>
                  <w:sz w:val="24"/>
                </w:rPr>
                <m:t>t</m:t>
              </m:r>
            </m:sub>
          </m:sSub>
          <m:r>
            <w:rPr>
              <w:rFonts w:ascii="Cambria Math" w:eastAsia="Songti SC" w:hAnsi="Cambria Math" w:cs="Times New Roman"/>
              <w:sz w:val="24"/>
            </w:rPr>
            <m:t>=</m:t>
          </m:r>
          <m:d>
            <m:dPr>
              <m:begChr m:val="{"/>
              <m:endChr m:val=""/>
              <m:ctrlPr>
                <w:rPr>
                  <w:rFonts w:ascii="Cambria Math" w:eastAsia="Songti SC" w:hAnsi="Cambria Math" w:cs="Times New Roman"/>
                  <w:sz w:val="24"/>
                </w:rPr>
              </m:ctrlPr>
            </m:dPr>
            <m:e>
              <m:m>
                <m:mPr>
                  <m:plcHide m:val="1"/>
                  <m:mcs>
                    <m:mc>
                      <m:mcPr>
                        <m:count m:val="2"/>
                        <m:mcJc m:val="center"/>
                      </m:mcPr>
                    </m:mc>
                  </m:mcs>
                  <m:ctrlPr>
                    <w:rPr>
                      <w:rFonts w:ascii="Cambria Math" w:eastAsia="Songti SC" w:hAnsi="Cambria Math" w:cs="Times New Roman"/>
                      <w:sz w:val="24"/>
                    </w:rPr>
                  </m:ctrlPr>
                </m:mPr>
                <m:mr>
                  <m:e>
                    <m:r>
                      <m:rPr>
                        <m:sty m:val="p"/>
                      </m:rPr>
                      <w:rPr>
                        <w:rFonts w:ascii="Cambria Math" w:eastAsia="Songti SC" w:hAnsi="Cambria Math" w:cs="Times New Roman"/>
                        <w:sz w:val="24"/>
                      </w:rPr>
                      <m:t>Δ</m:t>
                    </m:r>
                    <m:r>
                      <w:rPr>
                        <w:rFonts w:ascii="Cambria Math" w:eastAsia="Songti SC" w:hAnsi="Cambria Math" w:cs="Times New Roman"/>
                        <w:sz w:val="24"/>
                      </w:rPr>
                      <m:t>b,</m:t>
                    </m:r>
                  </m:e>
                  <m:e>
                    <m:r>
                      <w:rPr>
                        <w:rFonts w:ascii="Cambria Math" w:eastAsia="Songti SC" w:hAnsi="Cambria Math" w:cs="Times New Roman"/>
                        <w:sz w:val="24"/>
                      </w:rPr>
                      <m:t>o=</m:t>
                    </m:r>
                    <m:r>
                      <m:rPr>
                        <m:sty m:val="p"/>
                      </m:rPr>
                      <w:rPr>
                        <w:rFonts w:ascii="Cambria Math" w:eastAsia="Songti SC" w:hAnsi="Cambria Math" w:cs="Times New Roman"/>
                        <w:sz w:val="24"/>
                      </w:rPr>
                      <m:t>subscribe</m:t>
                    </m:r>
                    <m:r>
                      <m:rPr>
                        <m:nor/>
                      </m:rPr>
                      <w:rPr>
                        <w:rFonts w:ascii="Times New Roman" w:eastAsia="Songti SC" w:hAnsi="Times New Roman" w:cs="Times New Roman"/>
                        <w:sz w:val="24"/>
                      </w:rPr>
                      <m:t> 且操作被接受</m:t>
                    </m:r>
                    <m:r>
                      <w:rPr>
                        <w:rFonts w:ascii="Cambria Math" w:eastAsia="Songti SC" w:hAnsi="Cambria Math" w:cs="Times New Roman"/>
                        <w:sz w:val="24"/>
                      </w:rPr>
                      <m:t>,</m:t>
                    </m:r>
                  </m:e>
                </m:mr>
                <m:mr>
                  <m:e>
                    <m:r>
                      <w:rPr>
                        <w:rFonts w:ascii="Cambria Math" w:eastAsia="Songti SC" w:hAnsi="Cambria Math" w:cs="Times New Roman"/>
                        <w:sz w:val="24"/>
                      </w:rPr>
                      <m:t>-r,</m:t>
                    </m:r>
                  </m:e>
                  <m:e>
                    <m:r>
                      <w:rPr>
                        <w:rFonts w:ascii="Cambria Math" w:eastAsia="Songti SC" w:hAnsi="Cambria Math" w:cs="Times New Roman"/>
                        <w:sz w:val="24"/>
                      </w:rPr>
                      <m:t>o=</m:t>
                    </m:r>
                    <m:r>
                      <m:rPr>
                        <m:sty m:val="p"/>
                      </m:rPr>
                      <w:rPr>
                        <w:rFonts w:ascii="Cambria Math" w:eastAsia="Songti SC" w:hAnsi="Cambria Math" w:cs="Times New Roman"/>
                        <w:sz w:val="24"/>
                      </w:rPr>
                      <m:t>redeem</m:t>
                    </m:r>
                    <m:r>
                      <m:rPr>
                        <m:nor/>
                      </m:rPr>
                      <w:rPr>
                        <w:rFonts w:ascii="Times New Roman" w:eastAsia="Songti SC" w:hAnsi="Times New Roman" w:cs="Times New Roman"/>
                        <w:sz w:val="24"/>
                      </w:rPr>
                      <m:t> 且操作被接受</m:t>
                    </m:r>
                    <m:r>
                      <w:rPr>
                        <w:rFonts w:ascii="Cambria Math" w:eastAsia="Songti SC" w:hAnsi="Cambria Math" w:cs="Times New Roman"/>
                        <w:sz w:val="24"/>
                      </w:rPr>
                      <m:t>,</m:t>
                    </m:r>
                  </m:e>
                </m:mr>
                <m:mr>
                  <m:e>
                    <m:r>
                      <w:rPr>
                        <w:rFonts w:ascii="Cambria Math" w:eastAsia="Songti SC" w:hAnsi="Cambria Math" w:cs="Times New Roman"/>
                        <w:sz w:val="24"/>
                      </w:rPr>
                      <m:t>0,</m:t>
                    </m:r>
                  </m:e>
                  <m:e>
                    <m:r>
                      <m:rPr>
                        <m:nor/>
                      </m:rPr>
                      <w:rPr>
                        <w:rFonts w:ascii="Times New Roman" w:eastAsia="Songti SC" w:hAnsi="Times New Roman" w:cs="Times New Roman"/>
                        <w:sz w:val="24"/>
                      </w:rPr>
                      <m:t>其他情形</m:t>
                    </m:r>
                    <m:r>
                      <w:rPr>
                        <w:rFonts w:ascii="Cambria Math" w:eastAsia="Songti SC" w:hAnsi="Cambria Math" w:cs="Times New Roman"/>
                        <w:sz w:val="24"/>
                      </w:rPr>
                      <m:t>.</m:t>
                    </m:r>
                  </m:e>
                </m:mr>
              </m:m>
            </m:e>
          </m:d>
          <m:r>
            <w:rPr>
              <w:rFonts w:ascii="Times New Roman" w:eastAsia="Songti SC" w:hAnsi="Times New Roman" w:cs="Times New Roman"/>
              <w:sz w:val="24"/>
            </w:rPr>
            <w:br/>
          </m:r>
        </m:oMath>
      </m:oMathPara>
      <w:r>
        <w:rPr>
          <w:rFonts w:ascii="Times New Roman" w:eastAsia="Songti SC" w:hAnsi="Times New Roman" w:cs="Times New Roman"/>
          <w:sz w:val="24"/>
        </w:rPr>
        <w:t>转让双方的等量增减保持总份额，资格、估值、角色和运营更新保持余额分布。NAV内容保留由序列前缀关系表达</w:t>
      </w:r>
      <w:r>
        <w:rPr>
          <w:rFonts w:ascii="Times New Roman" w:eastAsia="Songti SC" w:hAnsi="Times New Roman" w:cs="Times New Roman" w:hint="eastAsia"/>
          <w:sz w:val="24"/>
        </w:rPr>
        <w:t>：</w:t>
      </w:r>
    </w:p>
    <w:p w14:paraId="27560D1A" w14:textId="07641E38"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t+1</m:t>
              </m:r>
            </m:sub>
          </m:sSub>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有效NAV提交追加记录，其他操作保持NAV序列。内容保留维持历史引用，但不表示既有版本对后续业务持续适用；后续请求仍需满足对应的估值适用条件。</w:t>
      </w:r>
    </w:p>
    <w:p w14:paraId="2B415871" w14:textId="1EDDADEA"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 xml:space="preserve">暂停和治理授权属于接受条件所蕴含的性质。令 </w:t>
      </w:r>
      <m:oMath>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F</m:t>
            </m:r>
          </m:sub>
        </m:sSub>
      </m:oMath>
      <w:r>
        <w:rPr>
          <w:rFonts w:ascii="Times New Roman" w:eastAsia="Songti SC" w:hAnsi="Times New Roman" w:cs="Times New Roman"/>
          <w:sz w:val="24"/>
        </w:rPr>
        <w:t>为申购、赎回和转让集合，</w:t>
      </w:r>
      <m:oMath>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G</m:t>
            </m:r>
          </m:sub>
        </m:sSub>
      </m:oMath>
      <w:r>
        <w:rPr>
          <w:rFonts w:ascii="Times New Roman" w:eastAsia="Songti SC" w:hAnsi="Times New Roman" w:cs="Times New Roman"/>
          <w:sz w:val="24"/>
        </w:rPr>
        <w:t xml:space="preserve"> 为资格更新、NAV提交、角色更新及暂停恢复集合，则</w:t>
      </w:r>
      <w:r>
        <w:rPr>
          <w:rFonts w:ascii="Times New Roman" w:eastAsia="Songti SC" w:hAnsi="Times New Roman" w:cs="Times New Roman" w:hint="eastAsia"/>
          <w:sz w:val="24"/>
        </w:rPr>
        <w:t>：</w:t>
      </w:r>
    </w:p>
    <w:p w14:paraId="3A9B17A9" w14:textId="1BBC1437"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L</m:t>
              </m:r>
            </m:e>
            <m:sub>
              <m:r>
                <w:rPr>
                  <w:rFonts w:ascii="Cambria Math" w:eastAsia="Songti SC" w:hAnsi="Cambria Math" w:cs="Times New Roman"/>
                  <w:sz w:val="24"/>
                </w:rPr>
                <m:t>t</m:t>
              </m:r>
            </m:sub>
          </m:sSub>
          <m:r>
            <w:rPr>
              <w:rFonts w:ascii="Cambria Math" w:eastAsia="Songti SC" w:hAnsi="Cambria Math" w:cs="Times New Roman"/>
              <w:sz w:val="24"/>
            </w:rPr>
            <m:t>=</m:t>
          </m:r>
          <m:r>
            <m:rPr>
              <m:sty m:val="p"/>
            </m:rPr>
            <w:rPr>
              <w:rFonts w:ascii="Cambria Math" w:eastAsia="Songti SC" w:hAnsi="Cambria Math" w:cs="Times New Roman"/>
              <w:sz w:val="24"/>
            </w:rPr>
            <m:t>Paused</m:t>
          </m:r>
          <m:r>
            <w:rPr>
              <w:rFonts w:ascii="Cambria Math" w:eastAsia="Songti SC" w:hAnsi="Cambria Math" w:cs="Times New Roman"/>
              <w:sz w:val="24"/>
            </w:rPr>
            <m:t>∧o∈</m:t>
          </m:r>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F</m:t>
              </m:r>
            </m:sub>
          </m:sSub>
          <m:r>
            <w:rPr>
              <w:rFonts w:ascii="Cambria Math" w:eastAsia="Songti SC" w:hAnsi="Cambria Math" w:cs="Times New Roman"/>
              <w:sz w:val="24"/>
            </w:rPr>
            <m:t>⇒¬</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r>
            <w:rPr>
              <w:rFonts w:ascii="Times New Roman" w:eastAsia="Songti SC" w:hAnsi="Times New Roman" w:cs="Times New Roman"/>
              <w:i/>
              <w:sz w:val="24"/>
            </w:rPr>
            <w:br/>
          </m:r>
        </m:oMath>
        <m:oMath>
          <m:r>
            <w:rPr>
              <w:rFonts w:ascii="Cambria Math" w:eastAsia="Songti SC" w:hAnsi="Cambria Math" w:cs="Times New Roman"/>
              <w:sz w:val="24"/>
            </w:rPr>
            <m:t>o∈</m:t>
          </m:r>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G</m:t>
              </m:r>
            </m:sub>
          </m:sSub>
          <m:r>
            <w:rPr>
              <w:rFonts w:ascii="Cambria Math" w:eastAsia="Songti SC" w:hAnsi="Cambria Math" w:cs="Times New Roman"/>
              <w:sz w:val="24"/>
            </w:rPr>
            <m:t>∧¬</m:t>
          </m:r>
          <m:r>
            <m:rPr>
              <m:sty m:val="p"/>
            </m:rPr>
            <w:rPr>
              <w:rFonts w:ascii="Cambria Math" w:eastAsia="Songti SC" w:hAnsi="Cambria Math" w:cs="Times New Roman"/>
              <w:sz w:val="24"/>
            </w:rPr>
            <m:t>Authorized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d>
          <m:r>
            <w:rPr>
              <w:rFonts w:ascii="Cambria Math" w:eastAsia="Songti SC" w:hAnsi="Cambria Math" w:cs="Times New Roman"/>
              <w:sz w:val="24"/>
            </w:rPr>
            <m:t>⇒¬</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 xml:space="preserve">令 </w:t>
      </w:r>
      <m:oMath>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V</m:t>
            </m:r>
          </m:sub>
        </m:sSub>
      </m:oMath>
      <w:r>
        <w:rPr>
          <w:rFonts w:ascii="Times New Roman" w:eastAsia="Songti SC" w:hAnsi="Times New Roman" w:cs="Times New Roman"/>
          <w:sz w:val="24"/>
        </w:rPr>
        <w:t>为申购和赎回集合，</w:t>
      </w:r>
      <m:oMath>
        <m:r>
          <m:rPr>
            <m:sty m:val="p"/>
          </m:rPr>
          <w:rPr>
            <w:rFonts w:ascii="Cambria Math" w:eastAsia="Songti SC" w:hAnsi="Cambria Math" w:cs="Times New Roman"/>
            <w:sz w:val="24"/>
          </w:rPr>
          <m:t>Referenced</m:t>
        </m:r>
        <m:d>
          <m:dPr>
            <m:sepChr m:val=","/>
            <m:ctrlPr>
              <w:rPr>
                <w:rFonts w:ascii="Cambria Math" w:eastAsia="Songti SC" w:hAnsi="Cambria Math" w:cs="Times New Roman"/>
                <w:sz w:val="24"/>
              </w:rPr>
            </m:ctrlPr>
          </m:dPr>
          <m:e>
            <m:r>
              <w:rPr>
                <w:rFonts w:ascii="Cambria Math" w:eastAsia="Songti SC" w:hAnsi="Cambria Math" w:cs="Times New Roman"/>
                <w:sz w:val="24"/>
              </w:rPr>
              <m:t>p</m:t>
            </m:r>
          </m:e>
          <m:e>
            <m:r>
              <w:rPr>
                <w:rFonts w:ascii="Cambria Math" w:eastAsia="Songti SC" w:hAnsi="Cambria Math" w:cs="Times New Roman"/>
                <w:sz w:val="24"/>
              </w:rPr>
              <m:t>v</m:t>
            </m:r>
          </m:e>
        </m:d>
      </m:oMath>
      <w:r>
        <w:rPr>
          <w:rFonts w:ascii="Times New Roman" w:eastAsia="Songti SC" w:hAnsi="Times New Roman" w:cs="Times New Roman"/>
          <w:sz w:val="24"/>
        </w:rPr>
        <w:t xml:space="preserve"> 表示请求引用版本 </w:t>
      </w:r>
      <m:oMath>
        <m:r>
          <w:rPr>
            <w:rFonts w:ascii="Cambria Math" w:eastAsia="Songti SC" w:hAnsi="Cambria Math" w:cs="Times New Roman"/>
            <w:sz w:val="24"/>
          </w:rPr>
          <m:t>v</m:t>
        </m:r>
      </m:oMath>
      <w:r>
        <w:rPr>
          <w:rFonts w:ascii="Times New Roman" w:eastAsia="Songti SC" w:hAnsi="Times New Roman" w:cs="Times New Roman"/>
          <w:sz w:val="24"/>
        </w:rPr>
        <w:t>，接受的估值相关操作满足</w:t>
      </w:r>
      <w:r>
        <w:rPr>
          <w:rFonts w:ascii="Times New Roman" w:eastAsia="Songti SC" w:hAnsi="Times New Roman" w:cs="Times New Roman" w:hint="eastAsia"/>
          <w:sz w:val="24"/>
        </w:rPr>
        <w:t>：</w:t>
      </w:r>
    </w:p>
    <w:p w14:paraId="4CC75579" w14:textId="19604FAF" w:rsidR="006D3C3F" w:rsidRPr="006D3C3F" w:rsidRDefault="006D3C3F" w:rsidP="006D3C3F">
      <w:pPr>
        <w:jc w:val="both"/>
        <w:rPr>
          <w:rFonts w:ascii="Times New Roman" w:eastAsia="Songti SC" w:hAnsi="Times New Roman" w:cs="Times New Roman"/>
          <w:sz w:val="24"/>
        </w:rPr>
      </w:pPr>
      <m:oMathPara>
        <m:oMath>
          <m:eqArr>
            <m:eqArrPr>
              <m:ctrlPr>
                <w:rPr>
                  <w:rFonts w:ascii="Cambria Math" w:eastAsia="Songti SC" w:hAnsi="Cambria Math" w:cs="Times New Roman"/>
                  <w:sz w:val="24"/>
                </w:rPr>
              </m:ctrlPr>
            </m:eqArrPr>
            <m:e>
              <m:r>
                <w:rPr>
                  <w:rFonts w:ascii="Cambria Math" w:eastAsia="Songti SC" w:hAnsi="Cambria Math" w:cs="Times New Roman"/>
                  <w:sz w:val="24"/>
                </w:rPr>
                <m:t>&amp;</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∧o∈</m:t>
              </m:r>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O</m:t>
                  </m:r>
                </m:e>
                <m:sub>
                  <m:r>
                    <w:rPr>
                      <w:rFonts w:ascii="Cambria Math" w:eastAsia="Songti SC" w:hAnsi="Cambria Math" w:cs="Times New Roman"/>
                      <w:sz w:val="24"/>
                    </w:rPr>
                    <m:t>V</m:t>
                  </m:r>
                </m:sub>
              </m:sSub>
            </m:e>
            <m:e>
              <m:r>
                <w:rPr>
                  <w:rFonts w:ascii="Cambria Math" w:eastAsia="Songti SC" w:hAnsi="Cambria Math" w:cs="Times New Roman"/>
                  <w:sz w:val="24"/>
                </w:rPr>
                <m:t>&amp;⇒∃!v∈</m:t>
              </m:r>
              <m:d>
                <m:dPr>
                  <m:begChr m:val="{"/>
                  <m:sepChr m:val=","/>
                  <m:endChr m:val="}"/>
                  <m:ctrlPr>
                    <w:rPr>
                      <w:rFonts w:ascii="Cambria Math" w:eastAsia="Songti SC" w:hAnsi="Cambria Math" w:cs="Times New Roman"/>
                      <w:sz w:val="24"/>
                    </w:rPr>
                  </m:ctrlPr>
                </m:dPr>
                <m:e>
                  <m:r>
                    <w:rPr>
                      <w:rFonts w:ascii="Cambria Math" w:eastAsia="Songti SC" w:hAnsi="Cambria Math" w:cs="Times New Roman"/>
                      <w:sz w:val="24"/>
                    </w:rPr>
                    <m:t>1</m:t>
                  </m:r>
                </m:e>
                <m:e>
                  <m:r>
                    <w:rPr>
                      <w:rFonts w:ascii="Cambria Math" w:eastAsia="Songti SC" w:hAnsi="Cambria Math" w:cs="Times New Roman"/>
                      <w:sz w:val="24"/>
                    </w:rPr>
                    <m:t>…</m:t>
                  </m:r>
                </m:e>
                <m:e>
                  <m:sSub>
                    <m:sSubPr>
                      <m:ctrlPr>
                        <w:rPr>
                          <w:rFonts w:ascii="Cambria Math" w:eastAsia="Songti SC" w:hAnsi="Cambria Math" w:cs="Times New Roman"/>
                          <w:sz w:val="24"/>
                        </w:rPr>
                      </m:ctrlPr>
                    </m:sSubPr>
                    <m:e>
                      <m:r>
                        <w:rPr>
                          <w:rFonts w:ascii="Cambria Math" w:eastAsia="Songti SC" w:hAnsi="Cambria Math" w:cs="Times New Roman"/>
                          <w:sz w:val="24"/>
                        </w:rPr>
                        <m:t>k</m:t>
                      </m:r>
                    </m:e>
                    <m:sub>
                      <m:r>
                        <w:rPr>
                          <w:rFonts w:ascii="Cambria Math" w:eastAsia="Songti SC" w:hAnsi="Cambria Math" w:cs="Times New Roman"/>
                          <w:sz w:val="24"/>
                        </w:rPr>
                        <m:t>t</m:t>
                      </m:r>
                    </m:sub>
                  </m:sSub>
                </m:e>
              </m:d>
              <m:r>
                <m:rPr>
                  <m:nor/>
                </m:rPr>
                <w:rPr>
                  <w:rFonts w:ascii="Times New Roman" w:eastAsia="Songti SC" w:hAnsi="Times New Roman" w:cs="Times New Roman"/>
                  <w:sz w:val="24"/>
                </w:rPr>
                <m:t> </m:t>
              </m:r>
              <m:d>
                <m:dPr>
                  <m:begChr m:val="["/>
                  <m:endChr m:val="]"/>
                  <m:ctrlPr>
                    <w:rPr>
                      <w:rFonts w:ascii="Cambria Math" w:eastAsia="Songti SC" w:hAnsi="Cambria Math" w:cs="Times New Roman"/>
                      <w:sz w:val="24"/>
                    </w:rPr>
                  </m:ctrlPr>
                </m:dPr>
                <m:e>
                  <m:r>
                    <m:rPr>
                      <m:sty m:val="p"/>
                    </m:rPr>
                    <w:rPr>
                      <w:rFonts w:ascii="Cambria Math" w:eastAsia="Songti SC" w:hAnsi="Cambria Math" w:cs="Times New Roman"/>
                      <w:sz w:val="24"/>
                    </w:rPr>
                    <m:t>Referenced</m:t>
                  </m:r>
                  <m:d>
                    <m:dPr>
                      <m:sepChr m:val=","/>
                      <m:ctrlPr>
                        <w:rPr>
                          <w:rFonts w:ascii="Cambria Math" w:eastAsia="Songti SC" w:hAnsi="Cambria Math" w:cs="Times New Roman"/>
                          <w:sz w:val="24"/>
                        </w:rPr>
                      </m:ctrlPr>
                    </m:dPr>
                    <m:e>
                      <m:r>
                        <w:rPr>
                          <w:rFonts w:ascii="Cambria Math" w:eastAsia="Songti SC" w:hAnsi="Cambria Math" w:cs="Times New Roman"/>
                          <w:sz w:val="24"/>
                        </w:rPr>
                        <m:t>p</m:t>
                      </m:r>
                    </m:e>
                    <m:e>
                      <m:r>
                        <w:rPr>
                          <w:rFonts w:ascii="Cambria Math" w:eastAsia="Songti SC" w:hAnsi="Cambria Math" w:cs="Times New Roman"/>
                          <w:sz w:val="24"/>
                        </w:rPr>
                        <m:t>v</m:t>
                      </m:r>
                    </m:e>
                  </m:d>
                  <m:r>
                    <w:rPr>
                      <w:rFonts w:ascii="Cambria Math" w:eastAsia="Songti SC" w:hAnsi="Cambria Math" w:cs="Times New Roman"/>
                      <w:sz w:val="24"/>
                    </w:rPr>
                    <m:t>∧</m:t>
                  </m:r>
                  <m:r>
                    <m:rPr>
                      <m:sty m:val="p"/>
                    </m:rPr>
                    <w:rPr>
                      <w:rFonts w:ascii="Cambria Math" w:eastAsia="Songti SC" w:hAnsi="Cambria Math" w:cs="Times New Roman"/>
                      <w:sz w:val="24"/>
                    </w:rPr>
                    <m:t>Approved</m:t>
                  </m:r>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v</m:t>
                          </m:r>
                        </m:sub>
                      </m:sSub>
                    </m:e>
                  </m:d>
                  <m:r>
                    <w:rPr>
                      <w:rFonts w:ascii="Cambria Math" w:eastAsia="Songti SC" w:hAnsi="Cambria Math" w:cs="Times New Roman"/>
                      <w:sz w:val="24"/>
                    </w:rPr>
                    <m:t>∧</m:t>
                  </m:r>
                  <m:r>
                    <m:rPr>
                      <m:sty m:val="p"/>
                    </m:rPr>
                    <w:rPr>
                      <w:rFonts w:ascii="Cambria Math" w:eastAsia="Songti SC" w:hAnsi="Cambria Math" w:cs="Times New Roman"/>
                      <w:sz w:val="24"/>
                    </w:rPr>
                    <m:t>Applicable</m:t>
                  </m:r>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ν</m:t>
                          </m:r>
                        </m:e>
                        <m:sub>
                          <m:r>
                            <w:rPr>
                              <w:rFonts w:ascii="Cambria Math" w:eastAsia="Songti SC" w:hAnsi="Cambria Math" w:cs="Times New Roman"/>
                              <w:sz w:val="24"/>
                            </w:rPr>
                            <m:t>v</m:t>
                          </m:r>
                        </m:sub>
                      </m:sSub>
                    </m:e>
                    <m:e>
                      <m:r>
                        <w:rPr>
                          <w:rFonts w:ascii="Cambria Math" w:eastAsia="Songti SC" w:hAnsi="Cambria Math" w:cs="Times New Roman"/>
                          <w:sz w:val="24"/>
                        </w:rPr>
                        <m:t>p</m:t>
                      </m:r>
                    </m:e>
                  </m:d>
                </m:e>
              </m:d>
              <m:r>
                <w:rPr>
                  <w:rFonts w:ascii="Cambria Math" w:eastAsia="Songti SC" w:hAnsi="Cambria Math" w:cs="Times New Roman"/>
                  <w:sz w:val="24"/>
                </w:rPr>
                <m:t>.</m:t>
              </m:r>
            </m:e>
          </m:eqArr>
          <m:r>
            <w:rPr>
              <w:rFonts w:ascii="Times New Roman" w:eastAsia="Songti SC" w:hAnsi="Times New Roman" w:cs="Times New Roman"/>
              <w:sz w:val="24"/>
            </w:rPr>
            <w:br/>
          </m:r>
        </m:oMath>
      </m:oMathPara>
      <w:r>
        <w:rPr>
          <w:rFonts w:ascii="Times New Roman" w:eastAsia="Songti SC" w:hAnsi="Times New Roman" w:cs="Times New Roman"/>
          <w:sz w:val="24"/>
        </w:rPr>
        <w:t>引用唯一性来自单一版本参数，引用有效性来自机构确认信息与业务适用条件。拒绝请求满足状态保持关系</w:t>
      </w:r>
      <w:r>
        <w:rPr>
          <w:rFonts w:ascii="Times New Roman" w:eastAsia="Songti SC" w:hAnsi="Times New Roman" w:cs="Times New Roman" w:hint="eastAsia"/>
          <w:sz w:val="24"/>
        </w:rPr>
        <w:t>：</w:t>
      </w:r>
    </w:p>
    <w:p w14:paraId="6B72D578" w14:textId="1A33164A" w:rsidR="006D3C3F" w:rsidRPr="006D3C3F" w:rsidRDefault="006D3C3F" w:rsidP="006D3C3F">
      <w:pPr>
        <w:jc w:val="both"/>
        <w:rPr>
          <w:rFonts w:ascii="Times New Roman" w:eastAsia="Songti SC" w:hAnsi="Times New Roman" w:cs="Times New Roman"/>
          <w:sz w:val="24"/>
        </w:rPr>
      </w:pPr>
      <m:oMathPara>
        <m:oMath>
          <m:r>
            <w:rPr>
              <w:rFonts w:ascii="Cambria Math" w:eastAsia="Songti SC" w:hAnsi="Cambria Math" w:cs="Times New Roman"/>
              <w:sz w:val="24"/>
            </w:rPr>
            <m:t>¬</m:t>
          </m:r>
          <m:r>
            <m:rPr>
              <m:sty m:val="p"/>
            </m:rPr>
            <w:rPr>
              <w:rFonts w:ascii="Cambria Math" w:eastAsia="Songti SC" w:hAnsi="Cambria Math" w:cs="Times New Roman"/>
              <w:sz w:val="24"/>
            </w:rPr>
            <m:t>Valid</m:t>
          </m:r>
          <m:d>
            <m:dPr>
              <m:sepChr m:val=","/>
              <m:ctrlPr>
                <w:rPr>
                  <w:rFonts w:ascii="Cambria Math" w:eastAsia="Songti SC" w:hAnsi="Cambria Math" w:cs="Times New Roman"/>
                  <w:sz w:val="24"/>
                </w:rPr>
              </m:ctrlPr>
            </m:dPr>
            <m:e>
              <m:r>
                <w:rPr>
                  <w:rFonts w:ascii="Cambria Math" w:eastAsia="Songti SC" w:hAnsi="Cambria Math" w:cs="Times New Roman"/>
                  <w:sz w:val="24"/>
                </w:rPr>
                <m:t>o</m:t>
              </m:r>
            </m:e>
            <m:e>
              <m:r>
                <w:rPr>
                  <w:rFonts w:ascii="Cambria Math" w:eastAsia="Songti SC" w:hAnsi="Cambria Math" w:cs="Times New Roman"/>
                  <w:sz w:val="24"/>
                </w:rPr>
                <m:t>a</m:t>
              </m:r>
            </m:e>
            <m:e>
              <m:r>
                <w:rPr>
                  <w:rFonts w:ascii="Cambria Math" w:eastAsia="Songti SC" w:hAnsi="Cambria Math" w:cs="Times New Roman"/>
                  <w:sz w:val="24"/>
                </w:rPr>
                <m:t>p</m:t>
              </m:r>
            </m:e>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t+1</m:t>
              </m:r>
            </m:sub>
          </m:sSub>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余额非负、份额变化和NAV前缀关系刻画转换结果，暂停、授权和版本绑定刻画请求接受边界。前者依赖转换函数的保持性，后者依赖有效性条件的执行，两类性质共同构成模型与原型行为进行比较的依据。</w:t>
      </w:r>
    </w:p>
    <w:p w14:paraId="2F7451DC" w14:textId="77777777" w:rsidR="006D3C3F" w:rsidRPr="00BB2EA7" w:rsidRDefault="006D3C3F" w:rsidP="006D3C3F">
      <w:pPr>
        <w:jc w:val="both"/>
        <w:rPr>
          <w:rFonts w:ascii="Times New Roman" w:eastAsia="Songti SC" w:hAnsi="Times New Roman" w:cs="Times New Roman"/>
          <w:b/>
          <w:bCs/>
          <w:sz w:val="24"/>
        </w:rPr>
      </w:pPr>
      <w:r>
        <w:rPr>
          <w:rFonts w:ascii="Times New Roman" w:eastAsia="Songti SC" w:hAnsi="Times New Roman" w:cs="Times New Roman"/>
          <w:b/>
          <w:bCs/>
          <w:sz w:val="24"/>
        </w:rPr>
        <w:t>3.4 审计投影与事件重构</w:t>
      </w:r>
    </w:p>
    <w:p w14:paraId="1C7522BD" w14:textId="709EEB76"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审计重构关注份额变化及其形成时的资格、估值和治理条件。设执行相关角色集合为</w:t>
      </w:r>
      <w:r>
        <w:rPr>
          <w:rFonts w:ascii="Times New Roman" w:eastAsia="Songti SC" w:hAnsi="Times New Roman" w:cs="Times New Roman" w:hint="eastAsia"/>
          <w:sz w:val="24"/>
        </w:rPr>
        <w:t>：</w:t>
      </w:r>
    </w:p>
    <w:p w14:paraId="44D717DF" w14:textId="17ECC06E"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R</m:t>
              </m:r>
            </m:e>
            <m:sub>
              <m:r>
                <m:rPr>
                  <m:sty m:val="p"/>
                </m:rPr>
                <w:rPr>
                  <w:rFonts w:ascii="Cambria Math" w:eastAsia="Songti SC" w:hAnsi="Cambria Math" w:cs="Times New Roman"/>
                  <w:sz w:val="24"/>
                </w:rPr>
                <m:t>exec</m:t>
              </m:r>
            </m:sub>
          </m:sSub>
          <m:r>
            <w:rPr>
              <w:rFonts w:ascii="Cambria Math" w:eastAsia="Songti SC" w:hAnsi="Cambria Math" w:cs="Times New Roman"/>
              <w:sz w:val="24"/>
            </w:rPr>
            <m:t>=</m:t>
          </m:r>
          <m:nary>
            <m:naryPr>
              <m:chr m:val="⋃"/>
              <m:limLoc m:val="undOvr"/>
              <m:grow m:val="1"/>
              <m:supHide m:val="1"/>
              <m:ctrlPr>
                <w:rPr>
                  <w:rFonts w:ascii="Cambria Math" w:eastAsia="Songti SC" w:hAnsi="Cambria Math" w:cs="Times New Roman"/>
                  <w:sz w:val="24"/>
                </w:rPr>
              </m:ctrlPr>
            </m:naryPr>
            <m:sub>
              <m:r>
                <w:rPr>
                  <w:rFonts w:ascii="Cambria Math" w:eastAsia="Songti SC" w:hAnsi="Cambria Math" w:cs="Times New Roman"/>
                  <w:sz w:val="24"/>
                </w:rPr>
                <m:t>o∈</m:t>
              </m:r>
              <m:r>
                <m:rPr>
                  <m:scr m:val="script"/>
                </m:rPr>
                <w:rPr>
                  <w:rFonts w:ascii="Cambria Math" w:eastAsia="Songti SC" w:hAnsi="Cambria Math" w:cs="Times New Roman"/>
                  <w:sz w:val="24"/>
                </w:rPr>
                <m:t>O</m:t>
              </m:r>
            </m:sub>
            <m:sup/>
            <m:e>
              <m:r>
                <m:rPr>
                  <m:sty m:val="p"/>
                </m:rPr>
                <w:rPr>
                  <w:rFonts w:ascii="Cambria Math" w:eastAsia="Songti SC" w:hAnsi="Cambria Math" w:cs="Times New Roman"/>
                  <w:sz w:val="24"/>
                </w:rPr>
                <m:t>AllowedRoles</m:t>
              </m:r>
            </m:e>
          </m:nary>
          <m:d>
            <m:dPr>
              <m:ctrlPr>
                <w:rPr>
                  <w:rFonts w:ascii="Cambria Math" w:eastAsia="Songti SC" w:hAnsi="Cambria Math" w:cs="Times New Roman"/>
                  <w:sz w:val="24"/>
                </w:rPr>
              </m:ctrlPr>
            </m:dPr>
            <m:e>
              <m:r>
                <w:rPr>
                  <w:rFonts w:ascii="Cambria Math" w:eastAsia="Songti SC" w:hAnsi="Cambria Math" w:cs="Times New Roman"/>
                  <w:sz w:val="24"/>
                </w:rPr>
                <m:t>o</m:t>
              </m:r>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治理投影保留参与生命周期执行判断的角色分配</w:t>
      </w:r>
      <w:r>
        <w:rPr>
          <w:rFonts w:ascii="Times New Roman" w:eastAsia="Songti SC" w:hAnsi="Times New Roman" w:cs="Times New Roman" w:hint="eastAsia"/>
          <w:sz w:val="24"/>
        </w:rPr>
        <w:t>：</w:t>
      </w:r>
    </w:p>
    <w:p w14:paraId="5B325CE4" w14:textId="4959DFD5"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π</m:t>
              </m:r>
            </m:e>
            <m:sub>
              <m:r>
                <w:rPr>
                  <w:rFonts w:ascii="Cambria Math" w:eastAsia="Songti SC" w:hAnsi="Cambria Math" w:cs="Times New Roman"/>
                  <w:sz w:val="24"/>
                </w:rPr>
                <m:t>G</m:t>
              </m:r>
            </m:sub>
          </m:sSub>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d>
          <m:d>
            <m:dPr>
              <m:ctrlPr>
                <w:rPr>
                  <w:rFonts w:ascii="Cambria Math" w:eastAsia="Songti SC" w:hAnsi="Cambria Math" w:cs="Times New Roman"/>
                  <w:sz w:val="24"/>
                </w:rPr>
              </m:ctrlPr>
            </m:dPr>
            <m:e>
              <m:r>
                <w:rPr>
                  <w:rFonts w:ascii="Cambria Math" w:eastAsia="Songti SC" w:hAnsi="Cambria Math" w:cs="Times New Roman"/>
                  <w:sz w:val="24"/>
                </w:rPr>
                <m:t>a</m:t>
              </m:r>
            </m:e>
          </m:d>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d>
            <m:dPr>
              <m:ctrlPr>
                <w:rPr>
                  <w:rFonts w:ascii="Cambria Math" w:eastAsia="Songti SC" w:hAnsi="Cambria Math" w:cs="Times New Roman"/>
                  <w:sz w:val="24"/>
                </w:rPr>
              </m:ctrlPr>
            </m:dPr>
            <m:e>
              <m:r>
                <w:rPr>
                  <w:rFonts w:ascii="Cambria Math" w:eastAsia="Songti SC" w:hAnsi="Cambria Math" w:cs="Times New Roman"/>
                  <w:sz w:val="24"/>
                </w:rPr>
                <m:t>a</m:t>
              </m:r>
            </m:e>
          </m:d>
          <m:r>
            <w:rPr>
              <w:rFonts w:ascii="Cambria Math" w:eastAsia="Songti SC" w:hAnsi="Cambria Math" w:cs="Times New Roman"/>
              <w:sz w:val="24"/>
            </w:rPr>
            <m:t>∩</m:t>
          </m:r>
          <m:sSub>
            <m:sSubPr>
              <m:ctrlPr>
                <w:rPr>
                  <w:rFonts w:ascii="Cambria Math" w:eastAsia="Songti SC" w:hAnsi="Cambria Math" w:cs="Times New Roman"/>
                  <w:sz w:val="24"/>
                </w:rPr>
              </m:ctrlPr>
            </m:sSubPr>
            <m:e>
              <m:r>
                <m:rPr>
                  <m:scr m:val="script"/>
                </m:rPr>
                <w:rPr>
                  <w:rFonts w:ascii="Cambria Math" w:eastAsia="Songti SC" w:hAnsi="Cambria Math" w:cs="Times New Roman"/>
                  <w:sz w:val="24"/>
                </w:rPr>
                <m:t>R</m:t>
              </m:r>
            </m:e>
            <m:sub>
              <m:r>
                <m:rPr>
                  <m:sty m:val="p"/>
                </m:rPr>
                <w:rPr>
                  <w:rFonts w:ascii="Cambria Math" w:eastAsia="Songti SC" w:hAnsi="Cambria Math" w:cs="Times New Roman"/>
                  <w:sz w:val="24"/>
                </w:rPr>
                <m:t>exec</m:t>
              </m:r>
            </m:sub>
          </m:sSub>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审计投影据此定义为</w:t>
      </w:r>
      <w:r>
        <w:rPr>
          <w:rFonts w:ascii="Times New Roman" w:eastAsia="Songti SC" w:hAnsi="Times New Roman" w:cs="Times New Roman" w:hint="eastAsia"/>
          <w:sz w:val="24"/>
        </w:rPr>
        <w:t>：</w:t>
      </w:r>
    </w:p>
    <w:p w14:paraId="6542DF85" w14:textId="21AC7FBB"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A</m:t>
              </m:r>
            </m:e>
            <m:sub>
              <m:r>
                <w:rPr>
                  <w:rFonts w:ascii="Cambria Math" w:eastAsia="Songti SC" w:hAnsi="Cambria Math" w:cs="Times New Roman"/>
                  <w:sz w:val="24"/>
                </w:rPr>
                <m:t>t</m:t>
              </m:r>
            </m:sub>
          </m:sSub>
          <m:r>
            <w:rPr>
              <w:rFonts w:ascii="Cambria Math" w:eastAsia="Songti SC" w:hAnsi="Cambria Math" w:cs="Times New Roman"/>
              <w:sz w:val="24"/>
            </w:rPr>
            <m:t>=π</m:t>
          </m:r>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X</m:t>
                  </m:r>
                </m:e>
                <m:sub>
                  <m:r>
                    <w:rPr>
                      <w:rFonts w:ascii="Cambria Math" w:eastAsia="Songti SC" w:hAnsi="Cambria Math" w:cs="Times New Roman"/>
                      <w:sz w:val="24"/>
                    </w:rPr>
                    <m:t>t</m:t>
                  </m:r>
                </m:sub>
              </m:sSub>
            </m:e>
          </m:d>
          <m:r>
            <w:rPr>
              <w:rFonts w:ascii="Cambria Math" w:eastAsia="Songti SC" w:hAnsi="Cambria Math" w:cs="Times New Roman"/>
              <w:sz w:val="24"/>
            </w:rPr>
            <m:t>=</m:t>
          </m:r>
          <m:d>
            <m:dPr>
              <m:sep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B</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E</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N</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L</m:t>
                  </m:r>
                </m:e>
                <m:sub>
                  <m:r>
                    <w:rPr>
                      <w:rFonts w:ascii="Cambria Math" w:eastAsia="Songti SC" w:hAnsi="Cambria Math" w:cs="Times New Roman"/>
                      <w:sz w:val="24"/>
                    </w:rPr>
                    <m:t>t</m:t>
                  </m:r>
                </m:sub>
              </m:sSub>
            </m:e>
            <m:e>
              <m:sSub>
                <m:sSubPr>
                  <m:ctrlPr>
                    <w:rPr>
                      <w:rFonts w:ascii="Cambria Math" w:eastAsia="Songti SC" w:hAnsi="Cambria Math" w:cs="Times New Roman"/>
                      <w:sz w:val="24"/>
                    </w:rPr>
                  </m:ctrlPr>
                </m:sSubPr>
                <m:e>
                  <m:r>
                    <w:rPr>
                      <w:rFonts w:ascii="Cambria Math" w:eastAsia="Songti SC" w:hAnsi="Cambria Math" w:cs="Times New Roman"/>
                      <w:sz w:val="24"/>
                    </w:rPr>
                    <m:t>π</m:t>
                  </m:r>
                </m:e>
                <m:sub>
                  <m:r>
                    <w:rPr>
                      <w:rFonts w:ascii="Cambria Math" w:eastAsia="Songti SC" w:hAnsi="Cambria Math" w:cs="Times New Roman"/>
                      <w:sz w:val="24"/>
                    </w:rPr>
                    <m:t>G</m:t>
                  </m:r>
                </m:sub>
              </m:sSub>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G</m:t>
                      </m:r>
                    </m:e>
                    <m:sub>
                      <m:r>
                        <w:rPr>
                          <w:rFonts w:ascii="Cambria Math" w:eastAsia="Songti SC" w:hAnsi="Cambria Math" w:cs="Times New Roman"/>
                          <w:sz w:val="24"/>
                        </w:rPr>
                        <m:t>t</m:t>
                      </m:r>
                    </m:sub>
                  </m:sSub>
                </m:e>
              </m:d>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该投影保留余额、资格、NAV、运营状态及解释授权所需的治理信息。操作权限关系在基础模型中保持固定，角色授予和撤销通过治理事件记录。链下原始材料通过证据引用与投影中的业务记录关联。</w:t>
      </w:r>
    </w:p>
    <w:p w14:paraId="5185DF29" w14:textId="1BF2B6C2"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t>生命周期事件历史记为</w:t>
      </w:r>
      <w:r>
        <w:rPr>
          <w:rFonts w:ascii="Times New Roman" w:eastAsia="Songti SC" w:hAnsi="Times New Roman" w:cs="Times New Roman" w:hint="eastAsia"/>
          <w:sz w:val="24"/>
        </w:rPr>
        <w:t>：</w:t>
      </w:r>
    </w:p>
    <w:p w14:paraId="7D260815" w14:textId="7E708899" w:rsidR="006D3C3F" w:rsidRPr="006D3C3F" w:rsidRDefault="006D3C3F" w:rsidP="006D3C3F">
      <w:pPr>
        <w:jc w:val="both"/>
        <w:rPr>
          <w:rFonts w:ascii="Times New Roman" w:eastAsia="Songti SC" w:hAnsi="Times New Roman" w:cs="Times New Roman"/>
          <w:sz w:val="24"/>
        </w:rPr>
      </w:pPr>
      <m:oMathPara>
        <m:oMath>
          <m:sSub>
            <m:sSubPr>
              <m:ctrlPr>
                <w:rPr>
                  <w:rFonts w:ascii="Cambria Math" w:eastAsia="Songti SC" w:hAnsi="Cambria Math" w:cs="Times New Roman"/>
                  <w:sz w:val="24"/>
                </w:rPr>
              </m:ctrlPr>
            </m:sSubPr>
            <m:e>
              <m:r>
                <w:rPr>
                  <w:rFonts w:ascii="Cambria Math" w:eastAsia="Songti SC" w:hAnsi="Cambria Math" w:cs="Times New Roman"/>
                  <w:sz w:val="24"/>
                </w:rPr>
                <m:t>H</m:t>
              </m:r>
            </m:e>
            <m:sub>
              <m:r>
                <w:rPr>
                  <w:rFonts w:ascii="Cambria Math" w:eastAsia="Songti SC" w:hAnsi="Cambria Math" w:cs="Times New Roman"/>
                  <w:sz w:val="24"/>
                </w:rPr>
                <m:t>t</m:t>
              </m:r>
            </m:sub>
          </m:sSub>
          <m:r>
            <w:rPr>
              <w:rFonts w:ascii="Cambria Math" w:eastAsia="Songti SC" w:hAnsi="Cambria Math" w:cs="Times New Roman"/>
              <w:sz w:val="24"/>
            </w:rPr>
            <m:t>=</m:t>
          </m:r>
          <m:d>
            <m:dPr>
              <m:begChr m:val="⟨"/>
              <m:sepChr m:val=","/>
              <m:endChr m:val="⟩"/>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h</m:t>
                  </m:r>
                </m:e>
                <m:sub>
                  <m:r>
                    <w:rPr>
                      <w:rFonts w:ascii="Cambria Math" w:eastAsia="Songti SC" w:hAnsi="Cambria Math" w:cs="Times New Roman"/>
                      <w:sz w:val="24"/>
                    </w:rPr>
                    <m:t>1</m:t>
                  </m:r>
                </m:sub>
              </m:sSub>
            </m:e>
            <m:e>
              <m:r>
                <w:rPr>
                  <w:rFonts w:ascii="Cambria Math" w:eastAsia="Songti SC" w:hAnsi="Cambria Math" w:cs="Times New Roman"/>
                  <w:sz w:val="24"/>
                </w:rPr>
                <m:t>…</m:t>
              </m:r>
            </m:e>
            <m:e>
              <m:sSub>
                <m:sSubPr>
                  <m:ctrlPr>
                    <w:rPr>
                      <w:rFonts w:ascii="Cambria Math" w:eastAsia="Songti SC" w:hAnsi="Cambria Math" w:cs="Times New Roman"/>
                      <w:sz w:val="24"/>
                    </w:rPr>
                  </m:ctrlPr>
                </m:sSubPr>
                <m:e>
                  <m:r>
                    <w:rPr>
                      <w:rFonts w:ascii="Cambria Math" w:eastAsia="Songti SC" w:hAnsi="Cambria Math" w:cs="Times New Roman"/>
                      <w:sz w:val="24"/>
                    </w:rPr>
                    <m:t>h</m:t>
                  </m:r>
                </m:e>
                <m:sub>
                  <m:sSub>
                    <m:sSubPr>
                      <m:ctrlPr>
                        <w:rPr>
                          <w:rFonts w:ascii="Cambria Math" w:eastAsia="Songti SC" w:hAnsi="Cambria Math" w:cs="Times New Roman"/>
                          <w:sz w:val="24"/>
                        </w:rPr>
                      </m:ctrlPr>
                    </m:sSubPr>
                    <m:e>
                      <m:r>
                        <w:rPr>
                          <w:rFonts w:ascii="Cambria Math" w:eastAsia="Songti SC" w:hAnsi="Cambria Math" w:cs="Times New Roman"/>
                          <w:sz w:val="24"/>
                        </w:rPr>
                        <m:t>m</m:t>
                      </m:r>
                    </m:e>
                    <m:sub>
                      <m:r>
                        <w:rPr>
                          <w:rFonts w:ascii="Cambria Math" w:eastAsia="Songti SC" w:hAnsi="Cambria Math" w:cs="Times New Roman"/>
                          <w:sz w:val="24"/>
                        </w:rPr>
                        <m:t>t</m:t>
                      </m:r>
                    </m:sub>
                  </m:sSub>
                </m:sub>
              </m:sSub>
            </m:e>
          </m:d>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其中，</w:t>
      </w:r>
      <m:oMath>
        <m:sSub>
          <m:sSubPr>
            <m:ctrlPr>
              <w:rPr>
                <w:rFonts w:ascii="Cambria Math" w:eastAsia="Songti SC" w:hAnsi="Cambria Math" w:cs="Times New Roman"/>
                <w:sz w:val="24"/>
              </w:rPr>
            </m:ctrlPr>
          </m:sSubPr>
          <m:e>
            <m:r>
              <w:rPr>
                <w:rFonts w:ascii="Cambria Math" w:eastAsia="Songti SC" w:hAnsi="Cambria Math" w:cs="Times New Roman"/>
                <w:sz w:val="24"/>
              </w:rPr>
              <m:t>m</m:t>
            </m:r>
          </m:e>
          <m:sub>
            <m:r>
              <w:rPr>
                <w:rFonts w:ascii="Cambria Math" w:eastAsia="Songti SC" w:hAnsi="Cambria Math" w:cs="Times New Roman"/>
                <w:sz w:val="24"/>
              </w:rPr>
              <m:t>t</m:t>
            </m:r>
          </m:sub>
        </m:sSub>
      </m:oMath>
      <w:r>
        <w:rPr>
          <w:rFonts w:ascii="Times New Roman" w:eastAsia="Songti SC" w:hAnsi="Times New Roman" w:cs="Times New Roman"/>
          <w:sz w:val="24"/>
        </w:rPr>
        <w:t xml:space="preserve">为处理至请求序号 </w:t>
      </w:r>
      <m:oMath>
        <m:r>
          <w:rPr>
            <w:rFonts w:ascii="Cambria Math" w:eastAsia="Songti SC" w:hAnsi="Cambria Math" w:cs="Times New Roman"/>
            <w:sz w:val="24"/>
          </w:rPr>
          <m:t>t</m:t>
        </m:r>
      </m:oMath>
      <w:r>
        <w:rPr>
          <w:rFonts w:ascii="Times New Roman" w:eastAsia="Songti SC" w:hAnsi="Times New Roman" w:cs="Times New Roman"/>
          <w:sz w:val="24"/>
        </w:rPr>
        <w:t>时纳入回放的事件数量。接受操作将业务状态更新与相应事件生成纳入同一提交过程。事件携带操作类型、执行主体、受影响对象、状态变化、NAV版本或治理变更、账本顺序及证据引用。资格事件记录更新后的资格与持仓处置状态，NAV事件记录新增估值内容，角色事件记录角色授予或撤销，运营事件记录暂停或恢复后的状态，份额事件记录相关账户的余额变化及申购赎回采用的估值版本。转让事件保存双方的等量余额变化，不引入NAV引用。</w:t>
      </w:r>
    </w:p>
    <w:p w14:paraId="37111985" w14:textId="3E35405B" w:rsidR="006D3C3F" w:rsidRPr="006D3C3F" w:rsidRDefault="006D3C3F" w:rsidP="006D3C3F">
      <w:pPr>
        <w:jc w:val="both"/>
        <w:rPr>
          <w:rFonts w:ascii="Times New Roman" w:eastAsia="Songti SC" w:hAnsi="Times New Roman" w:cs="Times New Roman"/>
          <w:sz w:val="24"/>
        </w:rPr>
      </w:pPr>
      <w:r>
        <w:rPr>
          <w:rFonts w:ascii="Times New Roman" w:eastAsia="Songti SC" w:hAnsi="Times New Roman" w:cs="Times New Roman"/>
          <w:sz w:val="24"/>
        </w:rPr>
        <w:lastRenderedPageBreak/>
        <w:t xml:space="preserve">事件按账本执行顺序排列，交易标识与日志序号确定其归属和次序。从可信初始投影或检查点 </w:t>
      </w:r>
      <m:oMath>
        <m:sSub>
          <m:sSubPr>
            <m:ctrlPr>
              <w:rPr>
                <w:rFonts w:ascii="Cambria Math" w:eastAsia="Songti SC" w:hAnsi="Cambria Math" w:cs="Times New Roman"/>
                <w:sz w:val="24"/>
              </w:rPr>
            </m:ctrlPr>
          </m:sSubPr>
          <m:e>
            <m:r>
              <w:rPr>
                <w:rFonts w:ascii="Cambria Math" w:eastAsia="Songti SC" w:hAnsi="Cambria Math" w:cs="Times New Roman"/>
                <w:sz w:val="24"/>
              </w:rPr>
              <m:t>A</m:t>
            </m:r>
          </m:e>
          <m:sub>
            <m:r>
              <w:rPr>
                <w:rFonts w:ascii="Cambria Math" w:eastAsia="Songti SC" w:hAnsi="Cambria Math" w:cs="Times New Roman"/>
                <w:sz w:val="24"/>
              </w:rPr>
              <m:t>0</m:t>
            </m:r>
          </m:sub>
        </m:sSub>
      </m:oMath>
      <w:r>
        <w:rPr>
          <w:rFonts w:ascii="Times New Roman" w:eastAsia="Songti SC" w:hAnsi="Times New Roman" w:cs="Times New Roman"/>
          <w:sz w:val="24"/>
        </w:rPr>
        <w:t xml:space="preserve">开始，回放函数 </w:t>
      </w:r>
      <m:oMath>
        <m:r>
          <w:rPr>
            <w:rFonts w:ascii="Cambria Math" w:eastAsia="Songti SC" w:hAnsi="Cambria Math" w:cs="Times New Roman"/>
            <w:sz w:val="24"/>
          </w:rPr>
          <m:t>R</m:t>
        </m:r>
      </m:oMath>
      <w:r>
        <w:rPr>
          <w:rFonts w:ascii="Times New Roman" w:eastAsia="Songti SC" w:hAnsi="Times New Roman" w:cs="Times New Roman"/>
          <w:sz w:val="24"/>
        </w:rPr>
        <w:t>根据事件类型更新相应变量</w:t>
      </w:r>
      <w:r>
        <w:rPr>
          <w:rFonts w:ascii="Times New Roman" w:eastAsia="Songti SC" w:hAnsi="Times New Roman" w:cs="Times New Roman" w:hint="eastAsia"/>
          <w:sz w:val="24"/>
        </w:rPr>
        <w:t>：</w:t>
      </w:r>
    </w:p>
    <w:p w14:paraId="574510ED" w14:textId="530B76F1" w:rsidR="006D3C3F" w:rsidRPr="006D3C3F" w:rsidRDefault="006D3C3F" w:rsidP="006D3C3F">
      <w:pPr>
        <w:jc w:val="both"/>
        <w:rPr>
          <w:rFonts w:ascii="Times New Roman" w:eastAsia="Songti SC" w:hAnsi="Times New Roman" w:cs="Times New Roman"/>
          <w:sz w:val="24"/>
        </w:rPr>
      </w:pPr>
      <m:oMathPara>
        <m:oMath>
          <m:sSup>
            <m:sSupPr>
              <m:ctrlPr>
                <w:rPr>
                  <w:rFonts w:ascii="Cambria Math" w:eastAsia="Songti SC" w:hAnsi="Cambria Math" w:cs="Times New Roman"/>
                  <w:sz w:val="24"/>
                </w:rPr>
              </m:ctrlPr>
            </m:sSupPr>
            <m:e>
              <m:acc>
                <m:accPr>
                  <m:ctrlPr>
                    <w:rPr>
                      <w:rFonts w:ascii="Cambria Math" w:eastAsia="Songti SC" w:hAnsi="Cambria Math" w:cs="Times New Roman"/>
                      <w:sz w:val="24"/>
                    </w:rPr>
                  </m:ctrlPr>
                </m:accPr>
                <m:e>
                  <m:r>
                    <w:rPr>
                      <w:rFonts w:ascii="Cambria Math" w:eastAsia="Songti SC" w:hAnsi="Cambria Math" w:cs="Times New Roman"/>
                      <w:sz w:val="24"/>
                    </w:rPr>
                    <m:t>A</m:t>
                  </m:r>
                </m:e>
              </m:acc>
            </m:e>
            <m:sup>
              <m:d>
                <m:dPr>
                  <m:ctrlPr>
                    <w:rPr>
                      <w:rFonts w:ascii="Cambria Math" w:eastAsia="Songti SC" w:hAnsi="Cambria Math" w:cs="Times New Roman"/>
                      <w:sz w:val="24"/>
                    </w:rPr>
                  </m:ctrlPr>
                </m:dPr>
                <m:e>
                  <m:r>
                    <w:rPr>
                      <w:rFonts w:ascii="Cambria Math" w:eastAsia="Songti SC" w:hAnsi="Cambria Math" w:cs="Times New Roman"/>
                      <w:sz w:val="24"/>
                    </w:rPr>
                    <m:t>0</m:t>
                  </m:r>
                </m:e>
              </m:d>
            </m:sup>
          </m:sSup>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A</m:t>
              </m:r>
            </m:e>
            <m:sub>
              <m:r>
                <w:rPr>
                  <w:rFonts w:ascii="Cambria Math" w:eastAsia="Songti SC" w:hAnsi="Cambria Math" w:cs="Times New Roman"/>
                  <w:sz w:val="24"/>
                </w:rPr>
                <m:t>0</m:t>
              </m:r>
            </m:sub>
          </m:sSub>
          <m:r>
            <w:rPr>
              <w:rFonts w:ascii="Cambria Math" w:eastAsia="Songti SC" w:hAnsi="Cambria Math" w:cs="Times New Roman"/>
              <w:sz w:val="24"/>
            </w:rPr>
            <m:t>, </m:t>
          </m:r>
          <m:sSup>
            <m:sSupPr>
              <m:ctrlPr>
                <w:rPr>
                  <w:rFonts w:ascii="Cambria Math" w:eastAsia="Songti SC" w:hAnsi="Cambria Math" w:cs="Times New Roman"/>
                  <w:sz w:val="24"/>
                </w:rPr>
              </m:ctrlPr>
            </m:sSupPr>
            <m:e>
              <m:acc>
                <m:accPr>
                  <m:ctrlPr>
                    <w:rPr>
                      <w:rFonts w:ascii="Cambria Math" w:eastAsia="Songti SC" w:hAnsi="Cambria Math" w:cs="Times New Roman"/>
                      <w:sz w:val="24"/>
                    </w:rPr>
                  </m:ctrlPr>
                </m:accPr>
                <m:e>
                  <m:r>
                    <w:rPr>
                      <w:rFonts w:ascii="Cambria Math" w:eastAsia="Songti SC" w:hAnsi="Cambria Math" w:cs="Times New Roman"/>
                      <w:sz w:val="24"/>
                    </w:rPr>
                    <m:t>A</m:t>
                  </m:r>
                </m:e>
              </m:acc>
            </m:e>
            <m:sup>
              <m:d>
                <m:dPr>
                  <m:ctrlPr>
                    <w:rPr>
                      <w:rFonts w:ascii="Cambria Math" w:eastAsia="Songti SC" w:hAnsi="Cambria Math" w:cs="Times New Roman"/>
                      <w:sz w:val="24"/>
                    </w:rPr>
                  </m:ctrlPr>
                </m:dPr>
                <m:e>
                  <m:r>
                    <m:rPr>
                      <m:scr m:val="script"/>
                      <m:sty m:val="p"/>
                    </m:rPr>
                    <w:rPr>
                      <w:rFonts w:ascii="Cambria Math" w:eastAsia="Songti SC" w:hAnsi="Cambria Math" w:cs="Times New Roman"/>
                      <w:sz w:val="24"/>
                    </w:rPr>
                    <m:t>l</m:t>
                  </m:r>
                </m:e>
              </m:d>
            </m:sup>
          </m:sSup>
          <m:r>
            <w:rPr>
              <w:rFonts w:ascii="Cambria Math" w:eastAsia="Songti SC" w:hAnsi="Cambria Math" w:cs="Times New Roman"/>
              <w:sz w:val="24"/>
            </w:rPr>
            <m:t>=R</m:t>
          </m:r>
          <m:d>
            <m:dPr>
              <m:sepChr m:val=","/>
              <m:ctrlPr>
                <w:rPr>
                  <w:rFonts w:ascii="Cambria Math" w:eastAsia="Songti SC" w:hAnsi="Cambria Math" w:cs="Times New Roman"/>
                  <w:sz w:val="24"/>
                </w:rPr>
              </m:ctrlPr>
            </m:dPr>
            <m:e>
              <m:sSup>
                <m:sSupPr>
                  <m:ctrlPr>
                    <w:rPr>
                      <w:rFonts w:ascii="Cambria Math" w:eastAsia="Songti SC" w:hAnsi="Cambria Math" w:cs="Times New Roman"/>
                      <w:sz w:val="24"/>
                    </w:rPr>
                  </m:ctrlPr>
                </m:sSupPr>
                <m:e>
                  <m:acc>
                    <m:accPr>
                      <m:ctrlPr>
                        <w:rPr>
                          <w:rFonts w:ascii="Cambria Math" w:eastAsia="Songti SC" w:hAnsi="Cambria Math" w:cs="Times New Roman"/>
                          <w:sz w:val="24"/>
                        </w:rPr>
                      </m:ctrlPr>
                    </m:accPr>
                    <m:e>
                      <m:r>
                        <w:rPr>
                          <w:rFonts w:ascii="Cambria Math" w:eastAsia="Songti SC" w:hAnsi="Cambria Math" w:cs="Times New Roman"/>
                          <w:sz w:val="24"/>
                        </w:rPr>
                        <m:t>A</m:t>
                      </m:r>
                    </m:e>
                  </m:acc>
                </m:e>
                <m:sup>
                  <m:d>
                    <m:dPr>
                      <m:ctrlPr>
                        <w:rPr>
                          <w:rFonts w:ascii="Cambria Math" w:eastAsia="Songti SC" w:hAnsi="Cambria Math" w:cs="Times New Roman"/>
                          <w:sz w:val="24"/>
                        </w:rPr>
                      </m:ctrlPr>
                    </m:dPr>
                    <m:e>
                      <m:r>
                        <m:rPr>
                          <m:scr m:val="script"/>
                          <m:sty m:val="p"/>
                        </m:rPr>
                        <w:rPr>
                          <w:rFonts w:ascii="Cambria Math" w:eastAsia="Songti SC" w:hAnsi="Cambria Math" w:cs="Times New Roman"/>
                          <w:sz w:val="24"/>
                        </w:rPr>
                        <m:t>l</m:t>
                      </m:r>
                      <m:r>
                        <w:rPr>
                          <w:rFonts w:ascii="Cambria Math" w:eastAsia="Songti SC" w:hAnsi="Cambria Math" w:cs="Times New Roman"/>
                          <w:sz w:val="24"/>
                        </w:rPr>
                        <m:t>-1</m:t>
                      </m:r>
                    </m:e>
                  </m:d>
                </m:sup>
              </m:sSup>
            </m:e>
            <m:e>
              <m:sSub>
                <m:sSubPr>
                  <m:ctrlPr>
                    <w:rPr>
                      <w:rFonts w:ascii="Cambria Math" w:eastAsia="Songti SC" w:hAnsi="Cambria Math" w:cs="Times New Roman"/>
                      <w:sz w:val="24"/>
                    </w:rPr>
                  </m:ctrlPr>
                </m:sSubPr>
                <m:e>
                  <m:r>
                    <w:rPr>
                      <w:rFonts w:ascii="Cambria Math" w:eastAsia="Songti SC" w:hAnsi="Cambria Math" w:cs="Times New Roman"/>
                      <w:sz w:val="24"/>
                    </w:rPr>
                    <m:t>h</m:t>
                  </m:r>
                </m:e>
                <m:sub>
                  <m:r>
                    <m:rPr>
                      <m:scr m:val="script"/>
                      <m:sty m:val="p"/>
                    </m:rPr>
                    <w:rPr>
                      <w:rFonts w:ascii="Cambria Math" w:eastAsia="Songti SC" w:hAnsi="Cambria Math" w:cs="Times New Roman"/>
                      <w:sz w:val="24"/>
                    </w:rPr>
                    <m:t>l</m:t>
                  </m:r>
                </m:sub>
              </m:sSub>
            </m:e>
          </m:d>
          <m:r>
            <w:rPr>
              <w:rFonts w:ascii="Cambria Math" w:eastAsia="Songti SC" w:hAnsi="Cambria Math" w:cs="Times New Roman"/>
              <w:sz w:val="24"/>
            </w:rPr>
            <m:t>, </m:t>
          </m:r>
          <m:r>
            <m:rPr>
              <m:scr m:val="script"/>
              <m:sty m:val="p"/>
            </m:rPr>
            <w:rPr>
              <w:rFonts w:ascii="Cambria Math" w:eastAsia="Songti SC" w:hAnsi="Cambria Math" w:cs="Times New Roman"/>
              <w:sz w:val="24"/>
            </w:rPr>
            <m:t>l</m:t>
          </m:r>
          <m:r>
            <w:rPr>
              <w:rFonts w:ascii="Cambria Math" w:eastAsia="Songti SC" w:hAnsi="Cambria Math" w:cs="Times New Roman"/>
              <w:sz w:val="24"/>
            </w:rPr>
            <m:t>=1,…,</m:t>
          </m:r>
          <m:sSub>
            <m:sSubPr>
              <m:ctrlPr>
                <w:rPr>
                  <w:rFonts w:ascii="Cambria Math" w:eastAsia="Songti SC" w:hAnsi="Cambria Math" w:cs="Times New Roman"/>
                  <w:sz w:val="24"/>
                </w:rPr>
              </m:ctrlPr>
            </m:sSubPr>
            <m:e>
              <m:r>
                <w:rPr>
                  <w:rFonts w:ascii="Cambria Math" w:eastAsia="Songti SC" w:hAnsi="Cambria Math" w:cs="Times New Roman"/>
                  <w:sz w:val="24"/>
                </w:rPr>
                <m:t>m</m:t>
              </m:r>
            </m:e>
            <m:sub>
              <m:r>
                <w:rPr>
                  <w:rFonts w:ascii="Cambria Math" w:eastAsia="Songti SC" w:hAnsi="Cambria Math" w:cs="Times New Roman"/>
                  <w:sz w:val="24"/>
                </w:rPr>
                <m:t>t</m:t>
              </m:r>
            </m:sub>
          </m:sSub>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资格、NAV和运营事件更新对应投影变量，角色事件更新执行相关角色分配，份额事件将余额变化应用于相关账户。若初始投影与业务状态一致，事件完整且按确定顺序排列，并且每次有效操作的事件准确表达其对审计投影的状态变化，则检查点上的投影一致性关系为：</w:t>
      </w:r>
    </w:p>
    <w:p w14:paraId="7F05CBF7" w14:textId="2B4EB432" w:rsidR="006D3C3F" w:rsidRPr="006D3C3F" w:rsidRDefault="006D3C3F" w:rsidP="006D3C3F">
      <w:pPr>
        <w:jc w:val="both"/>
        <w:rPr>
          <w:rFonts w:ascii="Times New Roman" w:eastAsia="Songti SC" w:hAnsi="Times New Roman" w:cs="Times New Roman"/>
          <w:sz w:val="24"/>
        </w:rPr>
      </w:pPr>
      <m:oMathPara>
        <m:oMath>
          <m:sSup>
            <m:sSupPr>
              <m:ctrlPr>
                <w:rPr>
                  <w:rFonts w:ascii="Cambria Math" w:eastAsia="Songti SC" w:hAnsi="Cambria Math" w:cs="Times New Roman"/>
                  <w:sz w:val="24"/>
                </w:rPr>
              </m:ctrlPr>
            </m:sSupPr>
            <m:e>
              <m:acc>
                <m:accPr>
                  <m:ctrlPr>
                    <w:rPr>
                      <w:rFonts w:ascii="Cambria Math" w:eastAsia="Songti SC" w:hAnsi="Cambria Math" w:cs="Times New Roman"/>
                      <w:sz w:val="24"/>
                    </w:rPr>
                  </m:ctrlPr>
                </m:accPr>
                <m:e>
                  <m:r>
                    <w:rPr>
                      <w:rFonts w:ascii="Cambria Math" w:eastAsia="Songti SC" w:hAnsi="Cambria Math" w:cs="Times New Roman"/>
                      <w:sz w:val="24"/>
                    </w:rPr>
                    <m:t>A</m:t>
                  </m:r>
                </m:e>
              </m:acc>
            </m:e>
            <m:sup>
              <m:d>
                <m:dPr>
                  <m:ctrlPr>
                    <w:rPr>
                      <w:rFonts w:ascii="Cambria Math" w:eastAsia="Songti SC" w:hAnsi="Cambria Math" w:cs="Times New Roman"/>
                      <w:sz w:val="24"/>
                    </w:rPr>
                  </m:ctrlPr>
                </m:dPr>
                <m:e>
                  <m:sSub>
                    <m:sSubPr>
                      <m:ctrlPr>
                        <w:rPr>
                          <w:rFonts w:ascii="Cambria Math" w:eastAsia="Songti SC" w:hAnsi="Cambria Math" w:cs="Times New Roman"/>
                          <w:sz w:val="24"/>
                        </w:rPr>
                      </m:ctrlPr>
                    </m:sSubPr>
                    <m:e>
                      <m:r>
                        <w:rPr>
                          <w:rFonts w:ascii="Cambria Math" w:eastAsia="Songti SC" w:hAnsi="Cambria Math" w:cs="Times New Roman"/>
                          <w:sz w:val="24"/>
                        </w:rPr>
                        <m:t>m</m:t>
                      </m:r>
                    </m:e>
                    <m:sub>
                      <m:r>
                        <w:rPr>
                          <w:rFonts w:ascii="Cambria Math" w:eastAsia="Songti SC" w:hAnsi="Cambria Math" w:cs="Times New Roman"/>
                          <w:sz w:val="24"/>
                        </w:rPr>
                        <m:t>t</m:t>
                      </m:r>
                    </m:sub>
                  </m:sSub>
                </m:e>
              </m:d>
            </m:sup>
          </m:sSup>
          <m:r>
            <w:rPr>
              <w:rFonts w:ascii="Cambria Math" w:eastAsia="Songti SC" w:hAnsi="Cambria Math" w:cs="Times New Roman"/>
              <w:sz w:val="24"/>
            </w:rPr>
            <m:t>=</m:t>
          </m:r>
          <m:sSub>
            <m:sSubPr>
              <m:ctrlPr>
                <w:rPr>
                  <w:rFonts w:ascii="Cambria Math" w:eastAsia="Songti SC" w:hAnsi="Cambria Math" w:cs="Times New Roman"/>
                  <w:sz w:val="24"/>
                </w:rPr>
              </m:ctrlPr>
            </m:sSubPr>
            <m:e>
              <m:r>
                <w:rPr>
                  <w:rFonts w:ascii="Cambria Math" w:eastAsia="Songti SC" w:hAnsi="Cambria Math" w:cs="Times New Roman"/>
                  <w:sz w:val="24"/>
                </w:rPr>
                <m:t>A</m:t>
              </m:r>
            </m:e>
            <m:sub>
              <m:r>
                <w:rPr>
                  <w:rFonts w:ascii="Cambria Math" w:eastAsia="Songti SC" w:hAnsi="Cambria Math" w:cs="Times New Roman"/>
                  <w:sz w:val="24"/>
                </w:rPr>
                <m:t>t</m:t>
              </m:r>
            </m:sub>
          </m:sSub>
          <m:r>
            <w:rPr>
              <w:rFonts w:ascii="Cambria Math" w:eastAsia="Songti SC" w:hAnsi="Cambria Math" w:cs="Times New Roman"/>
              <w:sz w:val="24"/>
            </w:rPr>
            <m:t>.</m:t>
          </m:r>
          <m:r>
            <w:rPr>
              <w:rFonts w:ascii="Times New Roman" w:eastAsia="Songti SC" w:hAnsi="Times New Roman" w:cs="Times New Roman"/>
              <w:i/>
              <w:sz w:val="24"/>
            </w:rPr>
            <w:br/>
          </m:r>
        </m:oMath>
      </m:oMathPara>
      <w:r>
        <w:rPr>
          <w:rFonts w:ascii="Times New Roman" w:eastAsia="Songti SC" w:hAnsi="Times New Roman" w:cs="Times New Roman"/>
          <w:sz w:val="24"/>
        </w:rPr>
        <w:t>历史授权依据角色变更顺序与操作权限关系解释，历史估值依据业务事件引用的NAV记录解释。回放范围为已生效的生命周期状态；采用分阶段处理时，请求登记通过业务标识与生效事件关联，份额余额在生效阶段更新。拒绝请求不产生有效业务状态增量，其执行记录与状态回放事件区分保存。账本排序、事件可获得性、可信起点和授权凭证管理构成重构条件。链上事件保存机构确认结果进入业务执行的路径，链下材料提供资格审查、估值批准、法律关系和现金履约依据。投影回放检验生命周期记录的一致性，责任主体、估值关联和证据引用支持业务过程的解释与审计追溯。</w:t>
      </w:r>
    </w:p>
    <w:p w14:paraId="2220F6AE" w14:textId="77777777" w:rsidR="001A004A" w:rsidRDefault="00000000">
      <w:pPr>
        <w:jc w:val="both"/>
        <w:rPr>
          <w:rFonts w:ascii="Times New Roman" w:hAnsi="Times New Roman" w:cs="Times New Roman"/>
          <w:b/>
          <w:bCs/>
          <w:sz w:val="24"/>
          <w:lang w:val="en-AU"/>
        </w:rPr>
      </w:pPr>
      <w:r>
        <w:rPr>
          <w:rFonts w:ascii="Times New Roman" w:hAnsi="Times New Roman" w:cs="Times New Roman"/>
          <w:b/>
          <w:bCs/>
          <w:sz w:val="24"/>
          <w:lang w:val="en-AU"/>
        </w:rPr>
        <w:t>4. Hybrid Blockchain Architecture</w:t>
      </w:r>
    </w:p>
    <w:p w14:paraId="7DE1A895" w14:textId="11948161"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 xml:space="preserve">4.1 机构决策边界</w:t>
      </w:r>
    </w:p>
    <w:p w14:paraId="550D67D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受监管场外基金的份额处理依赖不同机构形成的业务判断。资格审查结合投资者材料与合规要求，NAV确认依赖资产信息、估值政策和审批程序，治理决定依据基金文件及机构授权。这些活动具有不同的专业基础和更新周期，其结果却共同影响份额操作。机构决策边界保留判断的形成责任，将经确认的结果转化为共享执行条件；状态执行边界规定这些条件如何共同约束业务生效；审计证据边界保留结果使用与支持材料之间的历史联系。图1以三类边界组织机构参与方、共享执行层和证据存储，体现业务判断、执行控制与历史复核之间的分工。</w:t>
      </w:r>
    </w:p>
    <w:p w14:paraId="7E56A6B5"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i/>
          <w:iCs/>
          <w:sz w:val="24"/>
        </w:rPr>
        <w:t>图1 受监管场外基金管理的混合区块链架构与三类边界</w:t>
      </w:r>
      <w:r>
        <w:rPr>
          <w:rFonts w:ascii="Times New Roman" w:eastAsia="Songti SC" w:hAnsi="Times New Roman" w:cs="Times New Roman"/>
          <w:sz w:val="24"/>
        </w:rPr>
        <w:br/>
      </w:r>
      <w:r>
        <w:rPr>
          <w:rFonts w:ascii="Times New Roman" w:eastAsia="Songti SC" w:hAnsi="Times New Roman" w:cs="Times New Roman"/>
          <w:i/>
          <w:iCs/>
          <w:sz w:val="24"/>
        </w:rPr>
        <w:t>Figure 1. Hybrid Blockchain Architecture and Three Boundaries for Regulated OTC Fund Administration.</w:t>
      </w:r>
    </w:p>
    <w:p w14:paraId="5D465FA5"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机构判断进入共享执行时，需要明确其作用对象、确认来源和业务依据。资格决定被表达为投资者的参与与持仓处置状态，估值批准被表达为具有日期和确认信息的NAV记录，治理决定被表达为角色分配或运营状态。提交权限限定结果的更新主体，确认信息标识相应机构判断，证据引用定位支持材料。结构化结果使专业判断能够参与操作检查，同时保留其责任来源，支持对结果更新及后续使用的追溯。</w:t>
      </w:r>
    </w:p>
    <w:p w14:paraId="6FD01A60"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lastRenderedPageBreak/>
        <w:t>表2按照业务事项对应机构活动、执行结果和复核材料，以责任矩阵补充主架构图中的分工。</w:t>
      </w:r>
    </w:p>
    <w:p w14:paraId="1D90C21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b/>
          <w:bCs/>
          <w:sz w:val="24"/>
        </w:rPr>
        <w:t>表2 机构判断、共享执行与审计依据的责任矩阵</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7"/>
        <w:gridCol w:w="2407"/>
        <w:gridCol w:w="2407"/>
        <w:gridCol w:w="2279"/>
      </w:tblGrid>
      <w:tr w:rsidR="00B97736" w:rsidRPr="00B97736" w14:paraId="00B577EF" w14:textId="77777777">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573F2CE" w14:textId="77777777"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业务事项</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C36B6FB" w14:textId="77777777"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机构活动</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A169579" w14:textId="77777777"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共享执行中的结果</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F711814" w14:textId="77777777"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审计支持材料</w:t>
            </w:r>
          </w:p>
        </w:tc>
      </w:tr>
      <w:tr w:rsidR="00B97736" w:rsidRPr="00B97736" w14:paraId="393D7794" w14:textId="7777777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CC6B5E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投资者资格</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7E3E6EC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身份核验、合规审查与资格决定</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C2DF076"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参与资格及持仓处置状态</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96EC30C"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审查材料与决定记录</w:t>
            </w:r>
          </w:p>
        </w:tc>
      </w:tr>
      <w:tr w:rsidR="00B97736" w:rsidRPr="00B97736" w14:paraId="58EEB73C" w14:textId="7777777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62148E7"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NAV确认</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5F67B1E"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估值计算、审核与批准</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BDE0664"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NAV版本及机构确认信息</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FA7F1A9"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估值底稿与批准文件</w:t>
            </w:r>
          </w:p>
        </w:tc>
      </w:tr>
      <w:tr w:rsidR="00B97736" w:rsidRPr="00B97736" w14:paraId="03EFFA4C" w14:textId="7777777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8F866A4"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治理授权</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C86865B"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职责配置、角色授予与撤销</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FDD36A9"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治理角色分配</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486D6EC"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授权文件与变更记录</w:t>
            </w:r>
          </w:p>
        </w:tc>
      </w:tr>
      <w:tr w:rsidR="00B97736" w:rsidRPr="00B97736" w14:paraId="48EEB95A" w14:textId="7777777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861F1EE"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运营管理</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08AF367"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暂停、恢复及相关治理决定</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7DA89C3E"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基金运营状态</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87EF0F5"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决策记录与生效依据</w:t>
            </w:r>
          </w:p>
        </w:tc>
      </w:tr>
      <w:tr w:rsidR="00B97736" w:rsidRPr="00B97736" w14:paraId="5AE0FA54" w14:textId="7777777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9497D14"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份额业务</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3501166"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指令处理及现金结算</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1B86B8C"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生效操作、份额变化与业务引用</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B028624"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投资者指令、确认及结算凭证</w:t>
            </w:r>
          </w:p>
        </w:tc>
      </w:tr>
    </w:tbl>
    <w:p w14:paraId="03F04E0C"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这一分配将业务条件的使用与机构责任衔接起来。资格、估值和治理结果作为持续条件参与后续操作，投资者指令与现金结算记录则通过业务标识对应具体份额变化。不同材料分别支持对判断形成、登记结果和业务履行的核查，使同一业务中的责任主体及其依据具有可辨识的对应关系。</w:t>
      </w:r>
    </w:p>
    <w:p w14:paraId="34EEDA8E" w14:textId="03EB6FAB"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 xml:space="preserve">4.2 Minimum Executable State and Constraint Enforcement</w:t>
      </w:r>
    </w:p>
    <w:p w14:paraId="4A435C44"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机构结果的更新周期与单笔业务的处理进度并不完全一致。资格变化可以影响多个请求，NAV对应特定估值日期或处理批次，权限调整和运营决定也可能改变多类操作的执行范围。请求准备时采用的条件因而可能与实际生效时的条件不同。状态执行边界将持续维护的结果纳入共享状态，在份额变化发生时共同判断其适用性，使跨机构协作从交换确认结果延伸到使用一致的执行依据。</w:t>
      </w:r>
    </w:p>
    <w:p w14:paraId="15377F03"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执行信息的选择由这种业务依赖决定。余额、资格与持仓处置、NAV、治理权限和运营状态直接影响操作能否被接受，需要在操作生效时共同可用。身份文件、估值底稿和结算凭证主要解释机构判断及履行事实，通过引用与相关记录衔接。最小可执行状态的设计因此围绕信息的业务作用展开：持续条件由共享状态维护，具体请求使用相应对象、参数和版本，原始材料由机构保存。这种分配降低了业</w:t>
        <w:lastRenderedPageBreak/>
        <w:t>务执行对完整文件传递的需求，也使日常检查与受控材料调阅具有不同的信息范围。</w:t>
      </w:r>
    </w:p>
    <w:p w14:paraId="0D10558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图2将约束判断置于请求与状态更新之间，突出业务准备和实际生效的时间关系。应用系统中的预检查支持请求组织与筛选，链上判断则依据执行时登记的状态及相应业务规则。生命周期模型中的有效性谓词在这里承担联合约束的作用，使不同机构形成的资格、估值和治理结果共同用于判断操作能否生效。满足适用条件的操作更新对应状态，并在同一提交过程中生成事件，使业务生效与历史记录相互对应。</w:t>
      </w:r>
    </w:p>
    <w:p w14:paraId="46AEFCA8"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i/>
          <w:iCs/>
          <w:sz w:val="24"/>
        </w:rPr>
        <w:t>图2 生命周期操作的约束判断与状态更新流程</w:t>
      </w:r>
      <w:r>
        <w:rPr>
          <w:rFonts w:ascii="Times New Roman" w:eastAsia="Songti SC" w:hAnsi="Times New Roman" w:cs="Times New Roman"/>
          <w:sz w:val="24"/>
        </w:rPr>
        <w:br/>
      </w:r>
      <w:r>
        <w:rPr>
          <w:rFonts w:ascii="Times New Roman" w:eastAsia="Songti SC" w:hAnsi="Times New Roman" w:cs="Times New Roman"/>
          <w:i/>
          <w:iCs/>
          <w:sz w:val="24"/>
        </w:rPr>
        <w:t>Figure 2. Constraint Checking and State Update Workflow for Lifecycle Operations.</w:t>
      </w:r>
    </w:p>
    <w:p w14:paraId="421F8B3A"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将约束落实在生效位置，使条件变更的作用时点和范围更加明确。资格与治理结果依据其生效状态及操作适用范围参与后续判断，已完成业务保留执行时采用的记录。对于分阶段处理，请求登记与生效操作通过业务标识衔接，份额余额在生效阶段更新。指令形成、条件变化和登记结果由此能够在业务历史中区分，为解释请求处理期间的状态变化提供依据。</w:t>
      </w:r>
    </w:p>
    <w:p w14:paraId="4F2D13E0" w14:textId="32E1096C"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t xml:space="preserve">4.3 Versioned NAV Binding</w:t>
      </w:r>
    </w:p>
    <w:p w14:paraId="0F60501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NAV同时参与机构决策、份额执行和审计解释。估值数值用于份额计算，日期和批准信息参与业务适用性判断，底稿及审批材料说明确认结果的形成。版本化设计将一次估值确认保存为独立记录，使同一结果在执行和复核中具有明确的引用对象。图3中的版本序列保留持续估值活动，申购赎回则绑定其中的特定版本，使估值更新与历史业务引用能够分别维护。</w:t>
      </w:r>
    </w:p>
    <w:p w14:paraId="7CEE5D45"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i/>
          <w:iCs/>
          <w:sz w:val="24"/>
        </w:rPr>
        <w:t>图3 NAV版本、申购赎回绑定与历史引用关系</w:t>
      </w:r>
      <w:r>
        <w:rPr>
          <w:rFonts w:ascii="Times New Roman" w:eastAsia="Songti SC" w:hAnsi="Times New Roman" w:cs="Times New Roman"/>
          <w:sz w:val="24"/>
        </w:rPr>
        <w:br/>
      </w:r>
      <w:r>
        <w:rPr>
          <w:rFonts w:ascii="Times New Roman" w:eastAsia="Songti SC" w:hAnsi="Times New Roman" w:cs="Times New Roman"/>
          <w:i/>
          <w:iCs/>
          <w:sz w:val="24"/>
        </w:rPr>
        <w:t>Figure 3. NAV Versions, Subscription and Redemption Binding, and Historical References.</w:t>
      </w:r>
    </w:p>
    <w:p w14:paraId="5F7D201E"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版本登记与业务适用性分别承担对象识别和条件判断的作用。登记记录保存估值内容及确认来源，适用规则将该记录与请求所属日期、处理批次或授权安排对应。申购赎回通过版本标识使用估值，并在生效事件中保留该引用。新版本经批准并满足适用规则后，可供相应业务引用；后续估值更新不改变既有业务保存的版本引用。版本内容的持续保存与业务适用性的逐次判断由此相互配合，使当前估值选择和历史依据核查各有明确对象。</w:t>
      </w:r>
    </w:p>
    <w:p w14:paraId="5E460912"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申购赎回事件通过NAV版本标识关联执行时采用的估值记录，估值记录再通过证据引用定位相应底稿和批准材料。审计据此核对份额计算所采用的估值，并追溯该结果的机构确认依据。版本绑定将登记变化、估值结果和支持材料连接起来，使数量关系与估值责任围绕同一记录接受复核。</w:t>
      </w:r>
    </w:p>
    <w:p w14:paraId="3FD6E024" w14:textId="5F4AC19F" w:rsidR="00B97736" w:rsidRPr="00B97736" w:rsidRDefault="00B97736" w:rsidP="00B97736">
      <w:pPr>
        <w:jc w:val="both"/>
        <w:rPr>
          <w:rFonts w:ascii="Times New Roman" w:eastAsia="Songti SC" w:hAnsi="Times New Roman" w:cs="Times New Roman"/>
          <w:b/>
          <w:bCs/>
          <w:sz w:val="24"/>
        </w:rPr>
      </w:pPr>
      <w:r>
        <w:rPr>
          <w:rFonts w:ascii="Times New Roman" w:eastAsia="Songti SC" w:hAnsi="Times New Roman" w:cs="Times New Roman"/>
          <w:b/>
          <w:bCs/>
          <w:sz w:val="24"/>
        </w:rPr>
        <w:lastRenderedPageBreak/>
        <w:t xml:space="preserve">4.4 Semantic Events and Audit Reconstruction</w:t>
      </w:r>
    </w:p>
    <w:p w14:paraId="31618E6F"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审计证据边界围绕份额变化的形成过程组织信息。当前状态反映登记结果，事件记录操作及条件变更，机构材料提供判断形成和业务履行的依据。三类信息具有不同的解释作用：状态用于核对结果，事件用于恢复过程，材料用于复核业务事实。图4将可信起点、按序事件、重构投影和证据引用连接起来，使历史状态恢复与机构材料核查围绕同一业务展开。</w:t>
      </w:r>
    </w:p>
    <w:p w14:paraId="06A20B80"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i/>
          <w:iCs/>
          <w:sz w:val="24"/>
        </w:rPr>
        <w:t>图4 生命周期事件回放、审计投影与链下证据关联</w:t>
      </w:r>
      <w:r>
        <w:rPr>
          <w:rFonts w:ascii="Times New Roman" w:eastAsia="Songti SC" w:hAnsi="Times New Roman" w:cs="Times New Roman"/>
          <w:sz w:val="24"/>
        </w:rPr>
        <w:br/>
      </w:r>
      <w:r>
        <w:rPr>
          <w:rFonts w:ascii="Times New Roman" w:eastAsia="Songti SC" w:hAnsi="Times New Roman" w:cs="Times New Roman"/>
          <w:i/>
          <w:iCs/>
          <w:sz w:val="24"/>
        </w:rPr>
        <w:t>Figure 4. Lifecycle Event Replay, Audit Projection, and Off-Chain Evidence Linkage.</w:t>
      </w:r>
    </w:p>
    <w:p w14:paraId="119FD271"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事件设计以历史解释所需的关系为依据。余额变化需要对应具体业务，估值引用需要指向确定版本，资格与治理变更需要与操作顺序联系起来。具有业务语义的记录使份额变化能够置于相应执行环境中理解，保留当前条件更新后仍需使用的历史信息。事件索引按照交易归属、账本次序和业务对象组织记录，支持从份额操作定位相关条件变更及机构活动。</w:t>
      </w:r>
    </w:p>
    <w:p w14:paraId="3B590195" w14:textId="77777777" w:rsidR="00B97736" w:rsidRPr="00B97736" w:rsidRDefault="00B97736" w:rsidP="00B97736">
      <w:pPr>
        <w:jc w:val="both"/>
        <w:rPr>
          <w:rFonts w:ascii="Times New Roman" w:eastAsia="Songti SC" w:hAnsi="Times New Roman" w:cs="Times New Roman"/>
          <w:sz w:val="24"/>
        </w:rPr>
      </w:pPr>
      <w:r>
        <w:rPr>
          <w:rFonts w:ascii="Times New Roman" w:eastAsia="Songti SC" w:hAnsi="Times New Roman" w:cs="Times New Roman"/>
          <w:sz w:val="24"/>
        </w:rPr>
        <w:t>历史重构从可信初始投影或检查点出发，按照账本顺序应用事件所表达的变化，恢复相应时点的生命周期状态。恢复后的投影用于核对状态演变的一致性，主体信息和历史角色分配支持授权解释，NAV引用支持估值追溯。机构复核进一步沿证据引用查阅资格审查记录、估值文件、授权与运营决定记录、投资者指令及结算凭证，核查判断形成与业务履行。材料版本、保存记录和访问安排共同支持引用核对与证据调阅。</w:t>
      </w:r>
    </w:p>
    <w:p w14:paraId="1881D176" w14:textId="2885EBC6" w:rsidR="005F6ACE" w:rsidRPr="005F6ACE" w:rsidRDefault="00000000" w:rsidP="005F6ACE">
      <w:pPr>
        <w:jc w:val="both"/>
        <w:rPr>
          <w:rFonts w:ascii="Times New Roman" w:hAnsi="Times New Roman" w:cs="Times New Roman"/>
          <w:b/>
          <w:bCs/>
          <w:sz w:val="24"/>
          <w:lang w:val="en-AU"/>
        </w:rPr>
      </w:pPr>
      <w:r>
        <w:rPr>
          <w:rFonts w:ascii="Times New Roman" w:hAnsi="Times New Roman" w:cs="Times New Roman"/>
          <w:b/>
          <w:bCs/>
          <w:sz w:val="24"/>
          <w:lang w:val="en-AU"/>
        </w:rPr>
        <w:t xml:space="preserve">5. Prototype and Evaluation</w:t>
      </w:r>
    </w:p>
    <w:p w14:paraId="5A000000"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本节围绕五个评价问题（evaluation question，EQ）组织原型评价（表3）。EQ1采用功能与机制验证，EQ2结合消融与两类自建比较基线，EQ3采用闭合输入回放及检查点比对，EQ4测量执行成本与顺序负载下的规模增长，EQ5采用公开规则驱动的案例验证。原始场景与v3评价方案保持冻结；审查后修正的NAV审计判据、拒绝分类、证据归档、构建校验和负载时钟另列为v3.1补充方案，明确属于事后修订。本文区分确定性实现检查、描述性性能测量和案例相关性证据，不将其等同于生产验证。</w:t>
      </w:r>
    </w:p>
    <w:p w14:paraId="5A000001"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表3 评价问题、证据类型与对应小节</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900"/>
        <w:gridCol w:w="2500"/>
        <w:gridCol w:w="4106"/>
        <w:gridCol w:w="800"/>
      </w:tblGrid>
      <w:tr>
        <w:trPr>
          <w:tblHeader/>
          <w:cantSplit/>
        </w:trPr>
        <w:tc>
          <w:tcPr>
            <w:tcW w:w="900" w:type="dxa"/>
            <w:shd w:val="clear" w:color="auto" w:fill="F2F2F2"/>
            <w:vAlign w:val="center"/>
          </w:tcPr>
          <w:p w14:paraId="5A000002"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评价问题</w:t>
            </w:r>
          </w:p>
        </w:tc>
        <w:tc>
          <w:tcPr>
            <w:tcW w:w="2500" w:type="dxa"/>
            <w:shd w:val="clear" w:color="auto" w:fill="F2F2F2"/>
            <w:vAlign w:val="center"/>
          </w:tcPr>
          <w:p w14:paraId="5A000003"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问题表述</w:t>
            </w:r>
          </w:p>
        </w:tc>
        <w:tc>
          <w:tcPr>
            <w:tcW w:w="4106" w:type="dxa"/>
            <w:shd w:val="clear" w:color="auto" w:fill="F2F2F2"/>
            <w:vAlign w:val="center"/>
          </w:tcPr>
          <w:p w14:paraId="5A000004"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主要证据</w:t>
            </w:r>
          </w:p>
        </w:tc>
        <w:tc>
          <w:tcPr>
            <w:tcW w:w="800" w:type="dxa"/>
            <w:shd w:val="clear" w:color="auto" w:fill="F2F2F2"/>
            <w:vAlign w:val="center"/>
          </w:tcPr>
          <w:p w14:paraId="5A000005"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小节</w:t>
            </w:r>
          </w:p>
        </w:tc>
      </w:tr>
      <w:tr>
        <w:trPr>
          <w:cantSplit/>
        </w:trPr>
        <w:tc>
          <w:tcPr>
            <w:tcW w:w="900" w:type="dxa"/>
            <w:vAlign w:val="center"/>
          </w:tcPr>
          <w:p w14:paraId="5A00000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EQ1</w:t>
            </w:r>
          </w:p>
        </w:tc>
        <w:tc>
          <w:tcPr>
            <w:tcW w:w="2500" w:type="dxa"/>
            <w:vAlign w:val="center"/>
          </w:tcPr>
          <w:p w14:paraId="5A00000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原型能否在代表性有效与无效条件下执行生命周期有效性</w:t>
            </w:r>
          </w:p>
        </w:tc>
        <w:tc>
          <w:tcPr>
            <w:tcW w:w="4106" w:type="dxa"/>
            <w:vAlign w:val="center"/>
          </w:tcPr>
          <w:p w14:paraId="5A00000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42个预注册场景的功能与机制验证；全约束实验变体与生产合约的差分等价</w:t>
            </w:r>
          </w:p>
        </w:tc>
        <w:tc>
          <w:tcPr>
            <w:tcW w:w="800" w:type="dxa"/>
            <w:vAlign w:val="center"/>
          </w:tcPr>
          <w:p w14:paraId="5A00000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5.2</w:t>
            </w:r>
          </w:p>
        </w:tc>
      </w:tr>
      <w:tr>
        <w:trPr>
          <w:cantSplit/>
        </w:trPr>
        <w:tc>
          <w:tcPr>
            <w:tcW w:w="900" w:type="dxa"/>
            <w:vAlign w:val="center"/>
          </w:tcPr>
          <w:p w14:paraId="5A00000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EQ2</w:t>
            </w:r>
          </w:p>
        </w:tc>
        <w:tc>
          <w:tcPr>
            <w:tcW w:w="2500" w:type="dxa"/>
            <w:vAlign w:val="center"/>
          </w:tcPr>
          <w:p w14:paraId="5A00000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哪些约束对阻止无效生命周期状态是必要的</w:t>
            </w:r>
          </w:p>
        </w:tc>
        <w:tc>
          <w:tcPr>
            <w:tcW w:w="4106" w:type="dxa"/>
            <w:vAlign w:val="center"/>
          </w:tcPr>
          <w:p w14:paraId="5A00000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五类单谓词消融（M1–M5）；B1、B2两类比较基线</w:t>
            </w:r>
          </w:p>
        </w:tc>
        <w:tc>
          <w:tcPr>
            <w:tcW w:w="800" w:type="dxa"/>
            <w:vAlign w:val="center"/>
          </w:tcPr>
          <w:p w14:paraId="5A00000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5.3</w:t>
            </w:r>
          </w:p>
        </w:tc>
      </w:tr>
      <w:tr>
        <w:trPr>
          <w:cantSplit/>
        </w:trPr>
        <w:tc>
          <w:tcPr>
            <w:tcW w:w="900" w:type="dxa"/>
            <w:vAlign w:val="center"/>
          </w:tcPr>
          <w:p w14:paraId="5A00000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EQ3</w:t>
            </w:r>
          </w:p>
        </w:tc>
        <w:tc>
          <w:tcPr>
            <w:tcW w:w="2500" w:type="dxa"/>
            <w:vAlign w:val="center"/>
          </w:tcPr>
          <w:p w14:paraId="5A00000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语义事件模型能否支持独立的过程级重构</w:t>
            </w:r>
          </w:p>
        </w:tc>
        <w:tc>
          <w:tcPr>
            <w:tcW w:w="4106" w:type="dxa"/>
            <w:vAlign w:val="center"/>
          </w:tcPr>
          <w:p w14:paraId="5A00001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闭合输入回放（ARC、NRI、PCR）；比较基线组件可恢复性；规模化与案例回放</w:t>
            </w:r>
          </w:p>
        </w:tc>
        <w:tc>
          <w:tcPr>
            <w:tcW w:w="800" w:type="dxa"/>
            <w:vAlign w:val="center"/>
          </w:tcPr>
          <w:p w14:paraId="5A00001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5.4</w:t>
            </w:r>
          </w:p>
        </w:tc>
      </w:tr>
      <w:tr>
        <w:trPr>
          <w:cantSplit/>
        </w:trPr>
        <w:tc>
          <w:tcPr>
            <w:tcW w:w="900" w:type="dxa"/>
            <w:vAlign w:val="center"/>
          </w:tcPr>
          <w:p w14:paraId="5A00001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EQ4</w:t>
            </w:r>
          </w:p>
        </w:tc>
        <w:tc>
          <w:tcPr>
            <w:tcW w:w="2500" w:type="dxa"/>
            <w:vAlign w:val="center"/>
          </w:tcPr>
          <w:p w14:paraId="5A00001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生命周期感知控制带来多少执行与存储开销</w:t>
            </w:r>
          </w:p>
        </w:tc>
        <w:tc>
          <w:tcPr>
            <w:tcW w:w="4106" w:type="dxa"/>
            <w:vAlign w:val="center"/>
          </w:tcPr>
          <w:p w14:paraId="5A00001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交易回执gas与比较基线；100、1,000、10,000事件顺序规模增长实验</w:t>
            </w:r>
          </w:p>
        </w:tc>
        <w:tc>
          <w:tcPr>
            <w:tcW w:w="800" w:type="dxa"/>
            <w:vAlign w:val="center"/>
          </w:tcPr>
          <w:p w14:paraId="5A00001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5.5</w:t>
            </w:r>
          </w:p>
        </w:tc>
      </w:tr>
      <w:tr>
        <w:trPr>
          <w:cantSplit/>
        </w:trPr>
        <w:tc>
          <w:tcPr>
            <w:tcW w:w="900" w:type="dxa"/>
            <w:vAlign w:val="center"/>
          </w:tcPr>
          <w:p w14:paraId="5A000016"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EQ5</w:t>
            </w:r>
          </w:p>
        </w:tc>
        <w:tc>
          <w:tcPr>
            <w:tcW w:w="2500" w:type="dxa"/>
            <w:vAlign w:val="center"/>
          </w:tcPr>
          <w:p w14:paraId="5A000017"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所选公开规则下的设计目标与生命周期映射是否相关，暴露哪些完整性缺口</w:t>
            </w:r>
          </w:p>
        </w:tc>
        <w:tc>
          <w:tcPr>
            <w:tcW w:w="4106" w:type="dxa"/>
            <w:vAlign w:val="center"/>
          </w:tcPr>
          <w:p w14:paraId="5A000018"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基于公开运营与监管规则的案例验证</w:t>
            </w:r>
          </w:p>
        </w:tc>
        <w:tc>
          <w:tcPr>
            <w:tcW w:w="800" w:type="dxa"/>
            <w:vAlign w:val="center"/>
          </w:tcPr>
          <w:p w14:paraId="5A000019"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5.6</w:t>
            </w:r>
          </w:p>
        </w:tc>
      </w:tr>
    </w:tbl>
    <w:p w14:paraId="474D4E5E" w14:textId="45147368" w:rsidR="005F6ACE" w:rsidRPr="005F6ACE" w:rsidRDefault="005F6ACE" w:rsidP="005F6ACE">
      <w:pPr>
        <w:spacing w:before="120"/>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.1 Implementation and Experimental Setup</w:t>
      </w:r>
    </w:p>
    <w:p w14:paraId="5A00001A"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原型由三份Solidity合约构成。FundToken维护份额、资格、申购赎回请求、待赎回锁定份额及运营状态；NAVRegistry维护追加式NAV序列；RiskRegistry提供赎回控制接口，本评价仅配置该依赖，不提交风险指标或触发风险控制。实现采用OpenZeppelin的ERC-20、AccessControl与Pausable组件。生产源码与chapter3-artifact-v1.4.0逐字节一致。本次运行先核对冻结源码与原预注册，再重建并以归档的字面源码和设置独立编译，比较创建及运行时字节码；部署后再次核对代码（构造器不可变值位置单独保留）。表4报告本次实际环境和构建结果。</w:t>
      </w:r>
    </w:p>
    <w:p w14:paraId="5A00001B"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表4 原型实现与实验环境</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1900"/>
        <w:gridCol w:w="6406"/>
      </w:tblGrid>
      <w:tr>
        <w:trPr>
          <w:tblHeader/>
          <w:cantSplit/>
        </w:trPr>
        <w:tc>
          <w:tcPr>
            <w:tcW w:w="1900" w:type="dxa"/>
            <w:shd w:val="clear" w:color="auto" w:fill="F2F2F2"/>
            <w:vAlign w:val="center"/>
          </w:tcPr>
          <w:p w14:paraId="5A00001C"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项目</w:t>
            </w:r>
          </w:p>
        </w:tc>
        <w:tc>
          <w:tcPr>
            <w:tcW w:w="6406" w:type="dxa"/>
            <w:shd w:val="clear" w:color="auto" w:fill="F2F2F2"/>
            <w:vAlign w:val="center"/>
          </w:tcPr>
          <w:p w14:paraId="5A00001D"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配置</w:t>
            </w:r>
          </w:p>
        </w:tc>
      </w:tr>
      <w:tr>
        <w:trPr>
          <w:cantSplit/>
        </w:trPr>
        <w:tc>
          <w:tcPr>
            <w:tcW w:w="1900" w:type="dxa"/>
            <w:vAlign w:val="center"/>
          </w:tcPr>
          <w:p w14:paraId="5A00001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合约语言与编译器</w:t>
            </w:r>
          </w:p>
        </w:tc>
        <w:tc>
          <w:tcPr>
            <w:tcW w:w="6406" w:type="dxa"/>
            <w:vAlign w:val="center"/>
          </w:tcPr>
          <w:p w14:paraId="5A00001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Solidity；solc 0.8.30+commit.73712a01；Osaka；optimizer=false、runs=200；IPFS元数据；完整设置、源码及编译输出随结果归档</w:t>
            </w:r>
          </w:p>
        </w:tc>
      </w:tr>
      <w:tr>
        <w:trPr>
          <w:cantSplit/>
        </w:trPr>
        <w:tc>
          <w:tcPr>
            <w:tcW w:w="1900" w:type="dxa"/>
            <w:vAlign w:val="center"/>
          </w:tcPr>
          <w:p w14:paraId="5A00002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开发与测试框架</w:t>
            </w:r>
          </w:p>
        </w:tc>
        <w:tc>
          <w:tcPr>
            <w:tcW w:w="6406" w:type="dxa"/>
            <w:vAlign w:val="center"/>
          </w:tcPr>
          <w:p w14:paraId="5A00002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Foundry 1.7.1（forge）；OpenZeppelin Contracts 5.4.0；forge-std 1.10.0</w:t>
            </w:r>
          </w:p>
        </w:tc>
      </w:tr>
      <w:tr>
        <w:trPr>
          <w:cantSplit/>
        </w:trPr>
        <w:tc>
          <w:tcPr>
            <w:tcW w:w="1900" w:type="dxa"/>
            <w:vAlign w:val="center"/>
          </w:tcPr>
          <w:p w14:paraId="5A00002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EVM实现与网络配置</w:t>
            </w:r>
          </w:p>
        </w:tc>
        <w:tc>
          <w:tcPr>
            <w:tcW w:w="6406" w:type="dxa"/>
            <w:vAlign w:val="center"/>
          </w:tcPr>
          <w:p w14:paraId="5A00002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Anvil 1.7.1，Osaka硬分叉，chainId 31337，固定创世时间戳，自动出块，每个操作独占一个区块，逐操作设定区块时间</w:t>
            </w:r>
          </w:p>
        </w:tc>
      </w:tr>
      <w:tr>
        <w:trPr>
          <w:cantSplit/>
        </w:trPr>
        <w:tc>
          <w:tcPr>
            <w:tcW w:w="1900" w:type="dxa"/>
            <w:vAlign w:val="center"/>
          </w:tcPr>
          <w:p w14:paraId="5A00002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链下回放</w:t>
            </w:r>
          </w:p>
        </w:tc>
        <w:tc>
          <w:tcPr>
            <w:tcW w:w="6406" w:type="dxa"/>
            <w:vAlign w:val="center"/>
          </w:tcPr>
          <w:p w14:paraId="5A00002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Node.js 22.14.0，viem 2.55.10；纯回放只读取创世配置和日志，合约视图独立保存用于结果比对；规模检查点视图在负载生成时采集，回放不读取视图</w:t>
            </w:r>
          </w:p>
        </w:tc>
      </w:tr>
      <w:tr>
        <w:trPr>
          <w:cantSplit/>
        </w:trPr>
        <w:tc>
          <w:tcPr>
            <w:tcW w:w="1900" w:type="dxa"/>
            <w:vAlign w:val="center"/>
          </w:tcPr>
          <w:p w14:paraId="5A00002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硬件</w:t>
            </w:r>
          </w:p>
        </w:tc>
        <w:tc>
          <w:tcPr>
            <w:tcW w:w="6406" w:type="dxa"/>
            <w:vAlign w:val="center"/>
          </w:tcPr>
          <w:p w14:paraId="5A00002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Apple M3，8个逻辑CPU，24 GiB内存，darwin / Darwin 25.5.0；套件顺序执行，未保证主机独占；时延为本机描述性观测</w:t>
            </w:r>
          </w:p>
        </w:tc>
      </w:tr>
      <w:tr>
        <w:trPr>
          <w:cantSplit/>
        </w:trPr>
        <w:tc>
          <w:tcPr>
            <w:tcW w:w="1900" w:type="dxa"/>
            <w:vAlign w:val="center"/>
          </w:tcPr>
          <w:p w14:paraId="5A00002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账户与角色</w:t>
            </w:r>
          </w:p>
        </w:tc>
        <w:tc>
          <w:tcPr>
            <w:tcW w:w="6406" w:type="dxa"/>
            <w:vAlign w:val="center"/>
          </w:tcPr>
          <w:p w14:paraId="5A00002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标准轨迹5个活动账户；规模27个活动账户（24名投资者，链预资助28个账户）；案例7个活动账户（预资助8个）。FundToken含管理员、申购、赎回、暂停角色；NAVRegistry含估值管理角色</w:t>
            </w:r>
          </w:p>
        </w:tc>
      </w:tr>
      <w:tr>
        <w:trPr>
          <w:cantSplit/>
        </w:trPr>
        <w:tc>
          <w:tcPr>
            <w:tcW w:w="1900" w:type="dxa"/>
            <w:vAlign w:val="center"/>
          </w:tcPr>
          <w:p w14:paraId="5A00002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运行时字节码规模</w:t>
            </w:r>
          </w:p>
        </w:tc>
        <w:tc>
          <w:tcPr>
            <w:tcW w:w="6406" w:type="dxa"/>
            <w:vAlign w:val="center"/>
          </w:tcPr>
          <w:p w14:paraId="5A00002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FundToken 21,671 B；NAVRegistry 10,302 B；RiskRegistry 19,601 B；B1TokenOnly 4,584 B；B2PermissionedAllowlist 7,506 B</w:t>
            </w:r>
          </w:p>
        </w:tc>
      </w:tr>
      <w:tr>
        <w:trPr>
          <w:cantSplit/>
        </w:trPr>
        <w:tc>
          <w:tcPr>
            <w:tcW w:w="1900" w:type="dxa"/>
            <w:vAlign w:val="center"/>
          </w:tcPr>
          <w:p w14:paraId="5A00002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部署gas</w:t>
            </w:r>
          </w:p>
        </w:tc>
        <w:tc>
          <w:tcPr>
            <w:tcW w:w="6406" w:type="dxa"/>
            <w:vAlign w:val="center"/>
          </w:tcPr>
          <w:p w14:paraId="5A00002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NAVRegistry 2,330,636；FundToken 4,855,363；RiskRegistry 4,579,664；B1 1,132,724；B2 1,763,501；B2另有3笔角色授予；均采用本次实测值，输入差异见表下注</w:t>
            </w:r>
          </w:p>
        </w:tc>
      </w:tr>
      <w:tr>
        <w:trPr>
          <w:cantSplit/>
        </w:trPr>
        <w:tc>
          <w:tcPr>
            <w:tcW w:w="1900" w:type="dxa"/>
            <w:vAlign w:val="center"/>
          </w:tcPr>
          <w:p w14:paraId="5A00002E"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重复与gas采集</w:t>
            </w:r>
          </w:p>
        </w:tc>
        <w:tc>
          <w:tcPr>
            <w:tcW w:w="6406" w:type="dxa"/>
            <w:vAlign w:val="center"/>
          </w:tcPr>
          <w:p w14:paraId="5A00002F"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读取成功交易回执gasUsed；生产、B1、B2各5次全新标准轨迹；规模为3个种子×3个目标；获取日志5次，纯回放1次预热后10次计时。拒绝项为eth_call模拟，不是已上链的失败交易</w:t>
            </w:r>
          </w:p>
        </w:tc>
      </w:tr>
    </w:tbl>
    <w:p>
      <w:pPr>
        <w:spacing w:before="120"/>
        <w:jc w:val="both"/>
        <w:rPr>
          <w:rFonts w:ascii="Times New Roman" w:eastAsia="Songti SC" w:hAnsi="Times New Roman" w:cs="Times New Roman"/>
          <w:sz w:val="18"/>
          <w:szCs w:val="18"/>
        </w:rPr>
      </w:pPr>
      <w:r>
        <w:rPr>
          <w:sz w:val="18"/>
        </w:rPr>
        <w:t>注：FundToken标准轨迹部署为4,855,363 gas，规模轨迹为4,855,351 gas；两者创建字节码相同，构造参数不同，标准轨迹输入少1个零字节，输入计费恰好多12 gas。B2本次为1,763,501 gas，较原v3多12 gas；元数据哈希的零字节分布变化可产生此差异，但旧v3未归档创建输入与字节码，无法确认其具体成因。相同字节码长度不保证相同部署gas。</w:t>
      </w:r>
    </w:p>
    <w:p w14:paraId="5A000030"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原型对第3节模型采用窄化实现，结论限于表5覆盖的语义。资格采用布尔白名单，未实现冻结、复核和受控退出；请求没有显式NAV版本参数，受理与结算使用当时最新登记版本，适用性不在链上判断；转让只检查接收方资格。请求记录与待赎回锁定份额是两阶段实现的辅助状态，属于抽象模型到实现的细化；本评价检查具体实现投影，不证明原型完整实现抽象模型。</w:t>
      </w:r>
    </w:p>
    <w:p w14:paraId="5A000031"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表5 有效性谓词的原型实现与窄化</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1500"/>
        <w:gridCol w:w="3800"/>
        <w:gridCol w:w="3006"/>
      </w:tblGrid>
      <w:tr>
        <w:trPr>
          <w:tblHeader/>
          <w:cantSplit/>
        </w:trPr>
        <w:tc>
          <w:tcPr>
            <w:tcW w:w="1500" w:type="dxa"/>
            <w:shd w:val="clear" w:color="auto" w:fill="F2F2F2"/>
            <w:vAlign w:val="center"/>
          </w:tcPr>
          <w:p w14:paraId="5A000032"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谓词</w:t>
            </w:r>
          </w:p>
        </w:tc>
        <w:tc>
          <w:tcPr>
            <w:tcW w:w="3800" w:type="dxa"/>
            <w:shd w:val="clear" w:color="auto" w:fill="F2F2F2"/>
            <w:vAlign w:val="center"/>
          </w:tcPr>
          <w:p w14:paraId="5A000033"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原型实现</w:t>
            </w:r>
          </w:p>
        </w:tc>
        <w:tc>
          <w:tcPr>
            <w:tcW w:w="3006" w:type="dxa"/>
            <w:shd w:val="clear" w:color="auto" w:fill="F2F2F2"/>
            <w:vAlign w:val="center"/>
          </w:tcPr>
          <w:p w14:paraId="5A000034"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与模型的差异</w:t>
            </w:r>
          </w:p>
        </w:tc>
      </w:tr>
      <w:tr>
        <w:trPr>
          <w:cantSplit/>
        </w:trPr>
        <w:tc>
          <w:tcPr>
            <w:tcW w:w="1500" w:type="dxa"/>
            <w:vAlign w:val="center"/>
          </w:tcPr>
          <w:p w14:paraId="5A00003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Authorized</w:t>
            </w:r>
          </w:p>
        </w:tc>
        <w:tc>
          <w:tcPr>
            <w:tcW w:w="3800" w:type="dxa"/>
            <w:vAlign w:val="center"/>
          </w:tcPr>
          <w:p w14:paraId="5A00003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AccessControl角色检查：资格更新与角色变更需DEFAULT_ADMIN，NAV提交需MANAGER，申购接受需SUBSCRIPTION，赎回结算与延迟标记需REDEMPTION，暂停与恢复需PAUSER</w:t>
            </w:r>
          </w:p>
        </w:tc>
        <w:tc>
          <w:tcPr>
            <w:tcW w:w="3006" w:type="dxa"/>
            <w:vAlign w:val="center"/>
          </w:tcPr>
          <w:p w14:paraId="5A00003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与模型一致；操作与角色的对应关系在部署时固定</w:t>
            </w:r>
          </w:p>
        </w:tc>
      </w:tr>
      <w:tr>
        <w:trPr>
          <w:cantSplit/>
        </w:trPr>
        <w:tc>
          <w:tcPr>
            <w:tcW w:w="1500" w:type="dxa"/>
            <w:vAlign w:val="center"/>
          </w:tcPr>
          <w:p w14:paraId="5A00003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ComplianceValid</w:t>
            </w:r>
          </w:p>
        </w:tc>
        <w:tc>
          <w:tcPr>
            <w:tcW w:w="3800" w:type="dxa"/>
            <w:vAlign w:val="center"/>
          </w:tcPr>
          <w:p w14:paraId="5A00003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白名单布尔值及资格凭证承诺哈希；申购请求、申购接受和赎回请求检查投资者资格，转让检查受让方资格</w:t>
            </w:r>
          </w:p>
        </w:tc>
        <w:tc>
          <w:tcPr>
            <w:tcW w:w="3006" w:type="dxa"/>
            <w:vAlign w:val="center"/>
          </w:tcPr>
          <w:p w14:paraId="5A00003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处置状态仅实现正常持仓；资格撤销后既有持仓无法发起赎回；转让方资格未检查；已受理的赎回请求在资格撤销后仍可结算</w:t>
            </w:r>
          </w:p>
        </w:tc>
      </w:tr>
      <w:tr>
        <w:trPr>
          <w:cantSplit/>
        </w:trPr>
        <w:tc>
          <w:tcPr>
            <w:tcW w:w="1500" w:type="dxa"/>
            <w:vAlign w:val="center"/>
          </w:tcPr>
          <w:p w14:paraId="5A00003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NAVValid</w:t>
            </w:r>
          </w:p>
        </w:tc>
        <w:tc>
          <w:tcPr>
            <w:tcW w:w="3800" w:type="dxa"/>
            <w:vAlign w:val="center"/>
          </w:tcPr>
          <w:p w14:paraId="5A00003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NAV经授权写入后追加为新版本；估值日期asOf不得晚于区块时间、不得回退，允许同一估值日期的更正；接受与结算时绑定最新版本并记录navUsed与navAsOf</w:t>
            </w:r>
          </w:p>
        </w:tc>
        <w:tc>
          <w:tcPr>
            <w:tcW w:w="3006" w:type="dxa"/>
            <w:vAlign w:val="center"/>
          </w:tcPr>
          <w:p w14:paraId="5A00003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请求不携带显式版本标识；适用性规则（如远期定价）不在链上判断，只能事后核对</w:t>
            </w:r>
          </w:p>
        </w:tc>
      </w:tr>
      <w:tr>
        <w:trPr>
          <w:cantSplit/>
        </w:trPr>
        <w:tc>
          <w:tcPr>
            <w:tcW w:w="1500" w:type="dxa"/>
            <w:vAlign w:val="center"/>
          </w:tcPr>
          <w:p w14:paraId="5A00003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LifecycleValid</w:t>
            </w:r>
          </w:p>
        </w:tc>
        <w:tc>
          <w:tcPr>
            <w:tcW w:w="3800" w:type="dxa"/>
            <w:vAlign w:val="center"/>
          </w:tcPr>
          <w:p w14:paraId="5A00003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Pausable；暂停期间拦截份额铸造、销毁与转让</w:t>
            </w:r>
          </w:p>
        </w:tc>
        <w:tc>
          <w:tcPr>
            <w:tcW w:w="3006" w:type="dxa"/>
            <w:vAlign w:val="center"/>
          </w:tcPr>
          <w:p w14:paraId="5A00004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暂停期间仍可受理申购与赎回请求，恢复后再处理</w:t>
            </w:r>
          </w:p>
        </w:tc>
      </w:tr>
      <w:tr>
        <w:trPr>
          <w:cantSplit/>
        </w:trPr>
        <w:tc>
          <w:tcPr>
            <w:tcW w:w="1500" w:type="dxa"/>
            <w:vAlign w:val="center"/>
          </w:tcPr>
          <w:p w14:paraId="5A000041"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ParamConsistent</w:t>
            </w:r>
          </w:p>
        </w:tc>
        <w:tc>
          <w:tcPr>
            <w:tcW w:w="3800" w:type="dxa"/>
            <w:vAlign w:val="center"/>
          </w:tcPr>
          <w:p w14:paraId="5A000042"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金额与份额为正；可用份额（余额减去待赎回锁定份额）充足；请求不得重复处理；取整后份额或金额非零</w:t>
            </w:r>
          </w:p>
        </w:tc>
        <w:tc>
          <w:tcPr>
            <w:tcW w:w="3006" w:type="dxa"/>
            <w:vAlign w:val="center"/>
          </w:tcPr>
          <w:p w14:paraId="5A000043"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与模型一致；另以请求状态防止重复接受与重复结算</w:t>
            </w:r>
          </w:p>
        </w:tc>
      </w:tr>
    </w:tbl>
    <w:p w14:paraId="5A000044"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42场景与单谓词消融沿用v2.1冻结证据（运行实现d27d990）；原v3预注册提交4ce5d24及其结果完整保留。本次修订运行2026-10-20T01-15-00.607Z-f5edfdac，执行代码提交347ea26，新增结果均取自该独立目录。运行清单绑定源码、构建、调用、回执、原始日志、检查点视图和时延样本；离线验证不连接RPC。逐表来源、JSON路径与显示值见随稿证据映射paper85-section5-claims.json。哈希用于内部溯源和完整性校验，不提供独立机构背书。</w:t>
      </w:r>
    </w:p>
    <w:p w14:paraId="7BC45652" w14:textId="6F0854BC" w:rsidR="005F6ACE" w:rsidRPr="005F6ACE" w:rsidRDefault="005F6ACE" w:rsidP="005F6ACE">
      <w:pPr>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.2 Functional Constraint Evaluation</w:t>
      </w:r>
    </w:p>
    <w:p w14:paraId="5A000045"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 xml:space="preserve">EQ1采用42个预注册的受控场景，定位为功能与机制验证（functional/mechanism validation）。其中18个有效场景（V01–V18）覆盖第3节定义的全部八类操作，24个无效场景（I01–I24）分别针对五个谓词：Authorized 5个，ComplianceValid 4个，NAVValid 4个，LifecycleValid 4个，ParamConsistent 7个。每个场景从全新的确定性部署出发，执行前固定其预期结果；对于无效场景，预期结果细化到错误码，即OpenZeppelin自定义错误选择器或合约字符串错误。结果判定同时比较交易结果与执行前后的状态投影。</w:t>
      </w:r>
    </w:p>
    <w:p w14:paraId="5A000046"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表6 42个预注册场景的功能验证结果</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2150"/>
        <w:gridCol w:w="3256"/>
        <w:gridCol w:w="700"/>
        <w:gridCol w:w="1500"/>
        <w:gridCol w:w="700"/>
      </w:tblGrid>
      <w:tr>
        <w:trPr>
          <w:tblHeader/>
          <w:cantSplit/>
        </w:trPr>
        <w:tc>
          <w:tcPr>
            <w:tcW w:w="2150" w:type="dxa"/>
            <w:shd w:val="clear" w:color="auto" w:fill="F2F2F2"/>
            <w:vAlign w:val="center"/>
          </w:tcPr>
          <w:p w14:paraId="5A000047"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场景类别</w:t>
            </w:r>
          </w:p>
        </w:tc>
        <w:tc>
          <w:tcPr>
            <w:tcW w:w="3256" w:type="dxa"/>
            <w:shd w:val="clear" w:color="auto" w:fill="F2F2F2"/>
            <w:vAlign w:val="center"/>
          </w:tcPr>
          <w:p w14:paraId="5A000048"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覆盖内容</w:t>
            </w:r>
          </w:p>
        </w:tc>
        <w:tc>
          <w:tcPr>
            <w:tcW w:w="700" w:type="dxa"/>
            <w:shd w:val="clear" w:color="auto" w:fill="F2F2F2"/>
            <w:vAlign w:val="center"/>
          </w:tcPr>
          <w:p w14:paraId="5A000049"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场景数</w:t>
            </w:r>
          </w:p>
        </w:tc>
        <w:tc>
          <w:tcPr>
            <w:tcW w:w="1500" w:type="dxa"/>
            <w:shd w:val="clear" w:color="auto" w:fill="F2F2F2"/>
            <w:vAlign w:val="center"/>
          </w:tcPr>
          <w:p w14:paraId="5A00004A"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预期结果</w:t>
            </w:r>
          </w:p>
        </w:tc>
        <w:tc>
          <w:tcPr>
            <w:tcW w:w="700" w:type="dxa"/>
            <w:shd w:val="clear" w:color="auto" w:fill="F2F2F2"/>
            <w:vAlign w:val="center"/>
          </w:tcPr>
          <w:p w14:paraId="5A00004B"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一致数</w:t>
            </w:r>
          </w:p>
        </w:tc>
      </w:tr>
      <w:tr>
        <w:trPr>
          <w:cantSplit/>
        </w:trPr>
        <w:tc>
          <w:tcPr>
            <w:tcW w:w="2150" w:type="dxa"/>
            <w:vAlign w:val="center"/>
          </w:tcPr>
          <w:p w14:paraId="5A00004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有效（V01–V18）</w:t>
            </w:r>
          </w:p>
        </w:tc>
        <w:tc>
          <w:tcPr>
            <w:tcW w:w="3256" w:type="dxa"/>
            <w:vAlign w:val="center"/>
          </w:tcPr>
          <w:p w14:paraId="5A00004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资格更新2、NAV提交3、申购4、转让1、赎回4、暂停1、恢复1、角色更新2</w:t>
            </w:r>
          </w:p>
        </w:tc>
        <w:tc>
          <w:tcPr>
            <w:tcW w:w="700" w:type="dxa"/>
            <w:vAlign w:val="center"/>
          </w:tcPr>
          <w:p w14:paraId="5A00004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18</w:t>
            </w:r>
          </w:p>
        </w:tc>
        <w:tc>
          <w:tcPr>
            <w:tcW w:w="1500" w:type="dxa"/>
            <w:vAlign w:val="center"/>
          </w:tcPr>
          <w:p w14:paraId="5A00004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接受并产生规定的状态变化</w:t>
            </w:r>
          </w:p>
        </w:tc>
        <w:tc>
          <w:tcPr>
            <w:tcW w:w="700" w:type="dxa"/>
            <w:vAlign w:val="center"/>
          </w:tcPr>
          <w:p w14:paraId="5A00005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18</w:t>
            </w:r>
          </w:p>
        </w:tc>
      </w:tr>
      <w:tr>
        <w:trPr>
          <w:cantSplit/>
        </w:trPr>
        <w:tc>
          <w:tcPr>
            <w:tcW w:w="2150" w:type="dxa"/>
            <w:vAlign w:val="center"/>
          </w:tcPr>
          <w:p w14:paraId="5A00005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无效：Authorized（I01–I05）</w:t>
            </w:r>
          </w:p>
        </w:tc>
        <w:tc>
          <w:tcPr>
            <w:tcW w:w="3256" w:type="dxa"/>
            <w:vAlign w:val="center"/>
          </w:tcPr>
          <w:p w14:paraId="5A00005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非授权主体更新资格、提交NAV、接受申购、结算赎回、授予角色</w:t>
            </w:r>
          </w:p>
        </w:tc>
        <w:tc>
          <w:tcPr>
            <w:tcW w:w="700" w:type="dxa"/>
            <w:vAlign w:val="center"/>
          </w:tcPr>
          <w:p w14:paraId="5A00005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w:t>
            </w:r>
          </w:p>
        </w:tc>
        <w:tc>
          <w:tcPr>
            <w:tcW w:w="1500" w:type="dxa"/>
            <w:vAlign w:val="center"/>
          </w:tcPr>
          <w:p w14:paraId="5A00005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以指定错误码拒绝，状态不变</w:t>
            </w:r>
          </w:p>
        </w:tc>
        <w:tc>
          <w:tcPr>
            <w:tcW w:w="700" w:type="dxa"/>
            <w:vAlign w:val="center"/>
          </w:tcPr>
          <w:p w14:paraId="5A00005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w:t>
            </w:r>
          </w:p>
        </w:tc>
      </w:tr>
      <w:tr>
        <w:trPr>
          <w:cantSplit/>
        </w:trPr>
        <w:tc>
          <w:tcPr>
            <w:tcW w:w="2150" w:type="dxa"/>
            <w:vAlign w:val="center"/>
          </w:tcPr>
          <w:p w14:paraId="5A00005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无效：ComplianceValid（I06–I09）</w:t>
            </w:r>
          </w:p>
        </w:tc>
        <w:tc>
          <w:tcPr>
            <w:tcW w:w="3256" w:type="dxa"/>
            <w:vAlign w:val="center"/>
          </w:tcPr>
          <w:p w14:paraId="5A00005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不合格投资者申购、资格撤销后接受申购、向不合格方转让、资格撤销后赎回</w:t>
            </w:r>
          </w:p>
        </w:tc>
        <w:tc>
          <w:tcPr>
            <w:tcW w:w="700" w:type="dxa"/>
            <w:vAlign w:val="center"/>
          </w:tcPr>
          <w:p w14:paraId="5A00005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5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同上</w:t>
            </w:r>
          </w:p>
        </w:tc>
        <w:tc>
          <w:tcPr>
            <w:tcW w:w="700" w:type="dxa"/>
            <w:vAlign w:val="center"/>
          </w:tcPr>
          <w:p w14:paraId="5A00005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r>
      <w:tr>
        <w:trPr>
          <w:cantSplit/>
        </w:trPr>
        <w:tc>
          <w:tcPr>
            <w:tcW w:w="2150" w:type="dxa"/>
            <w:vAlign w:val="center"/>
          </w:tcPr>
          <w:p w14:paraId="5A00005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无效：NAVValid（I10–I13）</w:t>
            </w:r>
          </w:p>
        </w:tc>
        <w:tc>
          <w:tcPr>
            <w:tcW w:w="3256" w:type="dxa"/>
            <w:vAlign w:val="center"/>
          </w:tcPr>
          <w:p w14:paraId="5A00005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无NAV时接受申购、初始NAV前提交公式NAV、重复初始NAV、估值日期回退</w:t>
            </w:r>
          </w:p>
        </w:tc>
        <w:tc>
          <w:tcPr>
            <w:tcW w:w="700" w:type="dxa"/>
            <w:vAlign w:val="center"/>
          </w:tcPr>
          <w:p w14:paraId="5A00005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5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同上</w:t>
            </w:r>
          </w:p>
        </w:tc>
        <w:tc>
          <w:tcPr>
            <w:tcW w:w="700" w:type="dxa"/>
            <w:vAlign w:val="center"/>
          </w:tcPr>
          <w:p w14:paraId="5A00005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r>
      <w:tr>
        <w:trPr>
          <w:cantSplit/>
        </w:trPr>
        <w:tc>
          <w:tcPr>
            <w:tcW w:w="2150" w:type="dxa"/>
            <w:vAlign w:val="center"/>
          </w:tcPr>
          <w:p w14:paraId="5A00006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无效：LifecycleValid（I14–I17）</w:t>
            </w:r>
          </w:p>
        </w:tc>
        <w:tc>
          <w:tcPr>
            <w:tcW w:w="3256" w:type="dxa"/>
            <w:vAlign w:val="center"/>
          </w:tcPr>
          <w:p w14:paraId="5A00006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暂停期间转让、接受申购、结算赎回、代理转让</w:t>
            </w:r>
          </w:p>
        </w:tc>
        <w:tc>
          <w:tcPr>
            <w:tcW w:w="700" w:type="dxa"/>
            <w:vAlign w:val="center"/>
          </w:tcPr>
          <w:p w14:paraId="5A00006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6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同上</w:t>
            </w:r>
          </w:p>
        </w:tc>
        <w:tc>
          <w:tcPr>
            <w:tcW w:w="700" w:type="dxa"/>
            <w:vAlign w:val="center"/>
          </w:tcPr>
          <w:p w14:paraId="5A00006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r>
      <w:tr>
        <w:trPr>
          <w:cantSplit/>
        </w:trPr>
        <w:tc>
          <w:tcPr>
            <w:tcW w:w="2150" w:type="dxa"/>
            <w:vAlign w:val="center"/>
          </w:tcPr>
          <w:p w14:paraId="5A00006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无效：ParamConsistent（I18–I24）</w:t>
            </w:r>
          </w:p>
        </w:tc>
        <w:tc>
          <w:tcPr>
            <w:tcW w:w="3256" w:type="dxa"/>
            <w:vAlign w:val="center"/>
          </w:tcPr>
          <w:p w14:paraId="5A00006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零金额申购、取整为零份额、重复接受、零份额赎回、超额赎回、占用待赎回份额的转让、重复结算</w:t>
            </w:r>
          </w:p>
        </w:tc>
        <w:tc>
          <w:tcPr>
            <w:tcW w:w="700" w:type="dxa"/>
            <w:vAlign w:val="center"/>
          </w:tcPr>
          <w:p w14:paraId="5A00006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7</w:t>
            </w:r>
          </w:p>
        </w:tc>
        <w:tc>
          <w:tcPr>
            <w:tcW w:w="1500" w:type="dxa"/>
            <w:vAlign w:val="center"/>
          </w:tcPr>
          <w:p w14:paraId="5A00006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同上</w:t>
            </w:r>
          </w:p>
        </w:tc>
        <w:tc>
          <w:tcPr>
            <w:tcW w:w="700" w:type="dxa"/>
            <w:vAlign w:val="center"/>
          </w:tcPr>
          <w:p w14:paraId="5A00006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7</w:t>
            </w:r>
          </w:p>
        </w:tc>
      </w:tr>
      <w:tr>
        <w:trPr>
          <w:cantSplit/>
        </w:trPr>
        <w:tc>
          <w:tcPr>
            <w:tcW w:w="2150" w:type="dxa"/>
            <w:vAlign w:val="center"/>
          </w:tcPr>
          <w:p w14:paraId="5A00006A"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合计</w:t>
            </w:r>
          </w:p>
        </w:tc>
        <w:tc>
          <w:tcPr>
            <w:tcW w:w="3256" w:type="dxa"/>
            <w:vAlign w:val="center"/>
          </w:tcPr>
          <w:p w14:paraId="5A00006B"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
            </w:r>
          </w:p>
        </w:tc>
        <w:tc>
          <w:tcPr>
            <w:tcW w:w="700" w:type="dxa"/>
            <w:vAlign w:val="center"/>
          </w:tcPr>
          <w:p w14:paraId="5A00006C"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w:t>
            </w:r>
          </w:p>
        </w:tc>
        <w:tc>
          <w:tcPr>
            <w:tcW w:w="1500" w:type="dxa"/>
            <w:vAlign w:val="center"/>
          </w:tcPr>
          <w:p w14:paraId="5A00006D"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
            </w:r>
          </w:p>
        </w:tc>
        <w:tc>
          <w:tcPr>
            <w:tcW w:w="700" w:type="dxa"/>
            <w:vAlign w:val="center"/>
          </w:tcPr>
          <w:p w14:paraId="5A00006E"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w:t>
            </w:r>
          </w:p>
        </w:tc>
      </w:tr>
    </w:tbl>
    <w:p w14:paraId="5A00006F"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18个有效场景被接受，24个无效场景按预期错误码拒绝且状态投影不变，STCR = 42/42 = 1.00；全约束实验变体与生产合约在42个场景上差分等价（表6）。冻结证据还包含本地与CI的语义一致性检查。确定性实现通过确定性测试是预期结果，STCR本身不构成强经验证据。结果支持原型在所选条件下符合具体转换语义，其覆盖范围受场景集和表5中的模型差距限制。</w:t>
      </w:r>
    </w:p>
    <w:p w14:paraId="36307064" w14:textId="4183233C" w:rsidR="005F6ACE" w:rsidRPr="005F6ACE" w:rsidRDefault="005F6ACE" w:rsidP="005F6ACE">
      <w:pPr>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.3 Baseline and Ablation Evaluation</w:t>
      </w:r>
    </w:p>
    <w:p w14:paraId="5A000070"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EQ2保留五类单谓词消融，每次只移除一个谓词检查，其余逻辑不变，运行全部42个场景。移除guard后放行相应操作具有同义反复，因此消融用于检查剩余约束能否在这些场景中阻止同类无效转换，不证明一般必要性。表7中24个目标场景有22个被接受；I10在M3下仍因无NAV记录回退，M5中另有一个场景触发算术下溢。全部210项分类与预期一致，24个目标场景的62项字段断言通过。两类自建比较基线进一步检验原型相对常规代币账本所增加的约束范围。</w:t>
      </w:r>
    </w:p>
    <w:p w14:paraId="5A000071"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表7 单谓词消融下目标场景的结果</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700"/>
        <w:gridCol w:w="1500"/>
        <w:gridCol w:w="1100"/>
        <w:gridCol w:w="1000"/>
        <w:gridCol w:w="1500"/>
        <w:gridCol w:w="1300"/>
        <w:gridCol w:w="1206"/>
      </w:tblGrid>
      <w:tr>
        <w:trPr>
          <w:tblHeader/>
          <w:cantSplit/>
        </w:trPr>
        <w:tc>
          <w:tcPr>
            <w:tcW w:w="700" w:type="dxa"/>
            <w:shd w:val="clear" w:color="auto" w:fill="F2F2F2"/>
            <w:vAlign w:val="center"/>
          </w:tcPr>
          <w:p w14:paraId="5A000072"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变体</w:t>
            </w:r>
          </w:p>
        </w:tc>
        <w:tc>
          <w:tcPr>
            <w:tcW w:w="1500" w:type="dxa"/>
            <w:shd w:val="clear" w:color="auto" w:fill="F2F2F2"/>
            <w:vAlign w:val="center"/>
          </w:tcPr>
          <w:p w14:paraId="5A000073"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移除的谓词</w:t>
            </w:r>
          </w:p>
        </w:tc>
        <w:tc>
          <w:tcPr>
            <w:tcW w:w="1100" w:type="dxa"/>
            <w:shd w:val="clear" w:color="auto" w:fill="F2F2F2"/>
            <w:vAlign w:val="center"/>
          </w:tcPr>
          <w:p w14:paraId="5A000074"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预期一致数</w:t>
            </w:r>
          </w:p>
        </w:tc>
        <w:tc>
          <w:tcPr>
            <w:tcW w:w="1000" w:type="dxa"/>
            <w:shd w:val="clear" w:color="auto" w:fill="F2F2F2"/>
            <w:vAlign w:val="center"/>
          </w:tcPr>
          <w:p w14:paraId="5A000075"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目标场景</w:t>
            </w:r>
          </w:p>
        </w:tc>
        <w:tc>
          <w:tcPr>
            <w:tcW w:w="1500" w:type="dxa"/>
            <w:shd w:val="clear" w:color="auto" w:fill="F2F2F2"/>
            <w:vAlign w:val="center"/>
          </w:tcPr>
          <w:p w14:paraId="5A000076"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无效转换被接受</w:t>
            </w:r>
          </w:p>
        </w:tc>
        <w:tc>
          <w:tcPr>
            <w:tcW w:w="1300" w:type="dxa"/>
            <w:shd w:val="clear" w:color="auto" w:fill="F2F2F2"/>
            <w:vAlign w:val="center"/>
          </w:tcPr>
          <w:p w14:paraId="5A000077"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残余检查拒绝</w:t>
            </w:r>
          </w:p>
        </w:tc>
        <w:tc>
          <w:tcPr>
            <w:tcW w:w="1206" w:type="dxa"/>
            <w:shd w:val="clear" w:color="auto" w:fill="F2F2F2"/>
            <w:vAlign w:val="center"/>
          </w:tcPr>
          <w:p w14:paraId="5A000078"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运行时回退</w:t>
            </w:r>
          </w:p>
        </w:tc>
      </w:tr>
      <w:tr>
        <w:trPr>
          <w:cantSplit/>
        </w:trPr>
        <w:tc>
          <w:tcPr>
            <w:tcW w:w="700" w:type="dxa"/>
            <w:vAlign w:val="center"/>
          </w:tcPr>
          <w:p w14:paraId="5A00007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M1</w:t>
            </w:r>
          </w:p>
        </w:tc>
        <w:tc>
          <w:tcPr>
            <w:tcW w:w="1500" w:type="dxa"/>
            <w:vAlign w:val="center"/>
          </w:tcPr>
          <w:p w14:paraId="5A00007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Authorized</w:t>
            </w:r>
          </w:p>
        </w:tc>
        <w:tc>
          <w:tcPr>
            <w:tcW w:w="1100" w:type="dxa"/>
            <w:vAlign w:val="center"/>
          </w:tcPr>
          <w:p w14:paraId="5A00007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42/42</w:t>
            </w:r>
          </w:p>
        </w:tc>
        <w:tc>
          <w:tcPr>
            <w:tcW w:w="1000" w:type="dxa"/>
            <w:vAlign w:val="center"/>
          </w:tcPr>
          <w:p w14:paraId="5A00007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w:t>
            </w:r>
          </w:p>
        </w:tc>
        <w:tc>
          <w:tcPr>
            <w:tcW w:w="1500" w:type="dxa"/>
            <w:vAlign w:val="center"/>
          </w:tcPr>
          <w:p w14:paraId="5A00007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w:t>
            </w:r>
          </w:p>
        </w:tc>
        <w:tc>
          <w:tcPr>
            <w:tcW w:w="1300" w:type="dxa"/>
            <w:vAlign w:val="center"/>
          </w:tcPr>
          <w:p w14:paraId="5A00007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c>
          <w:tcPr>
            <w:tcW w:w="1206" w:type="dxa"/>
            <w:vAlign w:val="center"/>
          </w:tcPr>
          <w:p w14:paraId="5A00007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r>
      <w:tr>
        <w:trPr>
          <w:cantSplit/>
        </w:trPr>
        <w:tc>
          <w:tcPr>
            <w:tcW w:w="700" w:type="dxa"/>
            <w:vAlign w:val="center"/>
          </w:tcPr>
          <w:p w14:paraId="5A00008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M2</w:t>
            </w:r>
          </w:p>
        </w:tc>
        <w:tc>
          <w:tcPr>
            <w:tcW w:w="1500" w:type="dxa"/>
            <w:vAlign w:val="center"/>
          </w:tcPr>
          <w:p w14:paraId="5A00008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ComplianceValid</w:t>
            </w:r>
          </w:p>
        </w:tc>
        <w:tc>
          <w:tcPr>
            <w:tcW w:w="1100" w:type="dxa"/>
            <w:vAlign w:val="center"/>
          </w:tcPr>
          <w:p w14:paraId="5A00008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42/42</w:t>
            </w:r>
          </w:p>
        </w:tc>
        <w:tc>
          <w:tcPr>
            <w:tcW w:w="1000" w:type="dxa"/>
            <w:vAlign w:val="center"/>
          </w:tcPr>
          <w:p w14:paraId="5A00008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8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300" w:type="dxa"/>
            <w:vAlign w:val="center"/>
          </w:tcPr>
          <w:p w14:paraId="5A00008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c>
          <w:tcPr>
            <w:tcW w:w="1206" w:type="dxa"/>
            <w:vAlign w:val="center"/>
          </w:tcPr>
          <w:p w14:paraId="5A00008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r>
      <w:tr>
        <w:trPr>
          <w:cantSplit/>
        </w:trPr>
        <w:tc>
          <w:tcPr>
            <w:tcW w:w="700" w:type="dxa"/>
            <w:vAlign w:val="center"/>
          </w:tcPr>
          <w:p w14:paraId="5A00008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M3</w:t>
            </w:r>
          </w:p>
        </w:tc>
        <w:tc>
          <w:tcPr>
            <w:tcW w:w="1500" w:type="dxa"/>
            <w:vAlign w:val="center"/>
          </w:tcPr>
          <w:p w14:paraId="5A00008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NAVValid</w:t>
            </w:r>
          </w:p>
        </w:tc>
        <w:tc>
          <w:tcPr>
            <w:tcW w:w="1100" w:type="dxa"/>
            <w:vAlign w:val="center"/>
          </w:tcPr>
          <w:p w14:paraId="5A00008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42/42</w:t>
            </w:r>
          </w:p>
        </w:tc>
        <w:tc>
          <w:tcPr>
            <w:tcW w:w="1000" w:type="dxa"/>
            <w:vAlign w:val="center"/>
          </w:tcPr>
          <w:p w14:paraId="5A00008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8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3</w:t>
            </w:r>
          </w:p>
        </w:tc>
        <w:tc>
          <w:tcPr>
            <w:tcW w:w="1300" w:type="dxa"/>
            <w:vAlign w:val="center"/>
          </w:tcPr>
          <w:p w14:paraId="5A00008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w:t>
            </w:r>
          </w:p>
        </w:tc>
        <w:tc>
          <w:tcPr>
            <w:tcW w:w="1206" w:type="dxa"/>
            <w:vAlign w:val="center"/>
          </w:tcPr>
          <w:p w14:paraId="5A00008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r>
      <w:tr>
        <w:trPr>
          <w:cantSplit/>
        </w:trPr>
        <w:tc>
          <w:tcPr>
            <w:tcW w:w="700" w:type="dxa"/>
            <w:vAlign w:val="center"/>
          </w:tcPr>
          <w:p w14:paraId="5A00008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M4</w:t>
            </w:r>
          </w:p>
        </w:tc>
        <w:tc>
          <w:tcPr>
            <w:tcW w:w="1500" w:type="dxa"/>
            <w:vAlign w:val="center"/>
          </w:tcPr>
          <w:p w14:paraId="5A00008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LifecycleValid</w:t>
            </w:r>
          </w:p>
        </w:tc>
        <w:tc>
          <w:tcPr>
            <w:tcW w:w="1100" w:type="dxa"/>
            <w:vAlign w:val="center"/>
          </w:tcPr>
          <w:p w14:paraId="5A00009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42/42</w:t>
            </w:r>
          </w:p>
        </w:tc>
        <w:tc>
          <w:tcPr>
            <w:tcW w:w="1000" w:type="dxa"/>
            <w:vAlign w:val="center"/>
          </w:tcPr>
          <w:p w14:paraId="5A00009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500" w:type="dxa"/>
            <w:vAlign w:val="center"/>
          </w:tcPr>
          <w:p w14:paraId="5A00009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300" w:type="dxa"/>
            <w:vAlign w:val="center"/>
          </w:tcPr>
          <w:p w14:paraId="5A00009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c>
          <w:tcPr>
            <w:tcW w:w="1206" w:type="dxa"/>
            <w:vAlign w:val="center"/>
          </w:tcPr>
          <w:p w14:paraId="5A00009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r>
      <w:tr>
        <w:trPr>
          <w:cantSplit/>
        </w:trPr>
        <w:tc>
          <w:tcPr>
            <w:tcW w:w="700" w:type="dxa"/>
            <w:vAlign w:val="center"/>
          </w:tcPr>
          <w:p w14:paraId="5A00009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M5</w:t>
            </w:r>
          </w:p>
        </w:tc>
        <w:tc>
          <w:tcPr>
            <w:tcW w:w="1500" w:type="dxa"/>
            <w:vAlign w:val="center"/>
          </w:tcPr>
          <w:p w14:paraId="5A00009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ParamConsistent</w:t>
            </w:r>
          </w:p>
        </w:tc>
        <w:tc>
          <w:tcPr>
            <w:tcW w:w="1100" w:type="dxa"/>
            <w:vAlign w:val="center"/>
          </w:tcPr>
          <w:p w14:paraId="5A00009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42/42</w:t>
            </w:r>
          </w:p>
        </w:tc>
        <w:tc>
          <w:tcPr>
            <w:tcW w:w="1000" w:type="dxa"/>
            <w:vAlign w:val="center"/>
          </w:tcPr>
          <w:p w14:paraId="5A00009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7</w:t>
            </w:r>
          </w:p>
        </w:tc>
        <w:tc>
          <w:tcPr>
            <w:tcW w:w="1500" w:type="dxa"/>
            <w:vAlign w:val="center"/>
          </w:tcPr>
          <w:p w14:paraId="5A00009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6</w:t>
            </w:r>
          </w:p>
        </w:tc>
        <w:tc>
          <w:tcPr>
            <w:tcW w:w="1300" w:type="dxa"/>
            <w:vAlign w:val="center"/>
          </w:tcPr>
          <w:p w14:paraId="5A00009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w:t>
            </w:r>
          </w:p>
        </w:tc>
        <w:tc>
          <w:tcPr>
            <w:tcW w:w="1206" w:type="dxa"/>
            <w:vAlign w:val="center"/>
          </w:tcPr>
          <w:p w14:paraId="5A00009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w:t>
            </w:r>
          </w:p>
        </w:tc>
      </w:tr>
      <w:tr>
        <w:trPr>
          <w:cantSplit/>
        </w:trPr>
        <w:tc>
          <w:tcPr>
            <w:tcW w:w="700" w:type="dxa"/>
            <w:vAlign w:val="center"/>
          </w:tcPr>
          <w:p w14:paraId="5A00009C"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合计</w:t>
            </w:r>
          </w:p>
        </w:tc>
        <w:tc>
          <w:tcPr>
            <w:tcW w:w="1500" w:type="dxa"/>
            <w:vAlign w:val="center"/>
          </w:tcPr>
          <w:p w14:paraId="5A00009D"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五个谓词</w:t>
            </w:r>
          </w:p>
        </w:tc>
        <w:tc>
          <w:tcPr>
            <w:tcW w:w="1100" w:type="dxa"/>
            <w:vAlign w:val="center"/>
          </w:tcPr>
          <w:p w14:paraId="5A00009E"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210/210</w:t>
            </w:r>
          </w:p>
        </w:tc>
        <w:tc>
          <w:tcPr>
            <w:tcW w:w="1000" w:type="dxa"/>
            <w:vAlign w:val="center"/>
          </w:tcPr>
          <w:p w14:paraId="5A00009F"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24</w:t>
            </w:r>
          </w:p>
        </w:tc>
        <w:tc>
          <w:tcPr>
            <w:tcW w:w="1500" w:type="dxa"/>
            <w:vAlign w:val="center"/>
          </w:tcPr>
          <w:p w14:paraId="5A0000A0"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22</w:t>
            </w:r>
          </w:p>
        </w:tc>
        <w:tc>
          <w:tcPr>
            <w:tcW w:w="1300" w:type="dxa"/>
            <w:vAlign w:val="center"/>
          </w:tcPr>
          <w:p w14:paraId="5A0000A1"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w:t>
            </w:r>
          </w:p>
        </w:tc>
        <w:tc>
          <w:tcPr>
            <w:tcW w:w="1206" w:type="dxa"/>
            <w:vAlign w:val="center"/>
          </w:tcPr>
          <w:p w14:paraId="5A0000A2"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w:t>
            </w:r>
          </w:p>
        </w:tc>
      </w:tr>
    </w:tbl>
    <w:p w14:paraId="5A0000A3"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 xml:space="preserve">为避免消融的同义反复，本轮新增两类自建比较基线。B1为仅维护代币余额的智能合约：发行人铸造和销毁链下计算的份额数量，持有人自由转让，不含动态资格、版本化NAV、生命周期状态和语义审计事件。B2为常规许可型代币加简单白名单：按角色发行，对每个非零发送方和接收方（包括铸造与销毁的对手方）执行白名单检查，并支持全局暂停，但不含NAV版本、申购赎回请求、待赎回锁定份额、处置状态和语义生命周期事件。两类基线与原型采用相同编译设置。42个场景在执行前逐一映射为两类基线上的业务等价操作，并预先确定分类：链上被拒绝、被接受且改变余额、被接受但不改变余额、无法在链上表达。最后一类表示相关状态变量不在链上，约束只能交由链下程序执行。全部84项观测与预注册分类一致，结果见表8。两类基线的映射属于研究者在运行前作出的判断，不代表对任何特定商业代币标准的评价。</w:t>
      </w:r>
    </w:p>
    <w:p w14:paraId="5A0000A4"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表8 无效场景在完整机制与比较基线下的结果</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1900"/>
        <w:gridCol w:w="900"/>
        <w:gridCol w:w="1700"/>
        <w:gridCol w:w="2000"/>
        <w:gridCol w:w="1806"/>
      </w:tblGrid>
      <w:tr>
        <w:trPr>
          <w:tblHeader/>
          <w:cantSplit/>
        </w:trPr>
        <w:tc>
          <w:tcPr>
            <w:tcW w:w="1900" w:type="dxa"/>
            <w:shd w:val="clear" w:color="auto" w:fill="F2F2F2"/>
            <w:vAlign w:val="center"/>
          </w:tcPr>
          <w:p w14:paraId="5A0000A5"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目标谓词</w:t>
            </w:r>
          </w:p>
        </w:tc>
        <w:tc>
          <w:tcPr>
            <w:tcW w:w="900" w:type="dxa"/>
            <w:shd w:val="clear" w:color="auto" w:fill="F2F2F2"/>
            <w:vAlign w:val="center"/>
          </w:tcPr>
          <w:p w14:paraId="5A0000A6"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场景数</w:t>
            </w:r>
          </w:p>
        </w:tc>
        <w:tc>
          <w:tcPr>
            <w:tcW w:w="1700" w:type="dxa"/>
            <w:shd w:val="clear" w:color="auto" w:fill="F2F2F2"/>
            <w:vAlign w:val="center"/>
          </w:tcPr>
          <w:p w14:paraId="5A0000A7"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原型（表5范围）</w:t>
            </w:r>
          </w:p>
        </w:tc>
        <w:tc>
          <w:tcPr>
            <w:tcW w:w="2000" w:type="dxa"/>
            <w:shd w:val="clear" w:color="auto" w:fill="F2F2F2"/>
            <w:vAlign w:val="center"/>
          </w:tcPr>
          <w:p w14:paraId="5A0000A8"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B2 许可型代币+白名单</w:t>
            </w:r>
          </w:p>
        </w:tc>
        <w:tc>
          <w:tcPr>
            <w:tcW w:w="1806" w:type="dxa"/>
            <w:shd w:val="clear" w:color="auto" w:fill="F2F2F2"/>
            <w:vAlign w:val="center"/>
          </w:tcPr>
          <w:p w14:paraId="5A0000A9"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B1 仅余额代币</w:t>
            </w:r>
          </w:p>
        </w:tc>
      </w:tr>
      <w:tr>
        <w:trPr>
          <w:cantSplit/>
        </w:trPr>
        <w:tc>
          <w:tcPr>
            <w:tcW w:w="1900" w:type="dxa"/>
            <w:vAlign w:val="center"/>
          </w:tcPr>
          <w:p w14:paraId="5A0000A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Authorized</w:t>
            </w:r>
          </w:p>
        </w:tc>
        <w:tc>
          <w:tcPr>
            <w:tcW w:w="900" w:type="dxa"/>
            <w:vAlign w:val="center"/>
          </w:tcPr>
          <w:p w14:paraId="5A0000A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w:t>
            </w:r>
          </w:p>
        </w:tc>
        <w:tc>
          <w:tcPr>
            <w:tcW w:w="1700" w:type="dxa"/>
            <w:vAlign w:val="center"/>
          </w:tcPr>
          <w:p w14:paraId="5A0000A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 / 0 / 0 / 0</w:t>
            </w:r>
          </w:p>
        </w:tc>
        <w:tc>
          <w:tcPr>
            <w:tcW w:w="2000" w:type="dxa"/>
            <w:vAlign w:val="center"/>
          </w:tcPr>
          <w:p w14:paraId="5A0000A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1</w:t>
            </w:r>
          </w:p>
        </w:tc>
        <w:tc>
          <w:tcPr>
            <w:tcW w:w="1806" w:type="dxa"/>
            <w:vAlign w:val="center"/>
          </w:tcPr>
          <w:p w14:paraId="5A0000A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 / 0 / 0 / 3</w:t>
            </w:r>
          </w:p>
        </w:tc>
      </w:tr>
      <w:tr>
        <w:trPr>
          <w:cantSplit/>
        </w:trPr>
        <w:tc>
          <w:tcPr>
            <w:tcW w:w="1900" w:type="dxa"/>
            <w:vAlign w:val="center"/>
          </w:tcPr>
          <w:p w14:paraId="5A0000A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ComplianceValid</w:t>
            </w:r>
          </w:p>
        </w:tc>
        <w:tc>
          <w:tcPr>
            <w:tcW w:w="900" w:type="dxa"/>
            <w:vAlign w:val="center"/>
          </w:tcPr>
          <w:p w14:paraId="5A0000B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700" w:type="dxa"/>
            <w:vAlign w:val="center"/>
          </w:tcPr>
          <w:p w14:paraId="5A0000B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0</w:t>
            </w:r>
          </w:p>
        </w:tc>
        <w:tc>
          <w:tcPr>
            <w:tcW w:w="2000" w:type="dxa"/>
            <w:vAlign w:val="center"/>
          </w:tcPr>
          <w:p w14:paraId="5A0000B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0</w:t>
            </w:r>
          </w:p>
        </w:tc>
        <w:tc>
          <w:tcPr>
            <w:tcW w:w="1806" w:type="dxa"/>
            <w:vAlign w:val="center"/>
          </w:tcPr>
          <w:p w14:paraId="5A0000B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 / 4 / 0 / 0</w:t>
            </w:r>
          </w:p>
        </w:tc>
      </w:tr>
      <w:tr>
        <w:trPr>
          <w:cantSplit/>
        </w:trPr>
        <w:tc>
          <w:tcPr>
            <w:tcW w:w="1900" w:type="dxa"/>
            <w:vAlign w:val="center"/>
          </w:tcPr>
          <w:p w14:paraId="5A0000B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NAVValid</w:t>
            </w:r>
          </w:p>
        </w:tc>
        <w:tc>
          <w:tcPr>
            <w:tcW w:w="900" w:type="dxa"/>
            <w:vAlign w:val="center"/>
          </w:tcPr>
          <w:p w14:paraId="5A0000B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700" w:type="dxa"/>
            <w:vAlign w:val="center"/>
          </w:tcPr>
          <w:p w14:paraId="5A0000B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0</w:t>
            </w:r>
          </w:p>
        </w:tc>
        <w:tc>
          <w:tcPr>
            <w:tcW w:w="2000" w:type="dxa"/>
            <w:vAlign w:val="center"/>
          </w:tcPr>
          <w:p w14:paraId="5A0000B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 / 1 / 0 / 3</w:t>
            </w:r>
          </w:p>
        </w:tc>
        <w:tc>
          <w:tcPr>
            <w:tcW w:w="1806" w:type="dxa"/>
            <w:vAlign w:val="center"/>
          </w:tcPr>
          <w:p w14:paraId="5A0000B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 / 1 / 0 / 3</w:t>
            </w:r>
          </w:p>
        </w:tc>
      </w:tr>
      <w:tr>
        <w:trPr>
          <w:cantSplit/>
        </w:trPr>
        <w:tc>
          <w:tcPr>
            <w:tcW w:w="1900" w:type="dxa"/>
            <w:vAlign w:val="center"/>
          </w:tcPr>
          <w:p w14:paraId="5A0000B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LifecycleValid</w:t>
            </w:r>
          </w:p>
        </w:tc>
        <w:tc>
          <w:tcPr>
            <w:tcW w:w="900" w:type="dxa"/>
            <w:vAlign w:val="center"/>
          </w:tcPr>
          <w:p w14:paraId="5A0000B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w:t>
            </w:r>
          </w:p>
        </w:tc>
        <w:tc>
          <w:tcPr>
            <w:tcW w:w="1700" w:type="dxa"/>
            <w:vAlign w:val="center"/>
          </w:tcPr>
          <w:p w14:paraId="5A0000B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0</w:t>
            </w:r>
          </w:p>
        </w:tc>
        <w:tc>
          <w:tcPr>
            <w:tcW w:w="2000" w:type="dxa"/>
            <w:vAlign w:val="center"/>
          </w:tcPr>
          <w:p w14:paraId="5A0000B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4 / 0 / 0 / 0</w:t>
            </w:r>
          </w:p>
        </w:tc>
        <w:tc>
          <w:tcPr>
            <w:tcW w:w="1806" w:type="dxa"/>
            <w:vAlign w:val="center"/>
          </w:tcPr>
          <w:p w14:paraId="5A0000B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 / 4 / 0 / 0</w:t>
            </w:r>
          </w:p>
        </w:tc>
      </w:tr>
      <w:tr>
        <w:trPr>
          <w:cantSplit/>
        </w:trPr>
        <w:tc>
          <w:tcPr>
            <w:tcW w:w="1900" w:type="dxa"/>
            <w:vAlign w:val="center"/>
          </w:tcPr>
          <w:p w14:paraId="5A0000B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ParamConsistent</w:t>
            </w:r>
          </w:p>
        </w:tc>
        <w:tc>
          <w:tcPr>
            <w:tcW w:w="900" w:type="dxa"/>
            <w:vAlign w:val="center"/>
          </w:tcPr>
          <w:p w14:paraId="5A0000B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7</w:t>
            </w:r>
          </w:p>
        </w:tc>
        <w:tc>
          <w:tcPr>
            <w:tcW w:w="1700" w:type="dxa"/>
            <w:vAlign w:val="center"/>
          </w:tcPr>
          <w:p w14:paraId="5A0000C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7 / 0 / 0 / 0</w:t>
            </w:r>
          </w:p>
        </w:tc>
        <w:tc>
          <w:tcPr>
            <w:tcW w:w="2000" w:type="dxa"/>
            <w:vAlign w:val="center"/>
          </w:tcPr>
          <w:p w14:paraId="5A0000C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 / 3 / 3 / 0</w:t>
            </w:r>
          </w:p>
        </w:tc>
        <w:tc>
          <w:tcPr>
            <w:tcW w:w="1806" w:type="dxa"/>
            <w:vAlign w:val="center"/>
          </w:tcPr>
          <w:p w14:paraId="5A0000C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 / 3 / 3 / 0</w:t>
            </w:r>
          </w:p>
        </w:tc>
      </w:tr>
      <w:tr>
        <w:trPr>
          <w:cantSplit/>
        </w:trPr>
        <w:tc>
          <w:tcPr>
            <w:tcW w:w="1900" w:type="dxa"/>
            <w:vAlign w:val="center"/>
          </w:tcPr>
          <w:p w14:paraId="5A0000C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合计（无效）</w:t>
            </w:r>
          </w:p>
        </w:tc>
        <w:tc>
          <w:tcPr>
            <w:tcW w:w="900" w:type="dxa"/>
            <w:vAlign w:val="center"/>
          </w:tcPr>
          <w:p w14:paraId="5A0000C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24</w:t>
            </w:r>
          </w:p>
        </w:tc>
        <w:tc>
          <w:tcPr>
            <w:tcW w:w="1700" w:type="dxa"/>
            <w:vAlign w:val="center"/>
          </w:tcPr>
          <w:p w14:paraId="5A0000C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24 / 0 / 0 / 0</w:t>
            </w:r>
          </w:p>
        </w:tc>
        <w:tc>
          <w:tcPr>
            <w:tcW w:w="2000" w:type="dxa"/>
            <w:vAlign w:val="center"/>
          </w:tcPr>
          <w:p w14:paraId="5A0000C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13 / 4 / 3 / 4</w:t>
            </w:r>
          </w:p>
        </w:tc>
        <w:tc>
          <w:tcPr>
            <w:tcW w:w="1806" w:type="dxa"/>
            <w:vAlign w:val="center"/>
          </w:tcPr>
          <w:p w14:paraId="5A0000C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3 / 12 / 3 / 6</w:t>
            </w:r>
          </w:p>
        </w:tc>
      </w:tr>
      <w:tr>
        <w:trPr>
          <w:cantSplit/>
        </w:trPr>
        <w:tc>
          <w:tcPr>
            <w:tcW w:w="1900" w:type="dxa"/>
            <w:vAlign w:val="center"/>
          </w:tcPr>
          <w:p w14:paraId="5A0000C8"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有效场景可表达数</w:t>
            </w:r>
          </w:p>
        </w:tc>
        <w:tc>
          <w:tcPr>
            <w:tcW w:w="900" w:type="dxa"/>
            <w:vAlign w:val="center"/>
          </w:tcPr>
          <w:p w14:paraId="5A0000C9"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18</w:t>
            </w:r>
          </w:p>
        </w:tc>
        <w:tc>
          <w:tcPr>
            <w:tcW w:w="1700" w:type="dxa"/>
            <w:vAlign w:val="center"/>
          </w:tcPr>
          <w:p w14:paraId="5A0000CA"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18</w:t>
            </w:r>
          </w:p>
        </w:tc>
        <w:tc>
          <w:tcPr>
            <w:tcW w:w="2000" w:type="dxa"/>
            <w:vAlign w:val="center"/>
          </w:tcPr>
          <w:p w14:paraId="5A0000CB"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9</w:t>
            </w:r>
          </w:p>
        </w:tc>
        <w:tc>
          <w:tcPr>
            <w:tcW w:w="1806" w:type="dxa"/>
            <w:vAlign w:val="center"/>
          </w:tcPr>
          <w:p w14:paraId="5A0000CC"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3</w:t>
            </w:r>
          </w:p>
        </w:tc>
      </w:tr>
    </w:tbl>
    <w:p w14:paraId="5A0000CD" w14:textId="77777777">
      <w:pPr>
        <w:spacing w:before="120"/>
        <w:jc w:val="both"/>
        <w:rPr>
          <w:rFonts w:ascii="Times New Roman" w:eastAsia="Songti SC" w:hAnsi="Times New Roman" w:cs="Times New Roman"/>
          <w:sz w:val="18"/>
          <w:szCs w:val="18"/>
        </w:rPr>
      </w:pPr>
      <w:r>
        <w:rPr>
          <w:rFonts w:ascii="Times New Roman" w:eastAsia="Songti SC" w:hAnsi="Times New Roman" w:cs="Times New Roman"/>
          <w:sz w:val="18"/>
          <w:szCs w:val="18"/>
        </w:rPr>
        <w:t>注：每格依次为“拒绝 / 接受且改变余额 / 接受但不改变余额 / 无法在链上表达”的场景数。B1/B2的拒绝由eth_call预检确认EVM回退，接受项读取已上链交易的回执及前后投影；编码、网络、超时及其他RPC故障中止运行，不计为拦截。零数量铸造或销毁可成功写入零值Transfer记录。完整机制结果沿用表6。</w:t>
      </w:r>
    </w:p>
    <w:p w14:paraId="5A0000CE"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 xml:space="preserve">B1仅拒绝了3个无效场景，分别是非发行人铸造、非发行人销毁和超出余额的销毁；另有12个场景被接受且改变了余额。B2拒绝了13个无效场景，其中ComplianceValid和LifecycleValid场景全部被拒绝，Authorized场景中可表达的4个也全部被拒绝（I02涉及NAV提交，无法表达）。这表明，在本研究的B2基线与上述场景上，授权、资格和暂停检查可由常规许可型代币提供；B2对转让方资格的检查甚至严于原型（见5.6节）。B2的失效集中在NAVValid和ParamConsistent：没有NAV记录时铸造份额被接受（I10），同一笔申购的重复发行（I20）与同一笔赎回的重复结算（I24）被接受，已承诺用于赎回的份额被转出（I23），三项零数量操作被接受并写入零值记录；初始NAV之前提交公式NAV、重复初始化和估值日期回退（I11–I13）在B2中无法表达，因为估值不在链上。在有效场景方面，B2只能表达18个中的9个，B1只能表达3个，申购与赎回请求、结算延迟和NAV提交均无链上对应。由此可见，相对于常规许可型代币，完整机制的必要增量在于版本化NAV绑定和请求级状态，后者包括请求记录、待赎回份额锁定和单次处理约束。这两类约束对应的正是B2无法阻止或无法表达的无效状态。本研究未构建集中式工作流仿真基线：该基线需要以机构间对账点和不一致状态窗口为对象建立独立的成本模型，留作后续工作。</w:t>
      </w:r>
    </w:p>
    <w:p w14:paraId="7B5475AE" w14:textId="03A58E35" w:rsidR="005F6ACE" w:rsidRPr="005F6ACE" w:rsidRDefault="005F6ACE" w:rsidP="005F6ACE">
      <w:pPr>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 xml:space="preserve">.4 Audit Reconstructability</w:t>
      </w:r>
    </w:p>
    <w:p w14:paraId="5A0000CF"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EQ3检查事件能否独立于合约视图恢复创世配置预先声明的账户与角色范围内的实现投影。标准轨迹包含14个操作、22个生命周期事件，覆盖资格、NAV、请求、份额变动、延迟、暂停恢复与角色变化。纯回放仅输入创世配置和有序原始日志，合约历史视图另行保存作为比对结果。本次ARC = 22/22、NRI = 2/2、PCR = 14/14；NRI仅表示引用绑定执行时最新登记版本且随后可恢复，不表示该版本在业务或监管上适用。基线恢复结果见表9；原始日志、ABI、创世配置和各检查点均归档。</w:t>
      </w:r>
    </w:p>
    <w:p w14:paraId="5A0000D0"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为说明这一结果并非任何链上账本都具备，将同一业务轨迹在B1和B2上执行，并在每个检查点按组件比较其事件回放结果与完整机制的投影（表9）。两类基线都能由Transfer事件恢复余额与总份额。B2还能恢复资格、运营状态和执行角色分配，但两类基线都没有记录NAV版本历史和请求记录，两项NAV引用也都没有链上记录。组件不被记录时，即使其真实取值恰好为空也不计为可恢复，因此两类基线的完整投影一致数均为0/14。若改为按取值相等计算，B2在首个NAV记录产生之前的2个检查点上可视为一致，结论不变。B2的执行角色项只比较候选发行人权限与原型申购执行权的对应，不代表完整机构权限模型。</w:t>
      </w:r>
    </w:p>
    <w:p w14:paraId="5A0000D1"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表9 标准轨迹14个检查点上的组件可恢复性</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2700"/>
        <w:gridCol w:w="1900"/>
        <w:gridCol w:w="1900"/>
        <w:gridCol w:w="1806"/>
      </w:tblGrid>
      <w:tr>
        <w:trPr>
          <w:tblHeader/>
          <w:cantSplit/>
        </w:trPr>
        <w:tc>
          <w:tcPr>
            <w:tcW w:w="2700" w:type="dxa"/>
            <w:shd w:val="clear" w:color="auto" w:fill="F2F2F2"/>
            <w:vAlign w:val="center"/>
          </w:tcPr>
          <w:p w14:paraId="5A0000D2"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投影组件</w:t>
            </w:r>
          </w:p>
        </w:tc>
        <w:tc>
          <w:tcPr>
            <w:tcW w:w="1900" w:type="dxa"/>
            <w:shd w:val="clear" w:color="auto" w:fill="F2F2F2"/>
            <w:vAlign w:val="center"/>
          </w:tcPr>
          <w:p w14:paraId="5A0000D3"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完整机制</w:t>
            </w:r>
          </w:p>
        </w:tc>
        <w:tc>
          <w:tcPr>
            <w:tcW w:w="1900" w:type="dxa"/>
            <w:shd w:val="clear" w:color="auto" w:fill="F2F2F2"/>
            <w:vAlign w:val="center"/>
          </w:tcPr>
          <w:p w14:paraId="5A0000D4"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B2</w:t>
            </w:r>
          </w:p>
        </w:tc>
        <w:tc>
          <w:tcPr>
            <w:tcW w:w="1806" w:type="dxa"/>
            <w:shd w:val="clear" w:color="auto" w:fill="F2F2F2"/>
            <w:vAlign w:val="center"/>
          </w:tcPr>
          <w:p w14:paraId="5A0000D5"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B1</w:t>
            </w:r>
          </w:p>
        </w:tc>
      </w:tr>
      <w:tr>
        <w:trPr>
          <w:cantSplit/>
        </w:trPr>
        <w:tc>
          <w:tcPr>
            <w:tcW w:w="2700" w:type="dxa"/>
            <w:vAlign w:val="center"/>
          </w:tcPr>
          <w:p w14:paraId="5A0000D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余额与总份额</w:t>
            </w:r>
          </w:p>
        </w:tc>
        <w:tc>
          <w:tcPr>
            <w:tcW w:w="1900" w:type="dxa"/>
            <w:vAlign w:val="center"/>
          </w:tcPr>
          <w:p w14:paraId="5A0000D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D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806" w:type="dxa"/>
            <w:vAlign w:val="center"/>
          </w:tcPr>
          <w:p w14:paraId="5A0000D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r>
      <w:tr>
        <w:trPr>
          <w:cantSplit/>
        </w:trPr>
        <w:tc>
          <w:tcPr>
            <w:tcW w:w="2700" w:type="dxa"/>
            <w:vAlign w:val="center"/>
          </w:tcPr>
          <w:p w14:paraId="5A0000D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投资者资格</w:t>
            </w:r>
          </w:p>
        </w:tc>
        <w:tc>
          <w:tcPr>
            <w:tcW w:w="1900" w:type="dxa"/>
            <w:vAlign w:val="center"/>
          </w:tcPr>
          <w:p w14:paraId="5A0000D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D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806" w:type="dxa"/>
            <w:vAlign w:val="center"/>
          </w:tcPr>
          <w:p w14:paraId="5A0000D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r>
      <w:tr>
        <w:trPr>
          <w:cantSplit/>
        </w:trPr>
        <w:tc>
          <w:tcPr>
            <w:tcW w:w="2700" w:type="dxa"/>
            <w:vAlign w:val="center"/>
          </w:tcPr>
          <w:p w14:paraId="5A0000D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NAV版本历史</w:t>
            </w:r>
          </w:p>
        </w:tc>
        <w:tc>
          <w:tcPr>
            <w:tcW w:w="1900" w:type="dxa"/>
            <w:vAlign w:val="center"/>
          </w:tcPr>
          <w:p w14:paraId="5A0000D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E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c>
          <w:tcPr>
            <w:tcW w:w="1806" w:type="dxa"/>
            <w:vAlign w:val="center"/>
          </w:tcPr>
          <w:p w14:paraId="5A0000E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r>
      <w:tr>
        <w:trPr>
          <w:cantSplit/>
        </w:trPr>
        <w:tc>
          <w:tcPr>
            <w:tcW w:w="2700" w:type="dxa"/>
            <w:vAlign w:val="center"/>
          </w:tcPr>
          <w:p w14:paraId="5A0000E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运营状态</w:t>
            </w:r>
          </w:p>
        </w:tc>
        <w:tc>
          <w:tcPr>
            <w:tcW w:w="1900" w:type="dxa"/>
            <w:vAlign w:val="center"/>
          </w:tcPr>
          <w:p w14:paraId="5A0000E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E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806" w:type="dxa"/>
            <w:vAlign w:val="center"/>
          </w:tcPr>
          <w:p w14:paraId="5A0000E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r>
      <w:tr>
        <w:trPr>
          <w:cantSplit/>
        </w:trPr>
        <w:tc>
          <w:tcPr>
            <w:tcW w:w="2700" w:type="dxa"/>
            <w:vAlign w:val="center"/>
          </w:tcPr>
          <w:p w14:paraId="5A0000E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执行角色分配</w:t>
            </w:r>
          </w:p>
        </w:tc>
        <w:tc>
          <w:tcPr>
            <w:tcW w:w="1900" w:type="dxa"/>
            <w:vAlign w:val="center"/>
          </w:tcPr>
          <w:p w14:paraId="5A0000E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E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806" w:type="dxa"/>
            <w:vAlign w:val="center"/>
          </w:tcPr>
          <w:p w14:paraId="5A0000E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r>
      <w:tr>
        <w:trPr>
          <w:cantSplit/>
        </w:trPr>
        <w:tc>
          <w:tcPr>
            <w:tcW w:w="2700" w:type="dxa"/>
            <w:vAlign w:val="center"/>
          </w:tcPr>
          <w:p w14:paraId="5A0000E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申购赎回请求记录</w:t>
            </w:r>
          </w:p>
        </w:tc>
        <w:tc>
          <w:tcPr>
            <w:tcW w:w="1900" w:type="dxa"/>
            <w:vAlign w:val="center"/>
          </w:tcPr>
          <w:p w14:paraId="5A0000E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E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c>
          <w:tcPr>
            <w:tcW w:w="1806" w:type="dxa"/>
            <w:vAlign w:val="center"/>
          </w:tcPr>
          <w:p w14:paraId="5A0000E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w:t>
            </w:r>
          </w:p>
        </w:tc>
      </w:tr>
      <w:tr>
        <w:trPr>
          <w:cantSplit/>
        </w:trPr>
        <w:tc>
          <w:tcPr>
            <w:tcW w:w="2700" w:type="dxa"/>
            <w:vAlign w:val="center"/>
          </w:tcPr>
          <w:p w14:paraId="5A0000E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NAV引用（NRI）</w:t>
            </w:r>
          </w:p>
        </w:tc>
        <w:tc>
          <w:tcPr>
            <w:tcW w:w="1900" w:type="dxa"/>
            <w:vAlign w:val="center"/>
          </w:tcPr>
          <w:p w14:paraId="5A0000E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2/2</w:t>
            </w:r>
          </w:p>
        </w:tc>
        <w:tc>
          <w:tcPr>
            <w:tcW w:w="1900" w:type="dxa"/>
            <w:vAlign w:val="center"/>
          </w:tcPr>
          <w:p w14:paraId="5A0000F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未记录（0/2）</w:t>
            </w:r>
          </w:p>
        </w:tc>
        <w:tc>
          <w:tcPr>
            <w:tcW w:w="1806" w:type="dxa"/>
            <w:vAlign w:val="center"/>
          </w:tcPr>
          <w:p w14:paraId="5A0000F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未记录（0/2）</w:t>
            </w:r>
          </w:p>
        </w:tc>
      </w:tr>
      <w:tr>
        <w:trPr>
          <w:cantSplit/>
        </w:trPr>
        <w:tc>
          <w:tcPr>
            <w:tcW w:w="2700" w:type="dxa"/>
            <w:vAlign w:val="center"/>
          </w:tcPr>
          <w:p w14:paraId="5A0000F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完整投影（PCR）</w:t>
            </w:r>
          </w:p>
        </w:tc>
        <w:tc>
          <w:tcPr>
            <w:tcW w:w="1900" w:type="dxa"/>
            <w:vAlign w:val="center"/>
          </w:tcPr>
          <w:p w14:paraId="5A0000F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14/14</w:t>
            </w:r>
          </w:p>
        </w:tc>
        <w:tc>
          <w:tcPr>
            <w:tcW w:w="1900" w:type="dxa"/>
            <w:vAlign w:val="center"/>
          </w:tcPr>
          <w:p w14:paraId="5A0000F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0/14</w:t>
            </w:r>
          </w:p>
        </w:tc>
        <w:tc>
          <w:tcPr>
            <w:tcW w:w="1806" w:type="dxa"/>
            <w:vAlign w:val="center"/>
          </w:tcPr>
          <w:p w14:paraId="5A0000F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0/14</w:t>
            </w:r>
          </w:p>
        </w:tc>
      </w:tr>
      <w:tr>
        <w:trPr>
          <w:cantSplit/>
        </w:trPr>
        <w:tc>
          <w:tcPr>
            <w:tcW w:w="2700" w:type="dxa"/>
            <w:vAlign w:val="center"/>
          </w:tcPr>
          <w:p w14:paraId="5A0000F6"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链上事件数与类型</w:t>
            </w:r>
          </w:p>
        </w:tc>
        <w:tc>
          <w:tcPr>
            <w:tcW w:w="1900" w:type="dxa"/>
            <w:vAlign w:val="center"/>
          </w:tcPr>
          <w:p w14:paraId="5A0000F7"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22个，14类</w:t>
            </w:r>
          </w:p>
        </w:tc>
        <w:tc>
          <w:tcPr>
            <w:tcW w:w="1900" w:type="dxa"/>
            <w:vAlign w:val="center"/>
          </w:tcPr>
          <w:p w14:paraId="5A0000F8"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9个，6类</w:t>
            </w:r>
          </w:p>
        </w:tc>
        <w:tc>
          <w:tcPr>
            <w:tcW w:w="1806" w:type="dxa"/>
            <w:vAlign w:val="center"/>
          </w:tcPr>
          <w:p w14:paraId="5A0000F9"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3个，1类</w:t>
            </w:r>
          </w:p>
        </w:tc>
      </w:tr>
    </w:tbl>
    <w:p w14:paraId="5A0000FA"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全部9次规模运行的ARC均为1.00，NRI合计4,095/4,095（10,000事件目标下3,695/3,695），PCR合计92/92。案例的ARC = 39/39、NRI = 5/5、PCR = 23/23。这些结果依赖可信创世配置、完整有序日志及无链重组。规模检查点的视图与回放输入分开保存，回放不消费视图。模拟拒绝不产生生命周期事件，需要另存调用及EVM错误；本实验不将其称为失败交易。受理与结算执行者仍需交易信封补充，案例政策也属于审计的外部假设。</w:t>
      </w:r>
    </w:p>
    <w:p w14:paraId="72338DBE" w14:textId="4E34F3BD" w:rsidR="005F6ACE" w:rsidRPr="005F6ACE" w:rsidRDefault="005F6ACE" w:rsidP="005F6ACE">
      <w:pPr>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.5 Performance and Scalability</w:t>
      </w:r>
    </w:p>
    <w:p w14:paraId="5A0000FB"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EQ4先比较标准轨迹上的交易gas（表10）。生产合约与两类比较基线各执行5次全新部署；生产各操作gas在重复运行中一致。所有值从本次保存的交易回执归集，完整机制的申购和赎回包含请求与生效两笔交易，基线只执行一次铸造或销毁。</w:t>
      </w:r>
    </w:p>
    <w:p w14:paraId="5A0000FC"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表10 单项业务操作的gas：完整机制与比较基线</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1300"/>
        <w:gridCol w:w="3006"/>
        <w:gridCol w:w="1300"/>
        <w:gridCol w:w="1300"/>
        <w:gridCol w:w="1400"/>
      </w:tblGrid>
      <w:tr>
        <w:trPr>
          <w:tblHeader/>
          <w:cantSplit/>
        </w:trPr>
        <w:tc>
          <w:tcPr>
            <w:tcW w:w="1300" w:type="dxa"/>
            <w:shd w:val="clear" w:color="auto" w:fill="F2F2F2"/>
            <w:vAlign w:val="center"/>
          </w:tcPr>
          <w:p w14:paraId="5A0000FD"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业务操作</w:t>
            </w:r>
          </w:p>
        </w:tc>
        <w:tc>
          <w:tcPr>
            <w:tcW w:w="3006" w:type="dxa"/>
            <w:shd w:val="clear" w:color="auto" w:fill="F2F2F2"/>
            <w:vAlign w:val="center"/>
          </w:tcPr>
          <w:p w14:paraId="5A0000FE"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完整机制</w:t>
            </w:r>
          </w:p>
        </w:tc>
        <w:tc>
          <w:tcPr>
            <w:tcW w:w="1300" w:type="dxa"/>
            <w:shd w:val="clear" w:color="auto" w:fill="F2F2F2"/>
            <w:vAlign w:val="center"/>
          </w:tcPr>
          <w:p w14:paraId="5A0000FF"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B2</w:t>
            </w:r>
          </w:p>
        </w:tc>
        <w:tc>
          <w:tcPr>
            <w:tcW w:w="1300" w:type="dxa"/>
            <w:shd w:val="clear" w:color="auto" w:fill="F2F2F2"/>
            <w:vAlign w:val="center"/>
          </w:tcPr>
          <w:p w14:paraId="5A000100"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B1</w:t>
            </w:r>
          </w:p>
        </w:tc>
        <w:tc>
          <w:tcPr>
            <w:tcW w:w="1400" w:type="dxa"/>
            <w:shd w:val="clear" w:color="auto" w:fill="F2F2F2"/>
            <w:vAlign w:val="center"/>
          </w:tcPr>
          <w:p w14:paraId="5A000101"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完整机制/B2</w:t>
            </w:r>
          </w:p>
        </w:tc>
      </w:tr>
      <w:tr>
        <w:trPr>
          <w:cantSplit/>
        </w:trPr>
        <w:tc>
          <w:tcPr>
            <w:tcW w:w="1300" w:type="dxa"/>
            <w:vAlign w:val="center"/>
          </w:tcPr>
          <w:p w14:paraId="5A00010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资格更新</w:t>
            </w:r>
          </w:p>
        </w:tc>
        <w:tc>
          <w:tcPr>
            <w:tcW w:w="3006" w:type="dxa"/>
            <w:vAlign w:val="center"/>
          </w:tcPr>
          <w:p w14:paraId="5A00010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50,158</w:t>
            </w:r>
          </w:p>
        </w:tc>
        <w:tc>
          <w:tcPr>
            <w:tcW w:w="1300" w:type="dxa"/>
            <w:vAlign w:val="center"/>
          </w:tcPr>
          <w:p w14:paraId="5A00010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48,543</w:t>
            </w:r>
          </w:p>
        </w:tc>
        <w:tc>
          <w:tcPr>
            <w:tcW w:w="1300" w:type="dxa"/>
            <w:vAlign w:val="center"/>
          </w:tcPr>
          <w:p w14:paraId="5A00010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400" w:type="dxa"/>
            <w:vAlign w:val="center"/>
          </w:tcPr>
          <w:p w14:paraId="5A000106"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1.03</w:t>
            </w:r>
          </w:p>
        </w:tc>
      </w:tr>
      <w:tr>
        <w:trPr>
          <w:cantSplit/>
        </w:trPr>
        <w:tc>
          <w:tcPr>
            <w:tcW w:w="1300" w:type="dxa"/>
            <w:vAlign w:val="center"/>
          </w:tcPr>
          <w:p w14:paraId="5A00010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NAV提交</w:t>
            </w:r>
          </w:p>
        </w:tc>
        <w:tc>
          <w:tcPr>
            <w:tcW w:w="3006" w:type="dxa"/>
            <w:vAlign w:val="center"/>
          </w:tcPr>
          <w:p w14:paraId="5A00010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163,810</w:t>
            </w:r>
          </w:p>
        </w:tc>
        <w:tc>
          <w:tcPr>
            <w:tcW w:w="1300" w:type="dxa"/>
            <w:vAlign w:val="center"/>
          </w:tcPr>
          <w:p w14:paraId="5A00010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300" w:type="dxa"/>
            <w:vAlign w:val="center"/>
          </w:tcPr>
          <w:p w14:paraId="5A00010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400" w:type="dxa"/>
            <w:vAlign w:val="center"/>
          </w:tcPr>
          <w:p w14:paraId="5A00010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r>
      <w:tr>
        <w:trPr>
          <w:cantSplit/>
        </w:trPr>
        <w:tc>
          <w:tcPr>
            <w:tcW w:w="1300" w:type="dxa"/>
            <w:vAlign w:val="center"/>
          </w:tcPr>
          <w:p w14:paraId="5A00010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申购</w:t>
            </w:r>
          </w:p>
        </w:tc>
        <w:tc>
          <w:tcPr>
            <w:tcW w:w="3006" w:type="dxa"/>
            <w:vAlign w:val="center"/>
          </w:tcPr>
          <w:p w14:paraId="5A00010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333,834（请求147,060＋接受186,774）</w:t>
            </w:r>
          </w:p>
        </w:tc>
        <w:tc>
          <w:tcPr>
            <w:tcW w:w="1300" w:type="dxa"/>
            <w:vAlign w:val="center"/>
          </w:tcPr>
          <w:p w14:paraId="5A00010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76,118</w:t>
            </w:r>
          </w:p>
        </w:tc>
        <w:tc>
          <w:tcPr>
            <w:tcW w:w="1300" w:type="dxa"/>
            <w:vAlign w:val="center"/>
          </w:tcPr>
          <w:p w14:paraId="5A00010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71,263</w:t>
            </w:r>
          </w:p>
        </w:tc>
        <w:tc>
          <w:tcPr>
            <w:tcW w:w="1400" w:type="dxa"/>
            <w:vAlign w:val="center"/>
          </w:tcPr>
          <w:p w14:paraId="5A00011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4.39</w:t>
            </w:r>
          </w:p>
        </w:tc>
      </w:tr>
      <w:tr>
        <w:trPr>
          <w:cantSplit/>
        </w:trPr>
        <w:tc>
          <w:tcPr>
            <w:tcW w:w="1300" w:type="dxa"/>
            <w:vAlign w:val="center"/>
          </w:tcPr>
          <w:p w14:paraId="5A00011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赎回</w:t>
            </w:r>
          </w:p>
        </w:tc>
        <w:tc>
          <w:tcPr>
            <w:tcW w:w="3006" w:type="dxa"/>
            <w:vAlign w:val="center"/>
          </w:tcPr>
          <w:p w14:paraId="5A00011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332,253（请求188,103＋结算144,150）</w:t>
            </w:r>
          </w:p>
        </w:tc>
        <w:tc>
          <w:tcPr>
            <w:tcW w:w="1300" w:type="dxa"/>
            <w:vAlign w:val="center"/>
          </w:tcPr>
          <w:p w14:paraId="5A00011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41,796</w:t>
            </w:r>
          </w:p>
        </w:tc>
        <w:tc>
          <w:tcPr>
            <w:tcW w:w="1300" w:type="dxa"/>
            <w:vAlign w:val="center"/>
          </w:tcPr>
          <w:p w14:paraId="5A00011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36,940</w:t>
            </w:r>
          </w:p>
        </w:tc>
        <w:tc>
          <w:tcPr>
            <w:tcW w:w="1400" w:type="dxa"/>
            <w:vAlign w:val="center"/>
          </w:tcPr>
          <w:p w14:paraId="5A00011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7.95</w:t>
            </w:r>
          </w:p>
        </w:tc>
      </w:tr>
      <w:tr>
        <w:trPr>
          <w:cantSplit/>
        </w:trPr>
        <w:tc>
          <w:tcPr>
            <w:tcW w:w="1300" w:type="dxa"/>
            <w:vAlign w:val="center"/>
          </w:tcPr>
          <w:p w14:paraId="5A00011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受限转让</w:t>
            </w:r>
          </w:p>
        </w:tc>
        <w:tc>
          <w:tcPr>
            <w:tcW w:w="3006" w:type="dxa"/>
            <w:vAlign w:val="center"/>
          </w:tcPr>
          <w:p w14:paraId="5A00011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67,074</w:t>
            </w:r>
          </w:p>
        </w:tc>
        <w:tc>
          <w:tcPr>
            <w:tcW w:w="1300" w:type="dxa"/>
            <w:vAlign w:val="center"/>
          </w:tcPr>
          <w:p w14:paraId="5A00011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59,001</w:t>
            </w:r>
          </w:p>
        </w:tc>
        <w:tc>
          <w:tcPr>
            <w:tcW w:w="1300" w:type="dxa"/>
            <w:vAlign w:val="center"/>
          </w:tcPr>
          <w:p w14:paraId="5A00011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52,167</w:t>
            </w:r>
          </w:p>
        </w:tc>
        <w:tc>
          <w:tcPr>
            <w:tcW w:w="1400" w:type="dxa"/>
            <w:vAlign w:val="center"/>
          </w:tcPr>
          <w:p w14:paraId="5A00011A"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1.14</w:t>
            </w:r>
          </w:p>
        </w:tc>
      </w:tr>
      <w:tr>
        <w:trPr>
          <w:cantSplit/>
        </w:trPr>
        <w:tc>
          <w:tcPr>
            <w:tcW w:w="1300" w:type="dxa"/>
            <w:vAlign w:val="center"/>
          </w:tcPr>
          <w:p w14:paraId="5A00011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暂停/恢复</w:t>
            </w:r>
          </w:p>
        </w:tc>
        <w:tc>
          <w:tcPr>
            <w:tcW w:w="3006" w:type="dxa"/>
            <w:vAlign w:val="center"/>
          </w:tcPr>
          <w:p w14:paraId="5A00011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36,464</w:t>
            </w:r>
          </w:p>
        </w:tc>
        <w:tc>
          <w:tcPr>
            <w:tcW w:w="1300" w:type="dxa"/>
            <w:vAlign w:val="center"/>
          </w:tcPr>
          <w:p w14:paraId="5A00011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36,485</w:t>
            </w:r>
          </w:p>
        </w:tc>
        <w:tc>
          <w:tcPr>
            <w:tcW w:w="1300" w:type="dxa"/>
            <w:vAlign w:val="center"/>
          </w:tcPr>
          <w:p w14:paraId="5A00011E"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400" w:type="dxa"/>
            <w:vAlign w:val="center"/>
          </w:tcPr>
          <w:p w14:paraId="5A00011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1.00</w:t>
            </w:r>
          </w:p>
        </w:tc>
      </w:tr>
      <w:tr>
        <w:trPr>
          <w:cantSplit/>
        </w:trPr>
        <w:tc>
          <w:tcPr>
            <w:tcW w:w="1300" w:type="dxa"/>
            <w:vAlign w:val="center"/>
          </w:tcPr>
          <w:p w14:paraId="5A00012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角色更新</w:t>
            </w:r>
          </w:p>
        </w:tc>
        <w:tc>
          <w:tcPr>
            <w:tcW w:w="3006" w:type="dxa"/>
            <w:vAlign w:val="center"/>
          </w:tcPr>
          <w:p w14:paraId="5A00012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41,129.5</w:t>
            </w:r>
          </w:p>
        </w:tc>
        <w:tc>
          <w:tcPr>
            <w:tcW w:w="1300" w:type="dxa"/>
            <w:vAlign w:val="center"/>
          </w:tcPr>
          <w:p w14:paraId="5A000122"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41,107</w:t>
            </w:r>
          </w:p>
        </w:tc>
        <w:tc>
          <w:tcPr>
            <w:tcW w:w="1300" w:type="dxa"/>
            <w:vAlign w:val="center"/>
          </w:tcPr>
          <w:p w14:paraId="5A00012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400" w:type="dxa"/>
            <w:vAlign w:val="center"/>
          </w:tcPr>
          <w:p w14:paraId="5A00012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1.00</w:t>
            </w:r>
          </w:p>
        </w:tc>
      </w:tr>
      <w:tr>
        <w:trPr>
          <w:cantSplit/>
        </w:trPr>
        <w:tc>
          <w:tcPr>
            <w:tcW w:w="1300" w:type="dxa"/>
            <w:vAlign w:val="center"/>
          </w:tcPr>
          <w:p w14:paraId="5A000125"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结算延迟标记</w:t>
            </w:r>
          </w:p>
        </w:tc>
        <w:tc>
          <w:tcPr>
            <w:tcW w:w="3006" w:type="dxa"/>
            <w:vAlign w:val="center"/>
          </w:tcPr>
          <w:p w14:paraId="5A000126"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83,006</w:t>
            </w:r>
          </w:p>
        </w:tc>
        <w:tc>
          <w:tcPr>
            <w:tcW w:w="1300" w:type="dxa"/>
            <w:vAlign w:val="center"/>
          </w:tcPr>
          <w:p w14:paraId="5A000127"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300" w:type="dxa"/>
            <w:vAlign w:val="center"/>
          </w:tcPr>
          <w:p w14:paraId="5A000128"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c>
          <w:tcPr>
            <w:tcW w:w="1400" w:type="dxa"/>
            <w:vAlign w:val="center"/>
          </w:tcPr>
          <w:p w14:paraId="5A000129"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w:t>
            </w:r>
          </w:p>
        </w:tc>
      </w:tr>
    </w:tbl>
    <w:p w14:paraId="5A00012A" w14:textId="77777777">
      <w:pPr>
        <w:spacing w:before="120"/>
        <w:jc w:val="both"/>
        <w:rPr>
          <w:rFonts w:ascii="Times New Roman" w:eastAsia="Songti SC" w:hAnsi="Times New Roman" w:cs="Times New Roman"/>
          <w:sz w:val="18"/>
          <w:szCs w:val="18"/>
        </w:rPr>
      </w:pPr>
      <w:r>
        <w:rPr>
          <w:rFonts w:ascii="Times New Roman" w:eastAsia="Songti SC" w:hAnsi="Times New Roman" w:cs="Times New Roman"/>
          <w:sz w:val="18"/>
          <w:szCs w:val="18"/>
        </w:rPr>
        <w:t xml:space="preserve">注：完整机制的申购与赎回为两笔交易之和，比较基线为一笔铸造或销毁交易；资格更新为两次资格更新的均值，NAV提交为初始NAV与公式NAV的均值，暂停/恢复与角色更新为两类交易的均值；“—”表示该基线无对应操作。</w:t>
      </w:r>
    </w:p>
    <w:p w14:paraId="5A00012B"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 xml:space="preserve">对于B2中存在对应操作的资格更新、暂停与恢复和角色更新，完整机制的gas与B2基本相同，比值为1.00至1.03。受限转让高出约14%，按代码分析，主要来自可用份额检查和两条ShareBalanceUpdated事件。差异集中在申购和赎回，分别为B2的4.39倍和7.95倍。只比较生效交易时，申购接受与赎回结算分别为B2单笔铸造和销毁的2.45倍和3.45倍。按代码分析，这部分开销对应请求记录的存储、NAV版本绑定、待赎回份额锁定和语义事件，即5.3节中B2无法阻止或无法表达的那部分约束。由于各项增量与新增状态和事件同时出现，本测量不能单独分离谓词判断本身的成本。上述数值描述本地EVM上的gas消耗，不代表生产环境费用。</w:t>
      </w:r>
    </w:p>
    <w:p w14:paraId="5A00012C"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第二部分为单节点顺序规模增长实验。24名投资者的混合负载由固定种子生成，只在当前可执行操作中按原方案权重抽样。各权重为：申购请求14、接受14、转让18、赎回请求12、结算12、延迟2、NAV提交10、资格更新8、暂停恢复对4、角色变更对2。一次操作一个区块，时间推进60秒；NAV估值时间与其提交区块时间相同并逐项断言。事件数达到100、1,000或10,000时在操作边界停止，因此允许超过目标。各目标使用3个种子，表11报告种子间均值与样本标准差。该设计不测并发饱和、节点竞争或故障恢复。</w:t>
      </w:r>
    </w:p>
    <w:p w14:paraId="5A00012D"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表11 顺序规模增长结果（3个种子，均值 ± 样本标准差）</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2606"/>
        <w:gridCol w:w="1900"/>
        <w:gridCol w:w="1900"/>
        <w:gridCol w:w="1900"/>
      </w:tblGrid>
      <w:tr>
        <w:trPr>
          <w:tblHeader/>
          <w:cantSplit/>
        </w:trPr>
        <w:tc>
          <w:tcPr>
            <w:tcW w:w="2606" w:type="dxa"/>
            <w:shd w:val="clear" w:color="auto" w:fill="F2F2F2"/>
            <w:vAlign w:val="center"/>
          </w:tcPr>
          <w:p w14:paraId="5A00012E"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指标</w:t>
            </w:r>
          </w:p>
        </w:tc>
        <w:tc>
          <w:tcPr>
            <w:tcW w:w="1900" w:type="dxa"/>
            <w:shd w:val="clear" w:color="auto" w:fill="F2F2F2"/>
            <w:vAlign w:val="center"/>
          </w:tcPr>
          <w:p w14:paraId="5A00012F"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100事件</w:t>
            </w:r>
          </w:p>
        </w:tc>
        <w:tc>
          <w:tcPr>
            <w:tcW w:w="1900" w:type="dxa"/>
            <w:shd w:val="clear" w:color="auto" w:fill="F2F2F2"/>
            <w:vAlign w:val="center"/>
          </w:tcPr>
          <w:p w14:paraId="5A000130"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1,000事件</w:t>
            </w:r>
          </w:p>
        </w:tc>
        <w:tc>
          <w:tcPr>
            <w:tcW w:w="1900" w:type="dxa"/>
            <w:shd w:val="clear" w:color="auto" w:fill="F2F2F2"/>
            <w:vAlign w:val="center"/>
          </w:tcPr>
          <w:p w14:paraId="5A000131"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10,000事件</w:t>
            </w:r>
          </w:p>
        </w:tc>
      </w:tr>
      <w:tr>
        <w:trPr>
          <w:cantSplit/>
        </w:trPr>
        <w:tc>
          <w:tcPr>
            <w:tcW w:w="2606" w:type="dxa"/>
            <w:vAlign w:val="center"/>
          </w:tcPr>
          <w:p w14:paraId="5A00013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交易数</w:t>
            </w:r>
          </w:p>
        </w:tc>
        <w:tc>
          <w:tcPr>
            <w:tcW w:w="1900" w:type="dxa"/>
            <w:vAlign w:val="center"/>
          </w:tcPr>
          <w:p w14:paraId="5A00013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54 ± 2</w:t>
            </w:r>
          </w:p>
        </w:tc>
        <w:tc>
          <w:tcPr>
            <w:tcW w:w="1900" w:type="dxa"/>
            <w:vAlign w:val="center"/>
          </w:tcPr>
          <w:p w14:paraId="5A00013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486 ± 15</w:t>
            </w:r>
          </w:p>
        </w:tc>
        <w:tc>
          <w:tcPr>
            <w:tcW w:w="1900" w:type="dxa"/>
            <w:vAlign w:val="center"/>
          </w:tcPr>
          <w:p w14:paraId="5A00013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4,737 ± 44</w:t>
            </w:r>
          </w:p>
        </w:tc>
      </w:tr>
      <w:tr>
        <w:trPr>
          <w:cantSplit/>
        </w:trPr>
        <w:tc>
          <w:tcPr>
            <w:tcW w:w="2606" w:type="dxa"/>
            <w:vAlign w:val="center"/>
          </w:tcPr>
          <w:p w14:paraId="5A00013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被接受生命周期事件数</w:t>
            </w:r>
          </w:p>
        </w:tc>
        <w:tc>
          <w:tcPr>
            <w:tcW w:w="1900" w:type="dxa"/>
            <w:vAlign w:val="center"/>
          </w:tcPr>
          <w:p w14:paraId="5A00013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103 ± 6</w:t>
            </w:r>
          </w:p>
        </w:tc>
        <w:tc>
          <w:tcPr>
            <w:tcW w:w="1900" w:type="dxa"/>
            <w:vAlign w:val="center"/>
          </w:tcPr>
          <w:p w14:paraId="5A00013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1,002 ± 2</w:t>
            </w:r>
          </w:p>
        </w:tc>
        <w:tc>
          <w:tcPr>
            <w:tcW w:w="1900" w:type="dxa"/>
            <w:vAlign w:val="center"/>
          </w:tcPr>
          <w:p w14:paraId="5A00013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10,010 ± 16</w:t>
            </w:r>
          </w:p>
        </w:tc>
      </w:tr>
      <w:tr>
        <w:trPr>
          <w:cantSplit/>
        </w:trPr>
        <w:tc>
          <w:tcPr>
            <w:tcW w:w="2606" w:type="dxa"/>
            <w:vAlign w:val="center"/>
          </w:tcPr>
          <w:p w14:paraId="5A00013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每笔交易gas</w:t>
            </w:r>
          </w:p>
        </w:tc>
        <w:tc>
          <w:tcPr>
            <w:tcW w:w="1900" w:type="dxa"/>
            <w:vAlign w:val="center"/>
          </w:tcPr>
          <w:p w14:paraId="5A00013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113,081 ± 14,973</w:t>
            </w:r>
          </w:p>
        </w:tc>
        <w:tc>
          <w:tcPr>
            <w:tcW w:w="1900" w:type="dxa"/>
            <w:vAlign w:val="center"/>
          </w:tcPr>
          <w:p w14:paraId="5A00013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112,070 ± 983</w:t>
            </w:r>
          </w:p>
        </w:tc>
        <w:tc>
          <w:tcPr>
            <w:tcW w:w="1900" w:type="dxa"/>
            <w:vAlign w:val="center"/>
          </w:tcPr>
          <w:p w14:paraId="5A00013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112,703 ± 1,886</w:t>
            </w:r>
          </w:p>
        </w:tc>
      </w:tr>
      <w:tr>
        <w:trPr>
          <w:cantSplit/>
        </w:trPr>
        <w:tc>
          <w:tcPr>
            <w:tcW w:w="2606" w:type="dxa"/>
            <w:vAlign w:val="center"/>
          </w:tcPr>
          <w:p w14:paraId="5A00013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每个事件gas</w:t>
            </w:r>
          </w:p>
        </w:tc>
        <w:tc>
          <w:tcPr>
            <w:tcW w:w="1900" w:type="dxa"/>
            <w:vAlign w:val="center"/>
          </w:tcPr>
          <w:p w14:paraId="5A00013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58,878 ± 4,324</w:t>
            </w:r>
          </w:p>
        </w:tc>
        <w:tc>
          <w:tcPr>
            <w:tcW w:w="1900" w:type="dxa"/>
            <w:vAlign w:val="center"/>
          </w:tcPr>
          <w:p w14:paraId="5A00014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54,419 ± 2,033</w:t>
            </w:r>
          </w:p>
        </w:tc>
        <w:tc>
          <w:tcPr>
            <w:tcW w:w="1900" w:type="dxa"/>
            <w:vAlign w:val="center"/>
          </w:tcPr>
          <w:p w14:paraId="5A00014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53,336 ± 653</w:t>
            </w:r>
          </w:p>
        </w:tc>
      </w:tr>
      <w:tr>
        <w:trPr>
          <w:cantSplit/>
        </w:trPr>
        <w:tc>
          <w:tcPr>
            <w:tcW w:w="2606" w:type="dxa"/>
            <w:vAlign w:val="center"/>
          </w:tcPr>
          <w:p w14:paraId="5A00014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非零存储槽数（三份合约合计）</w:t>
            </w:r>
          </w:p>
        </w:tc>
        <w:tc>
          <w:tcPr>
            <w:tcW w:w="1900" w:type="dxa"/>
            <w:vAlign w:val="center"/>
          </w:tcPr>
          <w:p w14:paraId="5A00014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156 ± 16</w:t>
            </w:r>
          </w:p>
        </w:tc>
        <w:tc>
          <w:tcPr>
            <w:tcW w:w="1900" w:type="dxa"/>
            <w:vAlign w:val="center"/>
          </w:tcPr>
          <w:p w14:paraId="5A00014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1,153 ± 57</w:t>
            </w:r>
          </w:p>
        </w:tc>
        <w:tc>
          <w:tcPr>
            <w:tcW w:w="1900" w:type="dxa"/>
            <w:vAlign w:val="center"/>
          </w:tcPr>
          <w:p w14:paraId="5A00014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10,877 ± 278</w:t>
            </w:r>
          </w:p>
        </w:tc>
      </w:tr>
      <w:tr>
        <w:trPr>
          <w:cantSplit/>
        </w:trPr>
        <w:tc>
          <w:tcPr>
            <w:tcW w:w="2606" w:type="dxa"/>
            <w:vAlign w:val="center"/>
          </w:tcPr>
          <w:p w14:paraId="5A00014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存储槽数/交易数</w:t>
            </w:r>
          </w:p>
        </w:tc>
        <w:tc>
          <w:tcPr>
            <w:tcW w:w="1900" w:type="dxa"/>
            <w:vAlign w:val="center"/>
          </w:tcPr>
          <w:p w14:paraId="5A00014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2.90 ± 0.39</w:t>
            </w:r>
          </w:p>
        </w:tc>
        <w:tc>
          <w:tcPr>
            <w:tcW w:w="1900" w:type="dxa"/>
            <w:vAlign w:val="center"/>
          </w:tcPr>
          <w:p w14:paraId="5A00014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2.37 ± 0.04</w:t>
            </w:r>
          </w:p>
        </w:tc>
        <w:tc>
          <w:tcPr>
            <w:tcW w:w="1900" w:type="dxa"/>
            <w:vAlign w:val="center"/>
          </w:tcPr>
          <w:p w14:paraId="5A00014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2.30 ± 0.06</w:t>
            </w:r>
          </w:p>
        </w:tc>
      </w:tr>
      <w:tr>
        <w:trPr>
          <w:cantSplit/>
        </w:trPr>
        <w:tc>
          <w:tcPr>
            <w:tcW w:w="2606" w:type="dxa"/>
            <w:vAlign w:val="center"/>
          </w:tcPr>
          <w:p w14:paraId="5A00014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原始日志载荷（KiB）</w:t>
            </w:r>
          </w:p>
        </w:tc>
        <w:tc>
          <w:tcPr>
            <w:tcW w:w="1900" w:type="dxa"/>
            <w:vAlign w:val="center"/>
          </w:tcPr>
          <w:p w14:paraId="5A00014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19.3 ± 1.8</w:t>
            </w:r>
          </w:p>
        </w:tc>
        <w:tc>
          <w:tcPr>
            <w:tcW w:w="1900" w:type="dxa"/>
            <w:vAlign w:val="center"/>
          </w:tcPr>
          <w:p w14:paraId="5A00014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185.3 ± 2.2</w:t>
            </w:r>
          </w:p>
        </w:tc>
        <w:tc>
          <w:tcPr>
            <w:tcW w:w="1900" w:type="dxa"/>
            <w:vAlign w:val="center"/>
          </w:tcPr>
          <w:p w14:paraId="5A00014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1,855.5 ± 16.0</w:t>
            </w:r>
          </w:p>
        </w:tc>
      </w:tr>
      <w:tr>
        <w:trPr>
          <w:cantSplit/>
        </w:trPr>
        <w:tc>
          <w:tcPr>
            <w:tcW w:w="2606" w:type="dxa"/>
            <w:vAlign w:val="center"/>
          </w:tcPr>
          <w:p w14:paraId="5A00014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每个事件日志载荷（B）</w:t>
            </w:r>
          </w:p>
        </w:tc>
        <w:tc>
          <w:tcPr>
            <w:tcW w:w="1900" w:type="dxa"/>
            <w:vAlign w:val="center"/>
          </w:tcPr>
          <w:p w14:paraId="5A00014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191.1 ± 9.0</w:t>
            </w:r>
          </w:p>
        </w:tc>
        <w:tc>
          <w:tcPr>
            <w:tcW w:w="1900" w:type="dxa"/>
            <w:vAlign w:val="center"/>
          </w:tcPr>
          <w:p w14:paraId="5A00015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189.4 ± 2.2</w:t>
            </w:r>
          </w:p>
        </w:tc>
        <w:tc>
          <w:tcPr>
            <w:tcW w:w="1900" w:type="dxa"/>
            <w:vAlign w:val="center"/>
          </w:tcPr>
          <w:p w14:paraId="5A00015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189.8 ± 1.3</w:t>
            </w:r>
          </w:p>
        </w:tc>
      </w:tr>
      <w:tr>
        <w:trPr>
          <w:cantSplit/>
        </w:trPr>
        <w:tc>
          <w:tcPr>
            <w:tcW w:w="2606" w:type="dxa"/>
            <w:vAlign w:val="center"/>
          </w:tcPr>
          <w:p w14:paraId="5A00015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规范化事件索引JSONL（KiB）</w:t>
            </w:r>
          </w:p>
        </w:tc>
        <w:tc>
          <w:tcPr>
            <w:tcW w:w="1900" w:type="dxa"/>
            <w:vAlign w:val="center"/>
          </w:tcPr>
          <w:p w14:paraId="5A000153"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91.2 ± 7.6</w:t>
            </w:r>
          </w:p>
        </w:tc>
        <w:tc>
          <w:tcPr>
            <w:tcW w:w="1900" w:type="dxa"/>
            <w:vAlign w:val="center"/>
          </w:tcPr>
          <w:p w14:paraId="5A000154"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879.1 ± 6.7</w:t>
            </w:r>
          </w:p>
        </w:tc>
        <w:tc>
          <w:tcPr>
            <w:tcW w:w="1900" w:type="dxa"/>
            <w:vAlign w:val="center"/>
          </w:tcPr>
          <w:p w14:paraId="5A000155"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8,815.4 ± 57.2</w:t>
            </w:r>
          </w:p>
        </w:tc>
      </w:tr>
      <w:tr>
        <w:trPr>
          <w:cantSplit/>
        </w:trPr>
        <w:tc>
          <w:tcPr>
            <w:tcW w:w="2606" w:type="dxa"/>
            <w:vAlign w:val="center"/>
          </w:tcPr>
          <w:p w14:paraId="5A00015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日志获取时延（ms）</w:t>
            </w:r>
          </w:p>
        </w:tc>
        <w:tc>
          <w:tcPr>
            <w:tcW w:w="1900" w:type="dxa"/>
            <w:vAlign w:val="center"/>
          </w:tcPr>
          <w:p w14:paraId="5A000157"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3.01 ± 1.87</w:t>
            </w:r>
          </w:p>
        </w:tc>
        <w:tc>
          <w:tcPr>
            <w:tcW w:w="1900" w:type="dxa"/>
            <w:vAlign w:val="center"/>
          </w:tcPr>
          <w:p w14:paraId="5A000158"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9.86 ± 0.38</w:t>
            </w:r>
          </w:p>
        </w:tc>
        <w:tc>
          <w:tcPr>
            <w:tcW w:w="1900" w:type="dxa"/>
            <w:vAlign w:val="center"/>
          </w:tcPr>
          <w:p w14:paraId="5A000159"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94.36 ± 6.42</w:t>
            </w:r>
          </w:p>
        </w:tc>
      </w:tr>
      <w:tr>
        <w:trPr>
          <w:cantSplit/>
        </w:trPr>
        <w:tc>
          <w:tcPr>
            <w:tcW w:w="2606" w:type="dxa"/>
            <w:vAlign w:val="center"/>
          </w:tcPr>
          <w:p w14:paraId="5A00015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回放时延（ms）</w:t>
            </w:r>
          </w:p>
        </w:tc>
        <w:tc>
          <w:tcPr>
            <w:tcW w:w="1900" w:type="dxa"/>
            <w:vAlign w:val="center"/>
          </w:tcPr>
          <w:p w14:paraId="5A00015B"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0.30 ± 0.20</w:t>
            </w:r>
          </w:p>
        </w:tc>
        <w:tc>
          <w:tcPr>
            <w:tcW w:w="1900" w:type="dxa"/>
            <w:vAlign w:val="center"/>
          </w:tcPr>
          <w:p w14:paraId="5A00015C"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2.06 ± 0.43</w:t>
            </w:r>
          </w:p>
        </w:tc>
        <w:tc>
          <w:tcPr>
            <w:tcW w:w="1900" w:type="dxa"/>
            <w:vAlign w:val="center"/>
          </w:tcPr>
          <w:p w14:paraId="5A00015D"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14.79 ± 3.72</w:t>
            </w:r>
          </w:p>
        </w:tc>
      </w:tr>
      <w:tr>
        <w:trPr>
          <w:cantSplit/>
        </w:trPr>
        <w:tc>
          <w:tcPr>
            <w:tcW w:w="2606" w:type="dxa"/>
            <w:vAlign w:val="center"/>
          </w:tcPr>
          <w:p w14:paraId="5A00015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每个事件回放时延（μs）</w:t>
            </w:r>
          </w:p>
        </w:tc>
        <w:tc>
          <w:tcPr>
            <w:tcW w:w="1900" w:type="dxa"/>
            <w:vAlign w:val="center"/>
          </w:tcPr>
          <w:p w14:paraId="5A00015F"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2.94 ± 2.08</w:t>
            </w:r>
          </w:p>
        </w:tc>
        <w:tc>
          <w:tcPr>
            <w:tcW w:w="1900" w:type="dxa"/>
            <w:vAlign w:val="center"/>
          </w:tcPr>
          <w:p w14:paraId="5A000160"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2.06 ± 0.42</w:t>
            </w:r>
          </w:p>
        </w:tc>
        <w:tc>
          <w:tcPr>
            <w:tcW w:w="1900" w:type="dxa"/>
            <w:vAlign w:val="center"/>
          </w:tcPr>
          <w:p w14:paraId="5A000161" w14:textId="77777777">
            <w:pPr>
              <w:keepNext/>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1.48 ± 0.37</w:t>
            </w:r>
          </w:p>
        </w:tc>
      </w:tr>
      <w:tr>
        <w:trPr>
          <w:cantSplit/>
        </w:trPr>
        <w:tc>
          <w:tcPr>
            <w:tcW w:w="2606" w:type="dxa"/>
            <w:vAlign w:val="center"/>
          </w:tcPr>
          <w:p w14:paraId="5A000162"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ARC / NRI / PCR</w:t>
            </w:r>
          </w:p>
        </w:tc>
        <w:tc>
          <w:tcPr>
            <w:tcW w:w="1900" w:type="dxa"/>
            <w:vAlign w:val="center"/>
          </w:tcPr>
          <w:p w14:paraId="5A000163"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全部为1.00</w:t>
            </w:r>
          </w:p>
        </w:tc>
        <w:tc>
          <w:tcPr>
            <w:tcW w:w="1900" w:type="dxa"/>
            <w:vAlign w:val="center"/>
          </w:tcPr>
          <w:p w14:paraId="5A000164"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全部为1.00</w:t>
            </w:r>
          </w:p>
        </w:tc>
        <w:tc>
          <w:tcPr>
            <w:tcW w:w="1900" w:type="dxa"/>
            <w:vAlign w:val="center"/>
          </w:tcPr>
          <w:p w14:paraId="5A000165" w14:textId="77777777">
            <w:pPr>
              <w:keepNext w:val="0"/>
              <w:spacing w:before="0" w:after="0" w:line="276" w:lineRule="auto"/>
              <w:jc w:val="center"/>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全部为1.00</w:t>
            </w:r>
          </w:p>
        </w:tc>
      </w:tr>
    </w:tbl>
    <w:p w14:paraId="5A000166" w14:textId="77777777">
      <w:pPr>
        <w:spacing w:before="120"/>
        <w:jc w:val="both"/>
        <w:rPr>
          <w:rFonts w:ascii="Times New Roman" w:eastAsia="Songti SC" w:hAnsi="Times New Roman" w:cs="Times New Roman"/>
          <w:sz w:val="18"/>
          <w:szCs w:val="18"/>
        </w:rPr>
      </w:pPr>
      <w:r>
        <w:rPr>
          <w:rFonts w:ascii="Times New Roman" w:eastAsia="Songti SC" w:hAnsi="Times New Roman" w:cs="Times New Roman"/>
          <w:sz w:val="18"/>
          <w:szCs w:val="18"/>
        </w:rPr>
        <w:t>注：样本标准差采用n−1分母，时延表项先求每次运行的样本均值，再对3个种子求均值与标准差。原始载荷为每个topic 32字节加data字节；KiB = 1,024字节。事件索引为归档的未压缩JSONL字符串。获取日志按2,000区块分页、重复5次；纯回放预热1次、计时10次，不含获取、解码、最终引用检查或证据写入，各次时延样本全部保存。存储指标为三份合约运行末的非零槽总数，包含初始化状态；槽数/交易数不是净新增槽数/操作，不代表磁盘字节数。</w:t>
      </w:r>
    </w:p>
    <w:p w14:paraId="5A000167"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原v3执行存在三项方案偏离：检查点改为累计事件首次达到各十分之一及最终操作，并实时读取视图；首次运行出现历史状态落盘问题，旧稿采用关闭落盘后重跑的时延；原代码的NAV asOf实际早于提交区块60秒，旧稿未披露。v3.1保留前两项历史说明，并纠正第三项后完整重跑9次；旧结果不覆盖、不混用。表11由本次9份逐次运行JSON重新汇总，交易数、存储槽和日志字节与原v3相同；10,000事件种子1的总gas少12，源于时钟修正改变1个输入零字节，表中舍入后数值仍相同。当前套件顺序运行并记录实际硬件，未保证主机独占，也不选择性替换时延。源码、构建和文件清单校验未完成的运行不得进入正文。</w:t>
      </w:r>
    </w:p>
    <w:p w14:paraId="5A000168"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在本混合负载的三个规模点上，槽数与索引随事件数增加；单位事件平均gas见表11，这不足以证明每类单项操作的成本不随历史长度变化。10,000事件目标的纯回放为14.79 ± 3.72 ms，日志获取为94.36 ± 6.42 ms。日志获取耗时高于纯回放，但两项不等同于端到端审计时延，仍需解码、校验与业务规则分析。结果来自单基金、本地节点和未持久化历史状态的顺序负载，不能推断生产吞吐量、网络共识性能或普遍优于集中式系统。</w:t>
      </w:r>
    </w:p>
    <w:p w14:paraId="009DD3C8" w14:textId="65E54153" w:rsidR="001A004A" w:rsidRDefault="005F6ACE" w:rsidP="005F6ACE">
      <w:pPr>
        <w:jc w:val="both"/>
        <w:rPr>
          <w:rFonts w:ascii="Times New Roman" w:hAnsi="Times New Roman" w:cs="Times New Roman"/>
          <w:sz w:val="24"/>
          <w:lang w:val="en-AU"/>
        </w:rPr>
      </w:pPr>
      <w:r>
        <w:rPr>
          <w:rFonts w:ascii="Times New Roman" w:hAnsi="Times New Roman" w:cs="Times New Roman"/>
          <w:sz w:val="24"/>
          <w:lang w:val="en-AU"/>
        </w:rPr>
        <w:t xml:space="preserve">   </w:t>
      </w:r>
      <w:r>
        <w:rPr>
          <w:rFonts w:ascii="Times New Roman" w:hAnsi="Times New Roman" w:cs="Times New Roman" w:hint="eastAsia"/>
          <w:sz w:val="24"/>
          <w:lang w:val="en-AU"/>
        </w:rPr>
        <w:t>5</w:t>
      </w:r>
      <w:r>
        <w:rPr>
          <w:rFonts w:ascii="Times New Roman" w:hAnsi="Times New Roman" w:cs="Times New Roman"/>
          <w:sz w:val="24"/>
          <w:lang w:val="en-AU"/>
        </w:rPr>
        <w:t>.6 Expert or Case-based Validation</w:t>
      </w:r>
    </w:p>
    <w:p w14:paraId="5A000169"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EQ5采用基于公开规则的案例验证（case-based validation），尚无独立专家评审或生产部署。该程式化开放式基金综合FATF建议10的持续尽调要求、美国Rule 22c-1(a)的下一次NAV定价及(b)/(d)的计算时点安排、UCITS第84条关于特殊情形下暂停及通知的规定，以及CSSF 24/856关于重大NAV错误及其后果处理的要求。不同法域规则用于提取运营关注点，不构成某一真实基金的完整适法性评估。案例包含管理公司、登记代理、估值代理、董事会和三名投资者；表12保留原26步。其链上结果与审计判断分别报告，数值从本次运行生成。</w:t>
      </w:r>
    </w:p>
    <w:p w14:paraId="5A00016A"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 xml:space="preserve">表12 案例流程、规则依据与链上结果</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1500"/>
        <w:gridCol w:w="1300"/>
        <w:gridCol w:w="3106"/>
        <w:gridCol w:w="2400"/>
      </w:tblGrid>
      <w:tr>
        <w:trPr>
          <w:tblHeader/>
          <w:cantSplit/>
        </w:trPr>
        <w:tc>
          <w:tcPr>
            <w:tcW w:w="1500" w:type="dxa"/>
            <w:shd w:val="clear" w:color="auto" w:fill="F2F2F2"/>
            <w:vAlign w:val="center"/>
          </w:tcPr>
          <w:p w14:paraId="5A00016B"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阶段</w:t>
            </w:r>
          </w:p>
        </w:tc>
        <w:tc>
          <w:tcPr>
            <w:tcW w:w="1300" w:type="dxa"/>
            <w:shd w:val="clear" w:color="auto" w:fill="F2F2F2"/>
            <w:vAlign w:val="center"/>
          </w:tcPr>
          <w:p w14:paraId="5A00016C"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规则依据</w:t>
            </w:r>
          </w:p>
        </w:tc>
        <w:tc>
          <w:tcPr>
            <w:tcW w:w="3106" w:type="dxa"/>
            <w:shd w:val="clear" w:color="auto" w:fill="F2F2F2"/>
            <w:vAlign w:val="center"/>
          </w:tcPr>
          <w:p w14:paraId="5A00016D"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操作</w:t>
            </w:r>
          </w:p>
        </w:tc>
        <w:tc>
          <w:tcPr>
            <w:tcW w:w="2400" w:type="dxa"/>
            <w:shd w:val="clear" w:color="auto" w:fill="F2F2F2"/>
            <w:vAlign w:val="center"/>
          </w:tcPr>
          <w:p w14:paraId="5A00016E"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链上结果</w:t>
            </w:r>
          </w:p>
        </w:tc>
      </w:tr>
      <w:tr>
        <w:trPr>
          <w:cantSplit/>
        </w:trPr>
        <w:tc>
          <w:tcPr>
            <w:tcW w:w="1500" w:type="dxa"/>
            <w:vAlign w:val="center"/>
          </w:tcPr>
          <w:p w14:paraId="5A00016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开户与资格</w:t>
            </w:r>
          </w:p>
        </w:tc>
        <w:tc>
          <w:tcPr>
            <w:tcW w:w="1300" w:type="dxa"/>
            <w:vAlign w:val="center"/>
          </w:tcPr>
          <w:p w14:paraId="5A00017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FATF R.10</w:t>
            </w:r>
          </w:p>
        </w:tc>
        <w:tc>
          <w:tcPr>
            <w:tcW w:w="3106" w:type="dxa"/>
            <w:vAlign w:val="center"/>
          </w:tcPr>
          <w:p w14:paraId="5A00017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完成尽职调查后准入A、B、C</w:t>
            </w:r>
          </w:p>
        </w:tc>
        <w:tc>
          <w:tcPr>
            <w:tcW w:w="2400" w:type="dxa"/>
            <w:vAlign w:val="center"/>
          </w:tcPr>
          <w:p w14:paraId="5A00017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C01 接受；C02 接受；C03 接受</w:t>
            </w:r>
          </w:p>
        </w:tc>
      </w:tr>
      <w:tr>
        <w:trPr>
          <w:cantSplit/>
        </w:trPr>
        <w:tc>
          <w:tcPr>
            <w:tcW w:w="1500" w:type="dxa"/>
            <w:vAlign w:val="center"/>
          </w:tcPr>
          <w:p w14:paraId="5A00017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首发申购</w:t>
            </w:r>
          </w:p>
        </w:tc>
        <w:tc>
          <w:tcPr>
            <w:tcW w:w="1300" w:type="dxa"/>
            <w:vAlign w:val="center"/>
          </w:tcPr>
          <w:p w14:paraId="5A00017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Rule 22c-1(a)(b)</w:t>
            </w:r>
          </w:p>
        </w:tc>
        <w:tc>
          <w:tcPr>
            <w:tcW w:w="3106" w:type="dxa"/>
            <w:vAlign w:val="center"/>
          </w:tcPr>
          <w:p w14:paraId="5A00017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A申购后批准发行NAV 1.00，登记代理按该NAV接受</w:t>
            </w:r>
          </w:p>
        </w:tc>
        <w:tc>
          <w:tcPr>
            <w:tcW w:w="2400" w:type="dxa"/>
            <w:vAlign w:val="center"/>
          </w:tcPr>
          <w:p w14:paraId="5A00017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C04 接受；C05 接受；C06 接受</w:t>
            </w:r>
          </w:p>
        </w:tc>
      </w:tr>
      <w:tr>
        <w:trPr>
          <w:cantSplit/>
        </w:trPr>
        <w:tc>
          <w:tcPr>
            <w:tcW w:w="1500" w:type="dxa"/>
            <w:vAlign w:val="center"/>
          </w:tcPr>
          <w:p w14:paraId="5A00017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远期定价申购</w:t>
            </w:r>
          </w:p>
        </w:tc>
        <w:tc>
          <w:tcPr>
            <w:tcW w:w="1300" w:type="dxa"/>
            <w:vAlign w:val="center"/>
          </w:tcPr>
          <w:p w14:paraId="5A00017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Rule 22c-1(a)(b)</w:t>
            </w:r>
          </w:p>
        </w:tc>
        <w:tc>
          <w:tcPr>
            <w:tcW w:w="3106" w:type="dxa"/>
            <w:vAlign w:val="center"/>
          </w:tcPr>
          <w:p w14:paraId="5A00017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B申购后批准D1 NAV 1.01，按D1 NAV接受</w:t>
            </w:r>
          </w:p>
        </w:tc>
        <w:tc>
          <w:tcPr>
            <w:tcW w:w="2400" w:type="dxa"/>
            <w:vAlign w:val="center"/>
          </w:tcPr>
          <w:p w14:paraId="5A00017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C07 接受；C08 接受；C09 接受</w:t>
            </w:r>
          </w:p>
        </w:tc>
      </w:tr>
      <w:tr>
        <w:trPr>
          <w:cantSplit/>
        </w:trPr>
        <w:tc>
          <w:tcPr>
            <w:tcW w:w="1500" w:type="dxa"/>
            <w:vAlign w:val="center"/>
          </w:tcPr>
          <w:p w14:paraId="5A00017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定价例外</w:t>
            </w:r>
          </w:p>
        </w:tc>
        <w:tc>
          <w:tcPr>
            <w:tcW w:w="1300" w:type="dxa"/>
            <w:vAlign w:val="center"/>
          </w:tcPr>
          <w:p w14:paraId="5A00017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Rule 22c-1(a)</w:t>
            </w:r>
          </w:p>
        </w:tc>
        <w:tc>
          <w:tcPr>
            <w:tcW w:w="3106" w:type="dxa"/>
            <w:vAlign w:val="center"/>
          </w:tcPr>
          <w:p w14:paraId="5A00017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C于D2申购，登记代理在D2 NAV计算前即以D1 NAV接受</w:t>
            </w:r>
          </w:p>
        </w:tc>
        <w:tc>
          <w:tcPr>
            <w:tcW w:w="2400" w:type="dxa"/>
            <w:vAlign w:val="center"/>
          </w:tcPr>
          <w:p w14:paraId="5A00017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C10 接受；C11 接受</w:t>
            </w:r>
          </w:p>
        </w:tc>
      </w:tr>
      <w:tr>
        <w:trPr>
          <w:cantSplit/>
        </w:trPr>
        <w:tc>
          <w:tcPr>
            <w:tcW w:w="1500" w:type="dxa"/>
            <w:vAlign w:val="center"/>
          </w:tcPr>
          <w:p w14:paraId="5A00017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赎回与错误NAV</w:t>
            </w:r>
          </w:p>
        </w:tc>
        <w:tc>
          <w:tcPr>
            <w:tcW w:w="1300" w:type="dxa"/>
            <w:vAlign w:val="center"/>
          </w:tcPr>
          <w:p w14:paraId="5A00018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Rule 22c-1(a)(b)</w:t>
            </w:r>
          </w:p>
        </w:tc>
        <w:tc>
          <w:tcPr>
            <w:tcW w:w="3106" w:type="dxa"/>
            <w:vAlign w:val="center"/>
          </w:tcPr>
          <w:p w14:paraId="5A00018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A赎回100,000份，按随后批准的D2 NAV 1.03结算</w:t>
            </w:r>
          </w:p>
        </w:tc>
        <w:tc>
          <w:tcPr>
            <w:tcW w:w="2400" w:type="dxa"/>
            <w:vAlign w:val="center"/>
          </w:tcPr>
          <w:p w14:paraId="5A00018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C12 接受；C13 接受；C14 接受</w:t>
            </w:r>
          </w:p>
        </w:tc>
      </w:tr>
      <w:tr>
        <w:trPr>
          <w:cantSplit/>
        </w:trPr>
        <w:tc>
          <w:tcPr>
            <w:tcW w:w="1500" w:type="dxa"/>
            <w:vAlign w:val="center"/>
          </w:tcPr>
          <w:p w14:paraId="5A00018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受限转让</w:t>
            </w:r>
          </w:p>
        </w:tc>
        <w:tc>
          <w:tcPr>
            <w:tcW w:w="1300" w:type="dxa"/>
            <w:vAlign w:val="center"/>
          </w:tcPr>
          <w:p w14:paraId="5A00018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转让限制</w:t>
            </w:r>
          </w:p>
        </w:tc>
        <w:tc>
          <w:tcPr>
            <w:tcW w:w="3106" w:type="dxa"/>
            <w:vAlign w:val="center"/>
          </w:tcPr>
          <w:p w14:paraId="5A00018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A向合格投资者B转让50,000份</w:t>
            </w:r>
          </w:p>
        </w:tc>
        <w:tc>
          <w:tcPr>
            <w:tcW w:w="2400" w:type="dxa"/>
            <w:vAlign w:val="center"/>
          </w:tcPr>
          <w:p w14:paraId="5A00018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C15 接受</w:t>
            </w:r>
          </w:p>
        </w:tc>
      </w:tr>
      <w:tr>
        <w:trPr>
          <w:cantSplit/>
        </w:trPr>
        <w:tc>
          <w:tcPr>
            <w:tcW w:w="1500" w:type="dxa"/>
            <w:vAlign w:val="center"/>
          </w:tcPr>
          <w:p w14:paraId="5A00018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持续尽职调查失败</w:t>
            </w:r>
          </w:p>
        </w:tc>
        <w:tc>
          <w:tcPr>
            <w:tcW w:w="1300" w:type="dxa"/>
            <w:vAlign w:val="center"/>
          </w:tcPr>
          <w:p w14:paraId="5A00018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FATF R.10</w:t>
            </w:r>
          </w:p>
        </w:tc>
        <w:tc>
          <w:tcPr>
            <w:tcW w:w="3106" w:type="dxa"/>
            <w:vAlign w:val="center"/>
          </w:tcPr>
          <w:p w14:paraId="5A00018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撤销C的资格，C随后申请赎回</w:t>
            </w:r>
          </w:p>
        </w:tc>
        <w:tc>
          <w:tcPr>
            <w:tcW w:w="2400" w:type="dxa"/>
            <w:vAlign w:val="center"/>
          </w:tcPr>
          <w:p w14:paraId="5A00018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C16 接受；C17 拒绝（NOT_WHITELISTED）</w:t>
            </w:r>
          </w:p>
        </w:tc>
      </w:tr>
      <w:tr>
        <w:trPr>
          <w:cantSplit/>
        </w:trPr>
        <w:tc>
          <w:tcPr>
            <w:tcW w:w="1500" w:type="dxa"/>
            <w:vAlign w:val="center"/>
          </w:tcPr>
          <w:p w14:paraId="5A00018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暂停交易</w:t>
            </w:r>
          </w:p>
        </w:tc>
        <w:tc>
          <w:tcPr>
            <w:tcW w:w="1300" w:type="dxa"/>
            <w:vAlign w:val="center"/>
          </w:tcPr>
          <w:p w14:paraId="5A00018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UCITS第84条</w:t>
            </w:r>
          </w:p>
        </w:tc>
        <w:tc>
          <w:tcPr>
            <w:tcW w:w="3106" w:type="dxa"/>
            <w:vAlign w:val="center"/>
          </w:tcPr>
          <w:p w14:paraId="5A00018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董事会暂停，B在暂停期间申请赎回，登记代理尝试结算</w:t>
            </w:r>
          </w:p>
        </w:tc>
        <w:tc>
          <w:tcPr>
            <w:tcW w:w="2400" w:type="dxa"/>
            <w:vAlign w:val="center"/>
          </w:tcPr>
          <w:p w14:paraId="5A00018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C18 接受；C19 接受；C20 拒绝（PAUSED）</w:t>
            </w:r>
          </w:p>
        </w:tc>
      </w:tr>
      <w:tr>
        <w:trPr>
          <w:cantSplit/>
        </w:trPr>
        <w:tc>
          <w:tcPr>
            <w:tcW w:w="1500" w:type="dxa"/>
            <w:vAlign w:val="center"/>
          </w:tcPr>
          <w:p w14:paraId="5A00018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NAV更正与恢复</w:t>
            </w:r>
          </w:p>
        </w:tc>
        <w:tc>
          <w:tcPr>
            <w:tcW w:w="1300" w:type="dxa"/>
            <w:vAlign w:val="center"/>
          </w:tcPr>
          <w:p w14:paraId="5A00019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CSSF 24/856；Rule 22c-1；UCITS第84条</w:t>
            </w:r>
          </w:p>
        </w:tc>
        <w:tc>
          <w:tcPr>
            <w:tcW w:w="3106" w:type="dxa"/>
            <w:vAlign w:val="center"/>
          </w:tcPr>
          <w:p w14:paraId="5A00019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以同一估值日期追加更正后的D2 NAV 1.02，批准D4 NAV，恢复交易，标记B的结算延迟后结算</w:t>
            </w:r>
          </w:p>
        </w:tc>
        <w:tc>
          <w:tcPr>
            <w:tcW w:w="2400" w:type="dxa"/>
            <w:vAlign w:val="center"/>
          </w:tcPr>
          <w:p w14:paraId="5A00019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C21 接受；C22 接受；C23 接受；C24 接受；C25 接受</w:t>
            </w:r>
          </w:p>
        </w:tc>
      </w:tr>
      <w:tr>
        <w:trPr>
          <w:cantSplit/>
        </w:trPr>
        <w:tc>
          <w:tcPr>
            <w:tcW w:w="1500" w:type="dxa"/>
            <w:vAlign w:val="center"/>
          </w:tcPr>
          <w:p w14:paraId="5A000193"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延迟更正探测</w:t>
            </w:r>
          </w:p>
        </w:tc>
        <w:tc>
          <w:tcPr>
            <w:tcW w:w="1300" w:type="dxa"/>
            <w:vAlign w:val="center"/>
          </w:tcPr>
          <w:p w14:paraId="5A000194"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CSSF 24/856</w:t>
            </w:r>
          </w:p>
        </w:tc>
        <w:tc>
          <w:tcPr>
            <w:tcW w:w="3106" w:type="dxa"/>
            <w:vAlign w:val="center"/>
          </w:tcPr>
          <w:p w14:paraId="5A000195"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在D4 NAV存在后尝试更正D1 NAV</w:t>
            </w:r>
          </w:p>
        </w:tc>
        <w:tc>
          <w:tcPr>
            <w:tcW w:w="2400" w:type="dxa"/>
            <w:vAlign w:val="center"/>
          </w:tcPr>
          <w:p w14:paraId="5A000196"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C26 拒绝（AS_OF_BEFORE_LATEST）</w:t>
            </w:r>
          </w:p>
        </w:tc>
      </w:tr>
    </w:tbl>
    <w:p w14:paraId="5A000197"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原26步全部与脚本固定的预期结果一致，其中23笔被接受、3次eth_call预检拒绝，产生39个生命周期事件。Q1修订为下一适用NAV匹配检查：storedAt作为本案例中计算与批准时点的代理，历史更正不作为新的常规定价批次，暂停期收到的指令使用D4 17:00的恢复估值，份额执行在17:10恢复。这些是公开的案例政策输入，无法由事件自身证明。表13同时报告原日期代理判据与修订结果；Q2–Q7保留原问题。本次答案符合补充方案，Q1不得称为原判据未改动的预注册验证。原v3结果审查后另做一项非预注册的补充探测：同一申购请求后依次登记两个常规NAV，再按第二个NAV受理，以检验审计能否识别跳过首个适用NAV的情况；结果随本次修订运行归档。</w:t>
      </w:r>
    </w:p>
    <w:p w14:paraId="5A000198" w14:textId="77777777">
      <w:pPr>
        <w:keepNext/>
        <w:jc w:val="both"/>
        <w:rPr>
          <w:rFonts w:ascii="Times New Roman" w:eastAsia="Songti SC" w:hAnsi="Times New Roman" w:cs="Times New Roman"/>
          <w:sz w:val="24"/>
          <w:szCs w:val="24"/>
        </w:rPr>
      </w:pPr>
      <w:r>
        <w:rPr>
          <w:rFonts w:ascii="Times New Roman" w:eastAsia="Songti SC" w:hAnsi="Times New Roman" w:cs="Times New Roman"/>
          <w:b/>
          <w:bCs/>
          <w:sz w:val="24"/>
          <w:szCs w:val="24"/>
        </w:rPr>
        <w:t>表13 案例审计查询结果（事件回放及已披露案例政策）</w:t>
      </w:r>
    </w:p>
    <w:tbl>
      <w:tblPr>
        <w:tblW w:w="8306" w:type="dxa"/>
        <w:jc w:val="center"/>
        <w:tblBorders>
          <w:top w:val="single" w:sz="6" w:space="0" w:color="A6A6A6"/>
          <w:left w:val="single" w:sz="6" w:space="0" w:color="A6A6A6"/>
          <w:bottom w:val="single" w:sz="6" w:space="0" w:color="A6A6A6"/>
          <w:right w:val="single" w:sz="6" w:space="0" w:color="A6A6A6"/>
          <w:insideH w:val="single" w:sz="4" w:space="0" w:color="A6A6A6"/>
          <w:insideV w:val="single" w:sz="4" w:space="0" w:color="A6A6A6"/>
        </w:tblBorders>
        <w:tblLayout w:type="fixed"/>
        <w:tblCellMar>
          <w:top w:w="90" w:type="dxa"/>
          <w:left w:w="90" w:type="dxa"/>
          <w:bottom w:w="90" w:type="dxa"/>
          <w:right w:w="90" w:type="dxa"/>
        </w:tblCellMar>
        <w:tblLook w:val="04A0" w:firstRow="1" w:lastRow="0" w:firstColumn="1" w:lastColumn="0" w:noHBand="0" w:noVBand="1"/>
      </w:tblPr>
      <w:tblGrid>
        <w:gridCol w:w="700"/>
        <w:gridCol w:w="3300"/>
        <w:gridCol w:w="4306"/>
      </w:tblGrid>
      <w:tr>
        <w:trPr>
          <w:tblHeader/>
          <w:cantSplit/>
        </w:trPr>
        <w:tc>
          <w:tcPr>
            <w:tcW w:w="700" w:type="dxa"/>
            <w:shd w:val="clear" w:color="auto" w:fill="F2F2F2"/>
            <w:vAlign w:val="center"/>
          </w:tcPr>
          <w:p w14:paraId="5A000199"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问题</w:t>
            </w:r>
          </w:p>
        </w:tc>
        <w:tc>
          <w:tcPr>
            <w:tcW w:w="3300" w:type="dxa"/>
            <w:shd w:val="clear" w:color="auto" w:fill="F2F2F2"/>
            <w:vAlign w:val="center"/>
          </w:tcPr>
          <w:p w14:paraId="5A00019A"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审计关注点</w:t>
            </w:r>
          </w:p>
        </w:tc>
        <w:tc>
          <w:tcPr>
            <w:tcW w:w="4306" w:type="dxa"/>
            <w:shd w:val="clear" w:color="auto" w:fill="F2F2F2"/>
            <w:vAlign w:val="center"/>
          </w:tcPr>
          <w:p w14:paraId="5A00019B" w14:textId="77777777">
            <w:pPr>
              <w:keepNext/>
              <w:spacing w:before="0" w:after="0" w:line="276" w:lineRule="auto"/>
              <w:jc w:val="center"/>
              <w:rPr>
                <w:rFonts w:ascii="Times New Roman" w:eastAsia="Songti SC" w:hAnsi="Times New Roman" w:cs="Times New Roman"/>
                <w:b/>
                <w:bCs/>
                <w:sz w:val="18"/>
                <w:szCs w:val="18"/>
              </w:rPr>
              <w:snapToGrid w:val="0"/>
            </w:pPr>
            <w:r>
              <w:rPr>
                <w:rFonts w:ascii="Times New Roman" w:eastAsia="Songti SC" w:hAnsi="Times New Roman" w:cs="Times New Roman"/>
                <w:b/>
                <w:bCs/>
                <w:sz w:val="18"/>
                <w:szCs w:val="18"/>
              </w:rPr>
              <w:t xml:space="preserve">回放结果</w:t>
            </w:r>
          </w:p>
        </w:tc>
      </w:tr>
      <w:tr>
        <w:trPr>
          <w:cantSplit/>
        </w:trPr>
        <w:tc>
          <w:tcPr>
            <w:tcW w:w="700" w:type="dxa"/>
            <w:vAlign w:val="center"/>
          </w:tcPr>
          <w:p w14:paraId="5A00019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Q1</w:t>
            </w:r>
          </w:p>
        </w:tc>
        <w:tc>
          <w:tcPr>
            <w:tcW w:w="3300" w:type="dxa"/>
            <w:vAlign w:val="center"/>
          </w:tcPr>
          <w:p w14:paraId="5A00019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是否使用请求后下一个适用常规NAV，而非仅检查估值日期晚于请求</w:t>
            </w:r>
          </w:p>
        </w:tc>
        <w:tc>
          <w:tcPr>
            <w:tcW w:w="4306" w:type="dxa"/>
            <w:vAlign w:val="center"/>
          </w:tcPr>
          <w:p w14:paraId="5A00019E"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4/5笔匹配；C提前受理被标记。原asOf日期代理也为4/5，但两者不等价。非预注册的补充探测（见正文）中，请求跳过首个NAV，原代理通过，新审计识别为skipped-next-NAV</w:t>
            </w:r>
          </w:p>
        </w:tc>
      </w:tr>
      <w:tr>
        <w:trPr>
          <w:cantSplit/>
        </w:trPr>
        <w:tc>
          <w:tcPr>
            <w:tcW w:w="700" w:type="dxa"/>
            <w:vAlign w:val="center"/>
          </w:tcPr>
          <w:p w14:paraId="5A00019F"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Q2</w:t>
            </w:r>
          </w:p>
        </w:tc>
        <w:tc>
          <w:tcPr>
            <w:tcW w:w="3300" w:type="dxa"/>
            <w:vAlign w:val="center"/>
          </w:tcPr>
          <w:p w14:paraId="5A0001A0"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哪些已处理业务引用了随后被更正的NAV版本</w:t>
            </w:r>
          </w:p>
        </w:tc>
        <w:tc>
          <w:tcPr>
            <w:tcW w:w="4306" w:type="dxa"/>
            <w:vAlign w:val="center"/>
          </w:tcPr>
          <w:p w14:paraId="5A0001A1"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仅A的赎回请求0；按同日更正NAV计算的差额为多付1,000货币单位。该算术差额不等于已确定的法律补偿责任或已执行补救</w:t>
            </w:r>
          </w:p>
        </w:tc>
      </w:tr>
      <w:tr>
        <w:trPr>
          <w:cantSplit/>
        </w:trPr>
        <w:tc>
          <w:tcPr>
            <w:tcW w:w="700" w:type="dxa"/>
            <w:vAlign w:val="center"/>
          </w:tcPr>
          <w:p w14:paraId="5A0001A2"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Q3</w:t>
            </w:r>
          </w:p>
        </w:tc>
        <w:tc>
          <w:tcPr>
            <w:tcW w:w="3300" w:type="dxa"/>
            <w:vAlign w:val="center"/>
          </w:tcPr>
          <w:p w14:paraId="5A0001A3"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每次份额变动发生时相关方是否具备资格</w:t>
            </w:r>
          </w:p>
        </w:tc>
        <w:tc>
          <w:tcPr>
            <w:tcW w:w="4306" w:type="dxa"/>
            <w:vAlign w:val="center"/>
          </w:tcPr>
          <w:p w14:paraId="5A0001A4"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6/6次份额变动（3次铸造、1次转让、2次销毁）的相关方在变动时均具备资格</w:t>
            </w:r>
          </w:p>
        </w:tc>
      </w:tr>
      <w:tr>
        <w:trPr>
          <w:cantSplit/>
        </w:trPr>
        <w:tc>
          <w:tcPr>
            <w:tcW w:w="700" w:type="dxa"/>
            <w:vAlign w:val="center"/>
          </w:tcPr>
          <w:p w14:paraId="5A0001A5"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Q4</w:t>
            </w:r>
          </w:p>
        </w:tc>
        <w:tc>
          <w:tcPr>
            <w:tcW w:w="3300" w:type="dxa"/>
            <w:vAlign w:val="center"/>
          </w:tcPr>
          <w:p w14:paraId="5A0001A6"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暂停期间发生了哪些业务</w:t>
            </w:r>
          </w:p>
        </w:tc>
        <w:tc>
          <w:tcPr>
            <w:tcW w:w="4306" w:type="dxa"/>
            <w:vAlign w:val="center"/>
          </w:tcPr>
          <w:p w14:paraId="5A0001A7"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份额变动0次；受理赎回请求1笔；登记NAV版本2个（更正版本与D4版本）</w:t>
            </w:r>
          </w:p>
        </w:tc>
      </w:tr>
      <w:tr>
        <w:trPr>
          <w:cantSplit/>
        </w:trPr>
        <w:tc>
          <w:tcPr>
            <w:tcW w:w="700" w:type="dxa"/>
            <w:vAlign w:val="center"/>
          </w:tcPr>
          <w:p w14:paraId="5A0001A8"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Q5</w:t>
            </w:r>
          </w:p>
        </w:tc>
        <w:tc>
          <w:tcPr>
            <w:tcW w:w="3300" w:type="dxa"/>
            <w:vAlign w:val="center"/>
          </w:tcPr>
          <w:p w14:paraId="5A0001A9"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各NAV版本的提交主体与证据引用</w:t>
            </w:r>
          </w:p>
        </w:tc>
        <w:tc>
          <w:tcPr>
            <w:tcW w:w="4306" w:type="dxa"/>
            <w:vAlign w:val="center"/>
          </w:tcPr>
          <w:p w14:paraId="5A0001AA"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5个版本均可追溯至估值代理及非零证据哈希，其中1个为同一估值日期的更正版本</w:t>
            </w:r>
          </w:p>
        </w:tc>
      </w:tr>
      <w:tr>
        <w:trPr>
          <w:cantSplit/>
        </w:trPr>
        <w:tc>
          <w:tcPr>
            <w:tcW w:w="700" w:type="dxa"/>
            <w:vAlign w:val="center"/>
          </w:tcPr>
          <w:p w14:paraId="5A0001AB"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Q6</w:t>
            </w:r>
          </w:p>
        </w:tc>
        <w:tc>
          <w:tcPr>
            <w:tcW w:w="3300" w:type="dxa"/>
            <w:vAlign w:val="center"/>
          </w:tcPr>
          <w:p w14:paraId="5A0001AC"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各检查点的重构投影是否与链上状态一致</w:t>
            </w:r>
          </w:p>
        </w:tc>
        <w:tc>
          <w:tcPr>
            <w:tcW w:w="4306" w:type="dxa"/>
            <w:vAlign w:val="center"/>
          </w:tcPr>
          <w:p w14:paraId="5A0001AD" w14:textId="77777777">
            <w:pPr>
              <w:keepNext/>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23/23个检查点一致</w:t>
            </w:r>
          </w:p>
        </w:tc>
      </w:tr>
      <w:tr>
        <w:trPr>
          <w:cantSplit/>
        </w:trPr>
        <w:tc>
          <w:tcPr>
            <w:tcW w:w="700" w:type="dxa"/>
            <w:vAlign w:val="center"/>
          </w:tcPr>
          <w:p w14:paraId="5A0001AE"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Q7</w:t>
            </w:r>
          </w:p>
        </w:tc>
        <w:tc>
          <w:tcPr>
            <w:tcW w:w="3300" w:type="dxa"/>
            <w:vAlign w:val="center"/>
          </w:tcPr>
          <w:p w14:paraId="5A0001AF"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哪些赎回发生结算延迟及其原因与时长</w:t>
            </w:r>
          </w:p>
        </w:tc>
        <w:tc>
          <w:tcPr>
            <w:tcW w:w="4306" w:type="dxa"/>
            <w:vAlign w:val="center"/>
          </w:tcPr>
          <w:p w14:paraId="5A0001B0" w14:textId="77777777">
            <w:pPr>
              <w:keepNext w:val="0"/>
              <w:spacing w:before="0" w:after="0" w:line="276" w:lineRule="auto"/>
              <w:jc w:val="left"/>
              <w:rPr>
                <w:rFonts w:ascii="Times New Roman" w:eastAsia="Songti SC" w:hAnsi="Times New Roman" w:cs="Times New Roman"/>
                <w:sz w:val="18"/>
                <w:szCs w:val="18"/>
              </w:rPr>
              <w:snapToGrid w:val="0"/>
            </w:pPr>
            <w:r>
              <w:rPr>
                <w:rFonts w:ascii="Times New Roman" w:eastAsia="Songti SC" w:hAnsi="Times New Roman" w:cs="Times New Roman"/>
                <w:sz w:val="18"/>
                <w:szCs w:val="18"/>
              </w:rPr>
              <w:t xml:space="preserve">B的赎回被标记延迟并附原因哈希，自请求至结算历时26.5小时</w:t>
            </w:r>
          </w:p>
        </w:tc>
      </w:tr>
    </w:tbl>
    <w:p w14:paraId="5A0001B1" w14:textId="77777777">
      <w:pPr>
        <w:spacing w:before="120"/>
        <w:jc w:val="both"/>
        <w:rPr>
          <w:rFonts w:ascii="Times New Roman" w:eastAsia="Songti SC" w:hAnsi="Times New Roman" w:cs="Times New Roman"/>
          <w:sz w:val="24"/>
          <w:szCs w:val="24"/>
        </w:rPr>
      </w:pPr>
      <w:r>
        <w:rPr>
          <w:rFonts w:ascii="Times New Roman" w:eastAsia="Songti SC" w:hAnsi="Times New Roman" w:cs="Times New Roman"/>
          <w:sz w:val="24"/>
          <w:szCs w:val="24"/>
        </w:rPr>
        <w:t>案例支持对资格、暂停、请求和版本引用之间关系的分析，也暴露实现缺口。提前使用旧NAV和跳过下一NAV均可被冻结合约接受，事后审计必须结合明确政策；链上授权写入不能证明实际估值计算或业务批准。资格撤销后无法新申请赎回，受控退出尚未实现；另一项非预注册的补充探测观察到撤销资格的持有人仍可向合格接收方转让，构成不符合模型双边资格条件的退出路径。更晚估值日登记后，C26的历史更正被拒绝；若错误在后续NAV登记后才发现，原型无法记录相应更正，与案例所参照的CSSF 24/856重大NAV错误事后更正要求存在差距。补偿、现金交割与监管通知仍在链下；本案例仅计算差额并定位受影响业务，不测试完整补救规则。模拟拒绝不进入事件流，其调用及错误另行归档。</w:t>
      </w:r>
    </w:p>
    <w:p w14:paraId="5A0001B2"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 xml:space="preserve">专家评审仍是必要的后续工作。计划邀请6至10名来自基金行政管理、合规、托管、审计和数字资产领域的专家，围绕设计目标、角色边界、NAV版本逻辑、异常状态处理和审计回放完整性开展结构化评价。在完成该评审之前，本节结论仅限于案例所依据的四类公开规则和原型实现的语义。</w:t>
      </w:r>
    </w:p>
    <w:p w14:paraId="5A0001B3" w14:textId="77777777">
      <w:pPr>
        <w:jc w:val="both"/>
        <w:rPr>
          <w:rFonts w:ascii="Times New Roman" w:eastAsia="Songti SC" w:hAnsi="Times New Roman" w:cs="Times New Roman"/>
          <w:sz w:val="24"/>
          <w:szCs w:val="24"/>
        </w:rPr>
      </w:pPr>
      <w:r>
        <w:rPr>
          <w:rFonts w:ascii="Times New Roman" w:eastAsia="Songti SC" w:hAnsi="Times New Roman" w:cs="Times New Roman"/>
          <w:sz w:val="24"/>
          <w:szCs w:val="24"/>
        </w:rPr>
        <w:t>上述证据分别回答五个评价问题：所选场景下的具体实现一致性（EQ1）；相对于自建余额及许可型代币基线的约束增量（EQ2）；在声明的输入假设下独立恢复实现投影（EQ3）；本地顺序负载的描述性gas、存储和回放成本（EQ4）；所选公开规则下的业务映射及其缺口（EQ5）。案例不能证明领域完整性，混合负载平均值不能证明每类操作的历史无关性。专家评价、集中式工作流比较、受控退出、显式适用版本选择及历史更正机制仍需后续工作。</w:t>
      </w:r>
    </w:p>
    <w:p w14:paraId="41D24BF0" w14:textId="7D3014C1" w:rsidR="001A004A" w:rsidRDefault="005F6ACE">
      <w:pPr>
        <w:jc w:val="both"/>
        <w:rPr>
          <w:rFonts w:ascii="Times New Roman" w:hAnsi="Times New Roman" w:cs="Times New Roman"/>
          <w:b/>
          <w:bCs/>
          <w:sz w:val="24"/>
          <w:lang w:val="en-AU"/>
        </w:rPr>
      </w:pPr>
      <w:r>
        <w:rPr>
          <w:rFonts w:ascii="Times New Roman" w:hAnsi="Times New Roman" w:cs="Times New Roman" w:hint="eastAsia"/>
          <w:b/>
          <w:bCs/>
          <w:sz w:val="24"/>
          <w:lang w:val="en-AU"/>
        </w:rPr>
        <w:t>6</w:t>
      </w:r>
      <w:r>
        <w:rPr>
          <w:rFonts w:ascii="Times New Roman" w:hAnsi="Times New Roman" w:cs="Times New Roman"/>
          <w:b/>
          <w:bCs/>
          <w:sz w:val="24"/>
          <w:lang w:val="en-AU"/>
        </w:rPr>
        <w:t xml:space="preserve"> Discussion and Implications</w:t>
      </w:r>
    </w:p>
    <w:p w14:paraId="5722CFA8" w14:textId="51025727" w:rsidR="001A004A" w:rsidRDefault="005F6ACE">
      <w:pPr>
        <w:jc w:val="both"/>
        <w:rPr>
          <w:rFonts w:ascii="Times New Roman" w:hAnsi="Times New Roman" w:cs="Times New Roman"/>
          <w:b/>
          <w:bCs/>
          <w:sz w:val="24"/>
          <w:lang w:val="en-AU"/>
        </w:rPr>
      </w:pPr>
      <w:r>
        <w:rPr>
          <w:rFonts w:ascii="Times New Roman" w:hAnsi="Times New Roman" w:cs="Times New Roman" w:hint="eastAsia"/>
          <w:b/>
          <w:bCs/>
          <w:sz w:val="24"/>
          <w:lang w:val="en-AU"/>
        </w:rPr>
        <w:t>7</w:t>
      </w:r>
      <w:r>
        <w:rPr>
          <w:rFonts w:ascii="Times New Roman" w:hAnsi="Times New Roman" w:cs="Times New Roman"/>
          <w:b/>
          <w:bCs/>
          <w:sz w:val="24"/>
          <w:lang w:val="en-AU"/>
        </w:rPr>
        <w:t>. Conclusion</w:t>
      </w:r>
    </w:p>
    <w:bookmarkEnd w:id="0"/>
    <w:bookmarkEnd w:id="1"/>
    <w:bookmarkEnd w:id="2"/>
    <w:bookmarkEnd w:id="3"/>
    <w:sectPr w:rsidR="001A00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596D" w14:textId="77777777" w:rsidR="006E48EF" w:rsidRDefault="006E48EF">
      <w:pPr>
        <w:spacing w:line="240" w:lineRule="auto"/>
      </w:pPr>
      <w:r>
        <w:separator/>
      </w:r>
    </w:p>
  </w:endnote>
  <w:endnote w:type="continuationSeparator" w:id="0">
    <w:p w14:paraId="4EDC68F2" w14:textId="77777777" w:rsidR="006E48EF" w:rsidRDefault="006E48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7CC1" w14:textId="77777777" w:rsidR="006E48EF" w:rsidRDefault="006E48EF">
      <w:pPr>
        <w:spacing w:after="0"/>
      </w:pPr>
      <w:r>
        <w:separator/>
      </w:r>
    </w:p>
  </w:footnote>
  <w:footnote w:type="continuationSeparator" w:id="0">
    <w:p w14:paraId="6DF10E13" w14:textId="77777777" w:rsidR="006E48EF" w:rsidRDefault="006E48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12CE5"/>
    <w:multiLevelType w:val="multilevel"/>
    <w:tmpl w:val="1C312C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C024EF9"/>
    <w:multiLevelType w:val="multilevel"/>
    <w:tmpl w:val="6C024E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40933771">
    <w:abstractNumId w:val="1"/>
  </w:num>
  <w:num w:numId="2" w16cid:durableId="100613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32"/>
    <w:rsid w:val="0001032E"/>
    <w:rsid w:val="00013EFC"/>
    <w:rsid w:val="00016E66"/>
    <w:rsid w:val="00023345"/>
    <w:rsid w:val="00030C9B"/>
    <w:rsid w:val="00035F37"/>
    <w:rsid w:val="00040B2C"/>
    <w:rsid w:val="00040BDA"/>
    <w:rsid w:val="000457E8"/>
    <w:rsid w:val="00061501"/>
    <w:rsid w:val="00072200"/>
    <w:rsid w:val="00074AA5"/>
    <w:rsid w:val="0008341D"/>
    <w:rsid w:val="0008429B"/>
    <w:rsid w:val="00087360"/>
    <w:rsid w:val="00087B7E"/>
    <w:rsid w:val="0009424D"/>
    <w:rsid w:val="00094BD4"/>
    <w:rsid w:val="00094DF6"/>
    <w:rsid w:val="000A6C82"/>
    <w:rsid w:val="000C23F0"/>
    <w:rsid w:val="000C3C88"/>
    <w:rsid w:val="000D0EF0"/>
    <w:rsid w:val="000D5899"/>
    <w:rsid w:val="000E26F8"/>
    <w:rsid w:val="000E6AC5"/>
    <w:rsid w:val="000F5F8D"/>
    <w:rsid w:val="00101743"/>
    <w:rsid w:val="00103905"/>
    <w:rsid w:val="00105E02"/>
    <w:rsid w:val="00110E8C"/>
    <w:rsid w:val="0011496C"/>
    <w:rsid w:val="0011771A"/>
    <w:rsid w:val="001240B4"/>
    <w:rsid w:val="001457A2"/>
    <w:rsid w:val="00145BE0"/>
    <w:rsid w:val="00147D56"/>
    <w:rsid w:val="00161B20"/>
    <w:rsid w:val="00163271"/>
    <w:rsid w:val="001660A3"/>
    <w:rsid w:val="00166ACD"/>
    <w:rsid w:val="00171C15"/>
    <w:rsid w:val="00181360"/>
    <w:rsid w:val="00181A7F"/>
    <w:rsid w:val="00183F46"/>
    <w:rsid w:val="001953FE"/>
    <w:rsid w:val="001A004A"/>
    <w:rsid w:val="001A304D"/>
    <w:rsid w:val="001A7037"/>
    <w:rsid w:val="001A7377"/>
    <w:rsid w:val="001A7F33"/>
    <w:rsid w:val="001B298F"/>
    <w:rsid w:val="001C2E2E"/>
    <w:rsid w:val="001D51FB"/>
    <w:rsid w:val="001E021F"/>
    <w:rsid w:val="001E6BCD"/>
    <w:rsid w:val="002017EB"/>
    <w:rsid w:val="00201DAB"/>
    <w:rsid w:val="00205623"/>
    <w:rsid w:val="00213769"/>
    <w:rsid w:val="0021444C"/>
    <w:rsid w:val="00225511"/>
    <w:rsid w:val="0022641A"/>
    <w:rsid w:val="00235BC6"/>
    <w:rsid w:val="00243853"/>
    <w:rsid w:val="002478A4"/>
    <w:rsid w:val="0025738A"/>
    <w:rsid w:val="00257F9D"/>
    <w:rsid w:val="00261453"/>
    <w:rsid w:val="002617A3"/>
    <w:rsid w:val="002737B2"/>
    <w:rsid w:val="00273C7D"/>
    <w:rsid w:val="00276785"/>
    <w:rsid w:val="00277E5A"/>
    <w:rsid w:val="00284AEA"/>
    <w:rsid w:val="00284EC4"/>
    <w:rsid w:val="002916C5"/>
    <w:rsid w:val="00294848"/>
    <w:rsid w:val="002A7A88"/>
    <w:rsid w:val="002B21B0"/>
    <w:rsid w:val="002B6CDC"/>
    <w:rsid w:val="002C7CDC"/>
    <w:rsid w:val="002D4879"/>
    <w:rsid w:val="002D7B55"/>
    <w:rsid w:val="002E0CD0"/>
    <w:rsid w:val="002E261F"/>
    <w:rsid w:val="002E2B57"/>
    <w:rsid w:val="002E2CCF"/>
    <w:rsid w:val="002F6A7D"/>
    <w:rsid w:val="002F78EC"/>
    <w:rsid w:val="003005AB"/>
    <w:rsid w:val="00302F7F"/>
    <w:rsid w:val="00311363"/>
    <w:rsid w:val="00312A05"/>
    <w:rsid w:val="003173C6"/>
    <w:rsid w:val="00321330"/>
    <w:rsid w:val="0032266B"/>
    <w:rsid w:val="00326C8C"/>
    <w:rsid w:val="003315BA"/>
    <w:rsid w:val="003319DB"/>
    <w:rsid w:val="00346B63"/>
    <w:rsid w:val="00346CA6"/>
    <w:rsid w:val="00354D60"/>
    <w:rsid w:val="003560BE"/>
    <w:rsid w:val="003630E6"/>
    <w:rsid w:val="00372F85"/>
    <w:rsid w:val="0038303B"/>
    <w:rsid w:val="003877B3"/>
    <w:rsid w:val="00390394"/>
    <w:rsid w:val="003A7260"/>
    <w:rsid w:val="003B30E3"/>
    <w:rsid w:val="003B4BF5"/>
    <w:rsid w:val="003C5806"/>
    <w:rsid w:val="003D5036"/>
    <w:rsid w:val="003D5C03"/>
    <w:rsid w:val="003D75DC"/>
    <w:rsid w:val="003E0B79"/>
    <w:rsid w:val="003E1EF9"/>
    <w:rsid w:val="003F082C"/>
    <w:rsid w:val="00401DBE"/>
    <w:rsid w:val="00412BFE"/>
    <w:rsid w:val="00436462"/>
    <w:rsid w:val="00443287"/>
    <w:rsid w:val="004616DE"/>
    <w:rsid w:val="0046607C"/>
    <w:rsid w:val="00466549"/>
    <w:rsid w:val="004677DA"/>
    <w:rsid w:val="00476FC8"/>
    <w:rsid w:val="00484657"/>
    <w:rsid w:val="004914AE"/>
    <w:rsid w:val="00496C54"/>
    <w:rsid w:val="004A360B"/>
    <w:rsid w:val="004B13F3"/>
    <w:rsid w:val="004B3499"/>
    <w:rsid w:val="004B7F17"/>
    <w:rsid w:val="004C03A3"/>
    <w:rsid w:val="004C14B6"/>
    <w:rsid w:val="004D0414"/>
    <w:rsid w:val="004E1BC3"/>
    <w:rsid w:val="004E26C7"/>
    <w:rsid w:val="004E50FE"/>
    <w:rsid w:val="004F155B"/>
    <w:rsid w:val="004F5CDA"/>
    <w:rsid w:val="00501A58"/>
    <w:rsid w:val="005036DA"/>
    <w:rsid w:val="0050564F"/>
    <w:rsid w:val="00520A8E"/>
    <w:rsid w:val="00522583"/>
    <w:rsid w:val="005267F1"/>
    <w:rsid w:val="0053124E"/>
    <w:rsid w:val="00531A88"/>
    <w:rsid w:val="0053309A"/>
    <w:rsid w:val="00535C3A"/>
    <w:rsid w:val="005423A4"/>
    <w:rsid w:val="00542A10"/>
    <w:rsid w:val="00542D62"/>
    <w:rsid w:val="00543228"/>
    <w:rsid w:val="00561693"/>
    <w:rsid w:val="00563185"/>
    <w:rsid w:val="00570637"/>
    <w:rsid w:val="00577747"/>
    <w:rsid w:val="005801AC"/>
    <w:rsid w:val="00586320"/>
    <w:rsid w:val="00587200"/>
    <w:rsid w:val="005B1971"/>
    <w:rsid w:val="005B4143"/>
    <w:rsid w:val="005B4983"/>
    <w:rsid w:val="005B59F5"/>
    <w:rsid w:val="005C024D"/>
    <w:rsid w:val="005E08AE"/>
    <w:rsid w:val="005E3E23"/>
    <w:rsid w:val="005E69A3"/>
    <w:rsid w:val="005F0E81"/>
    <w:rsid w:val="005F11BC"/>
    <w:rsid w:val="005F1935"/>
    <w:rsid w:val="005F1EEE"/>
    <w:rsid w:val="005F3625"/>
    <w:rsid w:val="005F54A3"/>
    <w:rsid w:val="005F6ACE"/>
    <w:rsid w:val="00601D20"/>
    <w:rsid w:val="00601F3F"/>
    <w:rsid w:val="006021AE"/>
    <w:rsid w:val="00604C55"/>
    <w:rsid w:val="0060670D"/>
    <w:rsid w:val="00610374"/>
    <w:rsid w:val="00613707"/>
    <w:rsid w:val="00613F73"/>
    <w:rsid w:val="00614263"/>
    <w:rsid w:val="00617F69"/>
    <w:rsid w:val="00621368"/>
    <w:rsid w:val="00631A1D"/>
    <w:rsid w:val="00633A96"/>
    <w:rsid w:val="00633BFD"/>
    <w:rsid w:val="0064015B"/>
    <w:rsid w:val="006411D9"/>
    <w:rsid w:val="006545ED"/>
    <w:rsid w:val="006579C2"/>
    <w:rsid w:val="006608FD"/>
    <w:rsid w:val="00665817"/>
    <w:rsid w:val="00670F5F"/>
    <w:rsid w:val="00680F45"/>
    <w:rsid w:val="00681B4B"/>
    <w:rsid w:val="006853CD"/>
    <w:rsid w:val="006C4942"/>
    <w:rsid w:val="006D3C3F"/>
    <w:rsid w:val="006E48EF"/>
    <w:rsid w:val="006E4EB6"/>
    <w:rsid w:val="006E58A5"/>
    <w:rsid w:val="00706E10"/>
    <w:rsid w:val="00711803"/>
    <w:rsid w:val="00714B2A"/>
    <w:rsid w:val="00717A65"/>
    <w:rsid w:val="00730F67"/>
    <w:rsid w:val="00755E6E"/>
    <w:rsid w:val="00757B97"/>
    <w:rsid w:val="007604D5"/>
    <w:rsid w:val="007708A1"/>
    <w:rsid w:val="00783332"/>
    <w:rsid w:val="00791C5C"/>
    <w:rsid w:val="0079701A"/>
    <w:rsid w:val="0079711E"/>
    <w:rsid w:val="00797FE9"/>
    <w:rsid w:val="007A1CCE"/>
    <w:rsid w:val="007A3B82"/>
    <w:rsid w:val="007A50F5"/>
    <w:rsid w:val="007A585C"/>
    <w:rsid w:val="007A596B"/>
    <w:rsid w:val="007A7732"/>
    <w:rsid w:val="007B02D7"/>
    <w:rsid w:val="007B194D"/>
    <w:rsid w:val="007C3281"/>
    <w:rsid w:val="007C5C95"/>
    <w:rsid w:val="007D06F9"/>
    <w:rsid w:val="007D0F89"/>
    <w:rsid w:val="007E1F44"/>
    <w:rsid w:val="007E3303"/>
    <w:rsid w:val="007E4620"/>
    <w:rsid w:val="00807277"/>
    <w:rsid w:val="008104D7"/>
    <w:rsid w:val="00810A2B"/>
    <w:rsid w:val="00813D3E"/>
    <w:rsid w:val="00814154"/>
    <w:rsid w:val="00816553"/>
    <w:rsid w:val="0082005A"/>
    <w:rsid w:val="00822AFB"/>
    <w:rsid w:val="008332D1"/>
    <w:rsid w:val="0083427A"/>
    <w:rsid w:val="0083667C"/>
    <w:rsid w:val="0084075C"/>
    <w:rsid w:val="00844237"/>
    <w:rsid w:val="008450AC"/>
    <w:rsid w:val="008507D0"/>
    <w:rsid w:val="008510DD"/>
    <w:rsid w:val="00853253"/>
    <w:rsid w:val="008549D1"/>
    <w:rsid w:val="00886184"/>
    <w:rsid w:val="008902DA"/>
    <w:rsid w:val="00891632"/>
    <w:rsid w:val="008A01A4"/>
    <w:rsid w:val="008A0BE5"/>
    <w:rsid w:val="008A4276"/>
    <w:rsid w:val="008B28F1"/>
    <w:rsid w:val="008B42B8"/>
    <w:rsid w:val="008B442B"/>
    <w:rsid w:val="008C0D2A"/>
    <w:rsid w:val="008C3404"/>
    <w:rsid w:val="008D19F4"/>
    <w:rsid w:val="008D5066"/>
    <w:rsid w:val="008E32E5"/>
    <w:rsid w:val="008F1050"/>
    <w:rsid w:val="008F7556"/>
    <w:rsid w:val="008F7E7F"/>
    <w:rsid w:val="00902EFE"/>
    <w:rsid w:val="00906DEF"/>
    <w:rsid w:val="009078D3"/>
    <w:rsid w:val="00907A74"/>
    <w:rsid w:val="00915126"/>
    <w:rsid w:val="00924C49"/>
    <w:rsid w:val="0093111B"/>
    <w:rsid w:val="00933054"/>
    <w:rsid w:val="009461A1"/>
    <w:rsid w:val="00954FD3"/>
    <w:rsid w:val="00960D81"/>
    <w:rsid w:val="00962F2B"/>
    <w:rsid w:val="00963C85"/>
    <w:rsid w:val="00971F9E"/>
    <w:rsid w:val="009723F0"/>
    <w:rsid w:val="00972A23"/>
    <w:rsid w:val="00972D27"/>
    <w:rsid w:val="009738B9"/>
    <w:rsid w:val="00974026"/>
    <w:rsid w:val="00980E12"/>
    <w:rsid w:val="00981BF1"/>
    <w:rsid w:val="00982049"/>
    <w:rsid w:val="00986EC4"/>
    <w:rsid w:val="00990C35"/>
    <w:rsid w:val="009945AD"/>
    <w:rsid w:val="009A761B"/>
    <w:rsid w:val="009B2187"/>
    <w:rsid w:val="009B35B8"/>
    <w:rsid w:val="009B5DE9"/>
    <w:rsid w:val="009B5EA6"/>
    <w:rsid w:val="009C263E"/>
    <w:rsid w:val="009C3023"/>
    <w:rsid w:val="009D7B07"/>
    <w:rsid w:val="009D7D08"/>
    <w:rsid w:val="009E11E7"/>
    <w:rsid w:val="009F223F"/>
    <w:rsid w:val="009F4859"/>
    <w:rsid w:val="00A00944"/>
    <w:rsid w:val="00A03C7F"/>
    <w:rsid w:val="00A05804"/>
    <w:rsid w:val="00A20CBB"/>
    <w:rsid w:val="00A22721"/>
    <w:rsid w:val="00A30F94"/>
    <w:rsid w:val="00A34252"/>
    <w:rsid w:val="00A4134B"/>
    <w:rsid w:val="00A46CFC"/>
    <w:rsid w:val="00A50595"/>
    <w:rsid w:val="00A5336A"/>
    <w:rsid w:val="00A62030"/>
    <w:rsid w:val="00A6432A"/>
    <w:rsid w:val="00A66CE5"/>
    <w:rsid w:val="00A74C6E"/>
    <w:rsid w:val="00A82530"/>
    <w:rsid w:val="00A86A35"/>
    <w:rsid w:val="00A90D43"/>
    <w:rsid w:val="00A91C0F"/>
    <w:rsid w:val="00A93F89"/>
    <w:rsid w:val="00A95B32"/>
    <w:rsid w:val="00A96A02"/>
    <w:rsid w:val="00AA0C44"/>
    <w:rsid w:val="00AA2FF3"/>
    <w:rsid w:val="00AA5A25"/>
    <w:rsid w:val="00AA708D"/>
    <w:rsid w:val="00AB0396"/>
    <w:rsid w:val="00AB5281"/>
    <w:rsid w:val="00AB6B8A"/>
    <w:rsid w:val="00AC1D9C"/>
    <w:rsid w:val="00AC52B0"/>
    <w:rsid w:val="00AC6192"/>
    <w:rsid w:val="00AC64E5"/>
    <w:rsid w:val="00AD29E4"/>
    <w:rsid w:val="00AD2B75"/>
    <w:rsid w:val="00AD4C0F"/>
    <w:rsid w:val="00AE49A2"/>
    <w:rsid w:val="00B03CF7"/>
    <w:rsid w:val="00B1156A"/>
    <w:rsid w:val="00B162AA"/>
    <w:rsid w:val="00B20CE0"/>
    <w:rsid w:val="00B23F5B"/>
    <w:rsid w:val="00B27EB4"/>
    <w:rsid w:val="00B30057"/>
    <w:rsid w:val="00B320C9"/>
    <w:rsid w:val="00B33CD1"/>
    <w:rsid w:val="00B43046"/>
    <w:rsid w:val="00B525AE"/>
    <w:rsid w:val="00B55117"/>
    <w:rsid w:val="00B622A9"/>
    <w:rsid w:val="00B65EC0"/>
    <w:rsid w:val="00B6698C"/>
    <w:rsid w:val="00B7028A"/>
    <w:rsid w:val="00B70B4B"/>
    <w:rsid w:val="00B73869"/>
    <w:rsid w:val="00B82625"/>
    <w:rsid w:val="00B83EC2"/>
    <w:rsid w:val="00B8505C"/>
    <w:rsid w:val="00B90B10"/>
    <w:rsid w:val="00B9100A"/>
    <w:rsid w:val="00B936B1"/>
    <w:rsid w:val="00B94FB1"/>
    <w:rsid w:val="00B97736"/>
    <w:rsid w:val="00BA0A53"/>
    <w:rsid w:val="00BA12A8"/>
    <w:rsid w:val="00BB2EA7"/>
    <w:rsid w:val="00BC2DF0"/>
    <w:rsid w:val="00BD3864"/>
    <w:rsid w:val="00BD3880"/>
    <w:rsid w:val="00BD6D9A"/>
    <w:rsid w:val="00BE0E23"/>
    <w:rsid w:val="00BF19F4"/>
    <w:rsid w:val="00BF62CE"/>
    <w:rsid w:val="00C00555"/>
    <w:rsid w:val="00C00EB7"/>
    <w:rsid w:val="00C15083"/>
    <w:rsid w:val="00C17DFB"/>
    <w:rsid w:val="00C37788"/>
    <w:rsid w:val="00C4126C"/>
    <w:rsid w:val="00C64FEB"/>
    <w:rsid w:val="00C703AA"/>
    <w:rsid w:val="00C70762"/>
    <w:rsid w:val="00C8472D"/>
    <w:rsid w:val="00C901E8"/>
    <w:rsid w:val="00C94A5F"/>
    <w:rsid w:val="00CA1B3C"/>
    <w:rsid w:val="00CB0C08"/>
    <w:rsid w:val="00CC7D59"/>
    <w:rsid w:val="00CC7EAE"/>
    <w:rsid w:val="00CE3A14"/>
    <w:rsid w:val="00CF42E7"/>
    <w:rsid w:val="00D00F39"/>
    <w:rsid w:val="00D035C2"/>
    <w:rsid w:val="00D05D7E"/>
    <w:rsid w:val="00D17BAA"/>
    <w:rsid w:val="00D259F6"/>
    <w:rsid w:val="00D27C1C"/>
    <w:rsid w:val="00D27F18"/>
    <w:rsid w:val="00D32650"/>
    <w:rsid w:val="00D352F0"/>
    <w:rsid w:val="00D511C4"/>
    <w:rsid w:val="00D569E9"/>
    <w:rsid w:val="00D56B0E"/>
    <w:rsid w:val="00D603B6"/>
    <w:rsid w:val="00D617CD"/>
    <w:rsid w:val="00D628A8"/>
    <w:rsid w:val="00D77159"/>
    <w:rsid w:val="00D8192C"/>
    <w:rsid w:val="00D82B8E"/>
    <w:rsid w:val="00D944DF"/>
    <w:rsid w:val="00D96430"/>
    <w:rsid w:val="00D970C4"/>
    <w:rsid w:val="00DA6C59"/>
    <w:rsid w:val="00DC1E3D"/>
    <w:rsid w:val="00DC2579"/>
    <w:rsid w:val="00DC2647"/>
    <w:rsid w:val="00DE1C6D"/>
    <w:rsid w:val="00DF66AE"/>
    <w:rsid w:val="00E0008C"/>
    <w:rsid w:val="00E11056"/>
    <w:rsid w:val="00E22EAA"/>
    <w:rsid w:val="00E24863"/>
    <w:rsid w:val="00E249E3"/>
    <w:rsid w:val="00E24F87"/>
    <w:rsid w:val="00E27FB5"/>
    <w:rsid w:val="00E315FA"/>
    <w:rsid w:val="00E32C52"/>
    <w:rsid w:val="00E346BE"/>
    <w:rsid w:val="00E4122D"/>
    <w:rsid w:val="00E41659"/>
    <w:rsid w:val="00E424BB"/>
    <w:rsid w:val="00E42FF1"/>
    <w:rsid w:val="00E432F0"/>
    <w:rsid w:val="00E45F2A"/>
    <w:rsid w:val="00E46967"/>
    <w:rsid w:val="00E46F0E"/>
    <w:rsid w:val="00E535BB"/>
    <w:rsid w:val="00E57226"/>
    <w:rsid w:val="00E6280E"/>
    <w:rsid w:val="00E66248"/>
    <w:rsid w:val="00E73263"/>
    <w:rsid w:val="00E85087"/>
    <w:rsid w:val="00EB14AF"/>
    <w:rsid w:val="00EC4A10"/>
    <w:rsid w:val="00EC75F1"/>
    <w:rsid w:val="00ED167F"/>
    <w:rsid w:val="00ED6E46"/>
    <w:rsid w:val="00EE3C2C"/>
    <w:rsid w:val="00EE7DC4"/>
    <w:rsid w:val="00EF0AE1"/>
    <w:rsid w:val="00EF1513"/>
    <w:rsid w:val="00F045B5"/>
    <w:rsid w:val="00F150BF"/>
    <w:rsid w:val="00F264E9"/>
    <w:rsid w:val="00F27D21"/>
    <w:rsid w:val="00F3421C"/>
    <w:rsid w:val="00F35218"/>
    <w:rsid w:val="00F43E33"/>
    <w:rsid w:val="00F473B5"/>
    <w:rsid w:val="00F51663"/>
    <w:rsid w:val="00F61798"/>
    <w:rsid w:val="00F63C09"/>
    <w:rsid w:val="00F67454"/>
    <w:rsid w:val="00F809DD"/>
    <w:rsid w:val="00F9047F"/>
    <w:rsid w:val="00F951DD"/>
    <w:rsid w:val="00FA1477"/>
    <w:rsid w:val="00FB10EE"/>
    <w:rsid w:val="00FC036A"/>
    <w:rsid w:val="00FD2D49"/>
    <w:rsid w:val="00FD3986"/>
    <w:rsid w:val="00FD56DD"/>
    <w:rsid w:val="00FD73B6"/>
    <w:rsid w:val="00FE13ED"/>
    <w:rsid w:val="00FE2893"/>
    <w:rsid w:val="00FE6F52"/>
    <w:rsid w:val="00FF4407"/>
    <w:rsid w:val="B3FF3749"/>
    <w:rsid w:val="FC630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4F5502"/>
  <w15:docId w15:val="{6BD775B9-51B0-F744-886F-B4F82BC5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ongti SC"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semiHidden/>
    <w:unhideWhenUsed/>
    <w:pPr>
      <w:widowControl/>
      <w:spacing w:before="100" w:beforeAutospacing="1" w:after="100" w:afterAutospacing="1" w:line="240" w:lineRule="auto"/>
    </w:pPr>
    <w:rPr>
      <w:rFonts w:ascii="Times New Roman" w:eastAsia="Songti SC" w:hAnsi="Times New Roman" w:cs="Times New Roman"/>
      <w:kern w:val="0"/>
      <w:sz w:val="24"/>
      <w14:ligatures w14:val="none"/>
    </w:rPr>
  </w:style>
  <w:style w:type="paragraph" w:styleId="ac">
    <w:name w:val="Title"/>
    <w:basedOn w:val="a"/>
    <w:next w:val="a"/>
    <w:link w:val="ad"/>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rPr>
      <w:b/>
      <w:bCs/>
    </w:rPr>
  </w:style>
  <w:style w:type="table" w:styleId="af0">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rPr>
      <w:i/>
      <w:iCs/>
      <w:color w:val="404040" w:themeColor="text1" w:themeTint="BF"/>
    </w:rPr>
  </w:style>
  <w:style w:type="paragraph" w:styleId="af5">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0"/>
    <w:link w:val="af6"/>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msonormal0">
    <w:name w:val="msonormal"/>
    <w:basedOn w:val="a"/>
    <w:pPr>
      <w:widowControl/>
      <w:spacing w:before="100" w:beforeAutospacing="1" w:after="100" w:afterAutospacing="1" w:line="240" w:lineRule="auto"/>
    </w:pPr>
    <w:rPr>
      <w:rFonts w:ascii="Times New Roman" w:eastAsia="Songti SC" w:hAnsi="Times New Roman" w:cs="Times New Roman"/>
      <w:kern w:val="0"/>
      <w:sz w:val="24"/>
      <w14:ligatures w14:val="none"/>
    </w:rPr>
  </w:style>
  <w:style w:type="character" w:customStyle="1" w:styleId="katex-display">
    <w:name w:val="katex-display"/>
    <w:basedOn w:val="a0"/>
  </w:style>
  <w:style w:type="character" w:customStyle="1" w:styleId="katex">
    <w:name w:val="katex"/>
    <w:basedOn w:val="a0"/>
  </w:style>
  <w:style w:type="character" w:customStyle="1" w:styleId="katex-mathml">
    <w:name w:val="katex-mathml"/>
    <w:basedOn w:val="a0"/>
  </w:style>
  <w:style w:type="character" w:customStyle="1" w:styleId="katex-html">
    <w:name w:val="katex-html"/>
    <w:basedOn w:val="a0"/>
  </w:style>
  <w:style w:type="character" w:customStyle="1" w:styleId="base">
    <w:name w:val="base"/>
    <w:basedOn w:val="a0"/>
  </w:style>
  <w:style w:type="character" w:customStyle="1" w:styleId="strut">
    <w:name w:val="strut"/>
    <w:basedOn w:val="a0"/>
  </w:style>
  <w:style w:type="character" w:customStyle="1" w:styleId="mord">
    <w:name w:val="mord"/>
    <w:basedOn w:val="a0"/>
  </w:style>
  <w:style w:type="character" w:customStyle="1" w:styleId="mspace">
    <w:name w:val="mspace"/>
    <w:basedOn w:val="a0"/>
  </w:style>
  <w:style w:type="character" w:customStyle="1" w:styleId="mrel">
    <w:name w:val="mrel"/>
    <w:basedOn w:val="a0"/>
  </w:style>
  <w:style w:type="character" w:customStyle="1" w:styleId="mbin">
    <w:name w:val="mbin"/>
    <w:basedOn w:val="a0"/>
  </w:style>
  <w:style w:type="character" w:customStyle="1" w:styleId="msupsub">
    <w:name w:val="msupsub"/>
    <w:basedOn w:val="a0"/>
  </w:style>
  <w:style w:type="character" w:customStyle="1" w:styleId="vlist-t">
    <w:name w:val="vlist-t"/>
    <w:basedOn w:val="a0"/>
  </w:style>
  <w:style w:type="character" w:customStyle="1" w:styleId="vlist-r">
    <w:name w:val="vlist-r"/>
    <w:basedOn w:val="a0"/>
  </w:style>
  <w:style w:type="character" w:customStyle="1" w:styleId="vlist">
    <w:name w:val="vlist"/>
    <w:basedOn w:val="a0"/>
  </w:style>
  <w:style w:type="character" w:customStyle="1" w:styleId="pstrut">
    <w:name w:val="pstrut"/>
    <w:basedOn w:val="a0"/>
  </w:style>
  <w:style w:type="character" w:customStyle="1" w:styleId="sizing">
    <w:name w:val="sizing"/>
    <w:basedOn w:val="a0"/>
  </w:style>
  <w:style w:type="character" w:customStyle="1" w:styleId="vlist-s">
    <w:name w:val="vlist-s"/>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mop">
    <w:name w:val="mop"/>
    <w:basedOn w:val="a0"/>
  </w:style>
  <w:style w:type="character" w:customStyle="1" w:styleId="minner">
    <w:name w:val="minner"/>
    <w:basedOn w:val="a0"/>
  </w:style>
  <w:style w:type="character" w:customStyle="1" w:styleId="thinbox">
    <w:name w:val="thinbox"/>
    <w:basedOn w:val="a0"/>
  </w:style>
  <w:style w:type="character" w:customStyle="1" w:styleId="rlap">
    <w:name w:val="rlap"/>
    <w:basedOn w:val="a0"/>
  </w:style>
  <w:style w:type="character" w:customStyle="1" w:styleId="inner">
    <w:name w:val="inner"/>
    <w:basedOn w:val="a0"/>
  </w:style>
  <w:style w:type="character" w:customStyle="1" w:styleId="fix">
    <w:name w:val="fix"/>
    <w:basedOn w:val="a0"/>
  </w:style>
  <w:style w:type="character" w:customStyle="1" w:styleId="delimsizing">
    <w:name w:val="delimsizing"/>
    <w:basedOn w:val="a0"/>
  </w:style>
  <w:style w:type="character" w:customStyle="1" w:styleId="mfrac">
    <w:name w:val="mfrac"/>
    <w:basedOn w:val="a0"/>
  </w:style>
  <w:style w:type="character" w:customStyle="1" w:styleId="frac-line">
    <w:name w:val="frac-line"/>
    <w:basedOn w:val="a0"/>
  </w:style>
  <w:style w:type="character" w:customStyle="1" w:styleId="svg-align">
    <w:name w:val="svg-align"/>
    <w:basedOn w:val="a0"/>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customStyle="1" w:styleId="MTDisplayEquation">
    <w:name w:val="MTDisplayEquation"/>
    <w:basedOn w:val="a"/>
    <w:next w:val="a"/>
    <w:link w:val="MTDisplayEquation0"/>
    <w:pPr>
      <w:tabs>
        <w:tab w:val="center" w:pos="4160"/>
        <w:tab w:val="right" w:pos="8300"/>
      </w:tabs>
      <w:jc w:val="both"/>
    </w:pPr>
    <w:rPr>
      <w:rFonts w:ascii="Times New Roman" w:hAnsi="Times New Roman" w:cs="Times New Roman"/>
      <w:sz w:val="24"/>
      <w:lang w:val="en-AU"/>
    </w:rPr>
  </w:style>
  <w:style w:type="character" w:customStyle="1" w:styleId="MTDisplayEquation0">
    <w:name w:val="MTDisplayEquation 字符"/>
    <w:basedOn w:val="a0"/>
    <w:link w:val="MTDisplayEquation"/>
    <w:rPr>
      <w:rFonts w:ascii="Times New Roman" w:hAnsi="Times New Roman" w:cs="Times New Roman"/>
      <w:sz w:val="24"/>
      <w:lang w:val="en-AU"/>
    </w:rPr>
  </w:style>
  <w:style w:type="character" w:styleId="af8">
    <w:name w:val="Placeholder Text"/>
    <w:basedOn w:val="a0"/>
    <w:uiPriority w:val="99"/>
    <w:semiHidden/>
    <w:rPr>
      <w:color w:val="666666"/>
    </w:rPr>
  </w:style>
  <w:style w:type="paragraph" w:styleId="af9">
    <w:name w:val="caption"/>
    <w:basedOn w:val="a"/>
    <w:next w:val="a"/>
    <w:uiPriority w:val="35"/>
    <w:unhideWhenUsed/>
    <w:qFormat/>
    <w:rsid w:val="00610374"/>
    <w:rPr>
      <w:rFonts w:asciiTheme="majorHAnsi" w:eastAsia="Heiti SC"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D4DE1-254C-2248-B128-B75A65465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14</Pages>
  <Words>1821</Words>
  <Characters>12078</Characters>
  <Application>Microsoft Office Word</Application>
  <DocSecurity>0</DocSecurity>
  <Lines>326</Lines>
  <Paragraphs>171</Paragraphs>
  <ScaleCrop>false</ScaleCrop>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Xu</dc:creator>
  <cp:lastModifiedBy>Zheng Xu</cp:lastModifiedBy>
  <cp:revision>26</cp:revision>
  <dcterms:created xsi:type="dcterms:W3CDTF">2026-09-10T14:22:00Z</dcterms:created>
  <dcterms:modified xsi:type="dcterms:W3CDTF">2026-10-16T14:14:00Z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ProductBuildVer">
    <vt:lpwstr>2052-7.2.0.8943</vt:lpwstr>
  </property>
  <property fmtid="{D5CDD505-2E9C-101B-9397-08002B2CF9AE}" pid="5" name="ICV">
    <vt:lpwstr>CC495D5036FFA4E06A03876A9C52569B_42</vt:lpwstr>
  </property>
</Properties>
</file>