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rial" w:hAnsi="Arial"/>
        </w:rPr>
      </w:pPr>
      <w:r>
        <w:rPr>
          <w:rFonts w:cs="Arial" w:ascii="Arial" w:hAnsi="Arial"/>
          <w:color w:themeColor="text1" w:val="000000"/>
        </w:rPr>
        <w:t>Business Summary Report: Predictive Insights for Collections Strategy</w:t>
      </w:r>
    </w:p>
    <w:p>
      <w:pPr>
        <w:pStyle w:val="Heading1"/>
        <w:rPr>
          <w:rFonts w:ascii="Arial" w:hAnsi="Arial"/>
        </w:rPr>
      </w:pPr>
      <w:r>
        <w:rPr>
          <w:rFonts w:cs="Arial" w:ascii="Arial" w:hAnsi="Arial"/>
          <w:color w:themeColor="text1" w:val="000000"/>
        </w:rPr>
        <w:t>1. Summary of Predictive Insights</w:t>
      </w:r>
    </w:p>
    <w:p>
      <w:pPr>
        <w:pStyle w:val="Normal"/>
        <w:rPr>
          <w:rFonts w:ascii="Arial" w:hAnsi="Arial"/>
        </w:rPr>
      </w:pPr>
      <w:r>
        <w:rPr>
          <w:rFonts w:cs="Arial" w:ascii="Arial" w:hAnsi="Arial"/>
          <w:color w:themeColor="text1" w:val="000000"/>
        </w:rPr>
        <w:t xml:space="preserve">Through the predictive model, some </w:t>
      </w:r>
      <w:r>
        <w:rPr>
          <w:rFonts w:cs="Arial" w:ascii="Arial" w:hAnsi="Arial"/>
          <w:color w:themeColor="text1" w:val="000000"/>
        </w:rPr>
        <w:t>important insights regarding customer delinquency were found</w:t>
      </w:r>
      <w:r>
        <w:rPr>
          <w:rFonts w:cs="Arial" w:ascii="Arial" w:hAnsi="Arial"/>
          <w:color w:themeColor="text1" w:val="000000"/>
        </w:rPr>
        <w:t>:</w:t>
      </w:r>
    </w:p>
    <w:p>
      <w:pPr>
        <w:pStyle w:val="Normal"/>
        <w:numPr>
          <w:ilvl w:val="0"/>
          <w:numId w:val="8"/>
        </w:numPr>
        <w:rPr>
          <w:rFonts w:ascii="Arial" w:hAnsi="Arial"/>
        </w:rPr>
      </w:pPr>
      <w:r>
        <w:rPr>
          <w:rFonts w:cs="Arial" w:ascii="Arial" w:hAnsi="Arial"/>
          <w:color w:themeColor="text1" w:val="000000"/>
        </w:rPr>
        <w:t>The three strongest predictors of customer delinquency are:</w:t>
      </w:r>
    </w:p>
    <w:p>
      <w:pPr>
        <w:pStyle w:val="Normal"/>
        <w:numPr>
          <w:ilvl w:val="1"/>
          <w:numId w:val="7"/>
        </w:numPr>
        <w:rPr>
          <w:rFonts w:ascii="Arial" w:hAnsi="Arial"/>
        </w:rPr>
      </w:pPr>
      <w:r>
        <w:rPr>
          <w:rFonts w:cs="Arial" w:ascii="Arial" w:hAnsi="Arial"/>
          <w:color w:themeColor="text1" w:val="000000"/>
        </w:rPr>
        <w:t xml:space="preserve">Payment History- Having more than 3 missed payments are 5 times more likely to default. </w:t>
      </w:r>
      <w:r>
        <w:rPr>
          <w:rFonts w:cs="Arial" w:ascii="Arial" w:hAnsi="Arial"/>
          <w:color w:themeColor="text1" w:val="000000"/>
        </w:rPr>
        <w:t>Pre-emptive debt restructuring could help.</w:t>
      </w:r>
    </w:p>
    <w:p>
      <w:pPr>
        <w:pStyle w:val="Normal"/>
        <w:numPr>
          <w:ilvl w:val="1"/>
          <w:numId w:val="7"/>
        </w:numPr>
        <w:rPr>
          <w:rFonts w:ascii="Arial" w:hAnsi="Arial"/>
        </w:rPr>
      </w:pPr>
      <w:r>
        <w:rPr>
          <w:rFonts w:cs="Arial" w:ascii="Arial" w:hAnsi="Arial"/>
          <w:color w:themeColor="text1" w:val="000000"/>
        </w:rPr>
        <w:t xml:space="preserve">Credit Utilization- Utilization above 70% correlates with 2.8 times higher odds of default. </w:t>
      </w:r>
      <w:r>
        <w:rPr>
          <w:rFonts w:cs="Arial" w:ascii="Arial" w:hAnsi="Arial"/>
          <w:color w:themeColor="text1" w:val="000000"/>
        </w:rPr>
        <w:t>Lower credit limits could address this.</w:t>
      </w:r>
    </w:p>
    <w:p>
      <w:pPr>
        <w:pStyle w:val="Normal"/>
        <w:numPr>
          <w:ilvl w:val="1"/>
          <w:numId w:val="7"/>
        </w:numPr>
        <w:rPr>
          <w:rFonts w:ascii="Arial" w:hAnsi="Arial"/>
        </w:rPr>
      </w:pPr>
      <w:r>
        <w:rPr>
          <w:rFonts w:cs="Arial" w:ascii="Arial" w:hAnsi="Arial"/>
          <w:color w:themeColor="text1" w:val="000000"/>
        </w:rPr>
        <w:t xml:space="preserve">Income – Unemployed/self-employed people represent 3 times more risk than salaried employees as does having low Income (&lt;$50k). </w:t>
      </w:r>
      <w:r>
        <w:rPr>
          <w:rFonts w:cs="Arial" w:ascii="Arial" w:hAnsi="Arial"/>
          <w:color w:themeColor="text1" w:val="000000"/>
        </w:rPr>
        <w:t>Payment plans could help with this.</w:t>
      </w:r>
    </w:p>
    <w:p>
      <w:pPr>
        <w:pStyle w:val="Heading1"/>
        <w:rPr>
          <w:rFonts w:ascii="Arial" w:hAnsi="Arial"/>
        </w:rPr>
      </w:pPr>
      <w:r>
        <w:rPr>
          <w:rFonts w:cs="Arial" w:ascii="Arial" w:hAnsi="Arial"/>
          <w:color w:themeColor="text1" w:val="000000"/>
        </w:rPr>
        <w:t>2. Recommendation Framework</w:t>
      </w:r>
    </w:p>
    <w:p>
      <w:pPr>
        <w:pStyle w:val="Normal"/>
        <w:rPr>
          <w:rFonts w:ascii="Arial" w:hAnsi="Arial"/>
        </w:rPr>
      </w:pPr>
      <w:r>
        <w:rPr>
          <w:rFonts w:cs="Arial" w:ascii="Arial" w:hAnsi="Arial"/>
          <w:color w:themeColor="text1" w:val="000000"/>
        </w:rPr>
        <w:t>To address these insights, I have the following recommendations:</w:t>
      </w:r>
    </w:p>
    <w:p>
      <w:pPr>
        <w:pStyle w:val="Normal"/>
        <w:numPr>
          <w:ilvl w:val="0"/>
          <w:numId w:val="9"/>
        </w:numPr>
        <w:rPr>
          <w:rFonts w:ascii="Arial" w:hAnsi="Arial"/>
        </w:rPr>
      </w:pPr>
      <w:r>
        <w:rPr>
          <w:rFonts w:ascii="Arial" w:hAnsi="Arial"/>
        </w:rPr>
        <w:t>Insight: Poor Payment History (3+ missed months) has 5x more default risk.</w:t>
      </w:r>
    </w:p>
    <w:p>
      <w:pPr>
        <w:pStyle w:val="Normal"/>
        <w:numPr>
          <w:ilvl w:val="1"/>
          <w:numId w:val="9"/>
        </w:numPr>
        <w:rPr>
          <w:rFonts w:ascii="Arial" w:hAnsi="Arial"/>
        </w:rPr>
      </w:pPr>
      <w:r>
        <w:rPr>
          <w:rFonts w:ascii="Arial" w:hAnsi="Arial"/>
        </w:rPr>
        <w:t xml:space="preserve">Recommendation: I recommend to </w:t>
      </w:r>
      <w:r>
        <w:rPr>
          <w:rFonts w:ascii="Arial" w:hAnsi="Arial"/>
        </w:rPr>
        <w:t>outreach to the customers that reach this threshold with a targeted 2-month messaging campaign to encourage them to restructure their debt</w:t>
      </w:r>
      <w:r>
        <w:rPr>
          <w:rFonts w:ascii="Arial" w:hAnsi="Arial"/>
        </w:rPr>
        <w:t>.</w:t>
      </w:r>
    </w:p>
    <w:p>
      <w:pPr>
        <w:pStyle w:val="Normal"/>
        <w:numPr>
          <w:ilvl w:val="1"/>
          <w:numId w:val="9"/>
        </w:numPr>
        <w:rPr>
          <w:rFonts w:ascii="Arial" w:hAnsi="Arial"/>
        </w:rPr>
      </w:pPr>
      <w:r>
        <w:rPr>
          <w:rFonts w:ascii="Arial" w:hAnsi="Arial"/>
        </w:rPr>
        <w:t xml:space="preserve">Since three months seems to be the threshold for the sharp increase in delinquency, </w:t>
      </w:r>
      <w:r>
        <w:rPr>
          <w:rFonts w:ascii="Arial" w:hAnsi="Arial"/>
        </w:rPr>
        <w:t>getting the customer’s attention during this time would produce a measurable change in the amount of missed/late payments</w:t>
      </w:r>
      <w:r>
        <w:rPr>
          <w:rFonts w:ascii="Arial" w:hAnsi="Arial"/>
        </w:rPr>
        <w:t>.</w:t>
      </w:r>
    </w:p>
    <w:p>
      <w:pPr>
        <w:pStyle w:val="Normal"/>
        <w:numPr>
          <w:ilvl w:val="0"/>
          <w:numId w:val="9"/>
        </w:numPr>
        <w:rPr>
          <w:rFonts w:ascii="Arial" w:hAnsi="Arial"/>
        </w:rPr>
      </w:pPr>
      <w:r>
        <w:rPr>
          <w:rFonts w:ascii="Arial" w:hAnsi="Arial"/>
        </w:rPr>
        <w:t>Insight: High Credit Utilization represents 2.8x more default risk.</w:t>
      </w:r>
    </w:p>
    <w:p>
      <w:pPr>
        <w:pStyle w:val="Normal"/>
        <w:numPr>
          <w:ilvl w:val="1"/>
          <w:numId w:val="9"/>
        </w:numPr>
        <w:rPr>
          <w:rFonts w:ascii="Arial" w:hAnsi="Arial"/>
        </w:rPr>
      </w:pPr>
      <w:r>
        <w:rPr>
          <w:rFonts w:ascii="Arial" w:hAnsi="Arial"/>
        </w:rPr>
        <w:t>Recommendation: I recommend that you communicate with the customer to make them aware of their usage in four thresholds, in increments of 25%.</w:t>
      </w:r>
    </w:p>
    <w:p>
      <w:pPr>
        <w:pStyle w:val="Normal"/>
        <w:numPr>
          <w:ilvl w:val="1"/>
          <w:numId w:val="9"/>
        </w:numPr>
        <w:rPr>
          <w:rFonts w:ascii="Arial" w:hAnsi="Arial"/>
        </w:rPr>
      </w:pPr>
      <w:r>
        <w:rPr>
          <w:rFonts w:ascii="Arial" w:hAnsi="Arial"/>
        </w:rPr>
        <w:t>Communicating this information with the customer may help them better plan their future spending so that they may have more money to pay with and therefore be less likely to become delinquent.</w:t>
      </w:r>
    </w:p>
    <w:p>
      <w:pPr>
        <w:pStyle w:val="Normal"/>
        <w:numPr>
          <w:ilvl w:val="0"/>
          <w:numId w:val="9"/>
        </w:numPr>
        <w:rPr>
          <w:rFonts w:ascii="Arial" w:hAnsi="Arial"/>
        </w:rPr>
      </w:pPr>
      <w:r>
        <w:rPr>
          <w:rFonts w:ascii="Arial" w:hAnsi="Arial"/>
        </w:rPr>
        <w:t>Income: Having lower income (&gt;$50k/yr) represent 3x more default risk.</w:t>
      </w:r>
    </w:p>
    <w:p>
      <w:pPr>
        <w:pStyle w:val="Normal"/>
        <w:numPr>
          <w:ilvl w:val="1"/>
          <w:numId w:val="9"/>
        </w:numPr>
        <w:rPr>
          <w:rFonts w:ascii="Arial" w:hAnsi="Arial"/>
        </w:rPr>
      </w:pPr>
      <w:r>
        <w:rPr>
          <w:rFonts w:ascii="Arial" w:hAnsi="Arial"/>
        </w:rPr>
        <w:t xml:space="preserve">Recommendation: I recommend that you provide them with payment plans and advising </w:t>
      </w:r>
      <w:r>
        <w:rPr>
          <w:rFonts w:ascii="Arial" w:hAnsi="Arial"/>
        </w:rPr>
        <w:t>so that they may become more financially literate and therefore not become tempted to default on their payments</w:t>
      </w:r>
      <w:r>
        <w:rPr>
          <w:rFonts w:ascii="Arial" w:hAnsi="Arial"/>
        </w:rPr>
        <w:t>.</w:t>
      </w:r>
    </w:p>
    <w:p>
      <w:pPr>
        <w:pStyle w:val="Normal"/>
        <w:numPr>
          <w:ilvl w:val="1"/>
          <w:numId w:val="9"/>
        </w:numPr>
        <w:rPr>
          <w:rFonts w:ascii="Arial" w:hAnsi="Arial"/>
        </w:rPr>
      </w:pPr>
      <w:r>
        <w:rPr>
          <w:rFonts w:ascii="Arial" w:hAnsi="Arial"/>
        </w:rPr>
        <w:t>As the customer’s income is unlikely to improve in the future, giving them opportunities to pay that are closer to their capacities may be better.</w:t>
      </w:r>
    </w:p>
    <w:p>
      <w:pPr>
        <w:pStyle w:val="Heading1"/>
        <w:rPr>
          <w:rFonts w:ascii="Arial" w:hAnsi="Arial"/>
        </w:rPr>
      </w:pPr>
      <w:r>
        <w:rPr>
          <w:rFonts w:cs="Arial" w:ascii="Arial" w:hAnsi="Arial"/>
          <w:color w:themeColor="text1" w:val="000000"/>
        </w:rPr>
        <w:t>3. Ethical and Responsible AI Considerations</w:t>
      </w:r>
    </w:p>
    <w:p>
      <w:pPr>
        <w:pStyle w:val="Normal"/>
        <w:rPr>
          <w:rFonts w:ascii="Arial" w:hAnsi="Arial" w:cs="Arial"/>
          <w:color w:themeColor="text1" w:val="000000"/>
        </w:rPr>
      </w:pPr>
      <w:r>
        <w:rPr>
          <w:rFonts w:cs="Arial" w:ascii="Arial" w:hAnsi="Arial"/>
          <w:color w:themeColor="text1" w:val="000000"/>
        </w:rPr>
      </w:r>
    </w:p>
    <w:p>
      <w:pPr>
        <w:pStyle w:val="Normal"/>
        <w:rPr>
          <w:rFonts w:ascii="Arial" w:hAnsi="Arial"/>
        </w:rPr>
      </w:pPr>
      <w:r>
        <w:rPr>
          <w:rFonts w:cs="Arial" w:ascii="Arial" w:hAnsi="Arial"/>
          <w:color w:themeColor="text1" w:val="000000"/>
        </w:rPr>
        <w:t>Looking at the model, it’s clear that it does not favor people who may just be getting their adult lives started and people who are no longer able to work. Younger adults, disabled people, and the elderly may be the most disadvantaged groups per the model’s output.</w:t>
      </w:r>
    </w:p>
    <w:p>
      <w:pPr>
        <w:pStyle w:val="Normal"/>
        <w:rPr>
          <w:rFonts w:ascii="Arial" w:hAnsi="Arial"/>
        </w:rPr>
      </w:pPr>
      <w:r>
        <w:rPr>
          <w:rFonts w:cs="Arial" w:ascii="Arial" w:hAnsi="Arial"/>
          <w:color w:themeColor="text1" w:val="000000"/>
        </w:rPr>
        <w:t xml:space="preserve">As this model uses decision trees, following the model’s logic should not be too difficult as it makes judges on a per factor basis. There is additional transparency thanks to clear values like the Shapely Additive Explanations (SHAP) that show how much each factor contributes to the predictions being made. </w:t>
      </w:r>
    </w:p>
    <w:p>
      <w:pPr>
        <w:pStyle w:val="Normal"/>
        <w:rPr>
          <w:rFonts w:ascii="Arial" w:hAnsi="Arial"/>
        </w:rPr>
      </w:pPr>
      <w:r>
        <w:rPr>
          <w:rFonts w:cs="Arial" w:ascii="Arial" w:hAnsi="Arial"/>
          <w:color w:themeColor="text1" w:val="000000"/>
        </w:rPr>
        <w:t>The recommendations I have made are austere and tailored to keep risk to Geldium low, while minimally impacting the customer base. Any drawbacks from these recommendations should be outweighed by the potential for gain.</w:t>
      </w:r>
    </w:p>
    <w:p>
      <w:pPr>
        <w:pStyle w:val="Normal"/>
        <w:rPr>
          <w:rFonts w:ascii="Arial" w:hAnsi="Arial"/>
        </w:rPr>
      </w:pPr>
      <w:r>
        <w:rPr>
          <w:rFonts w:cs="Arial" w:ascii="Arial" w:hAnsi="Arial"/>
          <w:color w:themeColor="text1" w:val="000000"/>
        </w:rPr>
        <w:t>The model is transparent thanks to SHAP and the decision trees involved in the predictions. Granted it is not as transparent and fast as logistic regression could be, but I believe the gain in accuracy should be worth it as your decisions should be guided by information that is true-to-the-facts as possible.  Additionally the data has been anonymized beforehand, so there is little regulatory risk related to the consumer’s privacy.</w:t>
      </w:r>
    </w:p>
    <w:p>
      <w:pPr>
        <w:pStyle w:val="Normal"/>
        <w:spacing w:before="0" w:after="200"/>
        <w:rPr>
          <w:rFonts w:ascii="Arial" w:hAnsi="Arial" w:cs="Arial"/>
          <w:color w:themeColor="text1" w:val="000000"/>
        </w:rPr>
      </w:pPr>
      <w:r>
        <w:rPr>
          <w:rFonts w:cs="Arial" w:ascii="Arial" w:hAnsi="Arial"/>
          <w:color w:themeColor="text1" w:val="000000"/>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37d1"/>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A5A5A5"/>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DDDDD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DDDDD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DDDDD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6E6E6E"/>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6E6E6E"/>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DDDDD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A5A5A5"/>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DDDDD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DDDDD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000000"/>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DDDDD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DDDDD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6E6E6E"/>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6E6E6E"/>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DDDDD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DDDDD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DDDDDD"/>
    </w:rPr>
  </w:style>
  <w:style w:type="character" w:styleId="SubtleReference">
    <w:name w:val="Subtle Reference"/>
    <w:basedOn w:val="DefaultParagraphFont"/>
    <w:uiPriority w:val="31"/>
    <w:qFormat/>
    <w:rsid w:val="00fc693f"/>
    <w:rPr>
      <w:smallCaps/>
      <w:color w:themeColor="accent2" w:val="B2B2B2"/>
      <w:u w:val="single"/>
    </w:rPr>
  </w:style>
  <w:style w:type="character" w:styleId="IntenseReference">
    <w:name w:val="Intense Reference"/>
    <w:basedOn w:val="DefaultParagraphFont"/>
    <w:uiPriority w:val="32"/>
    <w:qFormat/>
    <w:rsid w:val="00fc693f"/>
    <w:rPr>
      <w:b/>
      <w:bCs/>
      <w:smallCaps/>
      <w:color w:themeColor="accent2" w:val="B2B2B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DDDDD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000000"/>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DDDDD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DDDDDD"/>
      <w:sz w:val="18"/>
      <w:szCs w:val="18"/>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themeColor="accent1" w:val="DDDDD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Pr/>
    </w:tblStylePr>
    <w:tblStylePr w:type="lastCol">
      <w:rPr>
        <w:b/>
        <w:bCs/>
      </w:rPr>
      <w:tbl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Pr/>
    </w:tblStylePr>
    <w:tblStylePr w:type="lastCol">
      <w:rPr>
        <w:b/>
        <w:bCs/>
      </w:rPr>
      <w:tbl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Pr/>
    </w:tblStylePr>
    <w:tblStylePr w:type="lastCol">
      <w:rPr>
        <w:b/>
        <w:bCs/>
      </w:rPr>
      <w:tbl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Pr/>
    </w:tblStylePr>
    <w:tblStylePr w:type="lastCol">
      <w:rPr>
        <w:b/>
        <w:bCs/>
      </w:rPr>
      <w:tbl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Pr/>
    </w:tblStylePr>
    <w:tblStylePr w:type="lastCol">
      <w:rPr>
        <w:b/>
        <w:bCs/>
      </w:rPr>
      <w:tbl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Pr/>
    </w:tblStylePr>
    <w:tblStylePr w:type="lastCol">
      <w:rPr>
        <w:b/>
        <w:bCs/>
      </w:rPr>
      <w:tbl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themeColor="background1"/>
      </w:rPr>
      <w:tblPr/>
      <w:tcPr>
        <w:tcBorders>
          <w:top w:val="single" w:color="E5E5E5" w:themeColor="accent1" w:sz="8" w:space="0"/>
          <w:left w:val="single" w:color="E5E5E5" w:themeColor="accent1" w:sz="8" w:space="0"/>
          <w:bottom w:val="single" w:color="E5E5E5" w:themeColor="accent1" w:sz="8" w:space="0"/>
          <w:right w:val="single" w:color="E5E5E5" w:themeColor="accent1"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sz="6" w:space="0"/>
          <w:left w:val="single" w:color="E5E5E5" w:themeColor="accent1" w:sz="8" w:space="0"/>
          <w:bottom w:val="single" w:color="E5E5E5" w:themeColor="accent1" w:sz="8" w:space="0"/>
          <w:right w:val="single" w:color="E5E5E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themeColor="background1"/>
      </w:rPr>
      <w:tblPr/>
      <w:tcPr>
        <w:tcBorders>
          <w:top w:val="single" w:color="C5C5C5" w:themeColor="accent2" w:sz="8" w:space="0"/>
          <w:left w:val="single" w:color="C5C5C5" w:themeColor="accent2" w:sz="8" w:space="0"/>
          <w:bottom w:val="single" w:color="C5C5C5" w:themeColor="accent2" w:sz="8" w:space="0"/>
          <w:right w:val="single" w:color="C5C5C5" w:themeColor="accent2"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sz="6" w:space="0"/>
          <w:left w:val="single" w:color="C5C5C5" w:themeColor="accent2" w:sz="8" w:space="0"/>
          <w:bottom w:val="single" w:color="C5C5C5" w:themeColor="accent2" w:sz="8" w:space="0"/>
          <w:right w:val="single" w:color="C5C5C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themeColor="background1"/>
      </w:rPr>
      <w:tblPr/>
      <w:tcPr>
        <w:tcBorders>
          <w:top w:val="single" w:color="B0B0B0" w:themeColor="accent3" w:sz="8" w:space="0"/>
          <w:left w:val="single" w:color="B0B0B0" w:themeColor="accent3" w:sz="8" w:space="0"/>
          <w:bottom w:val="single" w:color="B0B0B0" w:themeColor="accent3" w:sz="8" w:space="0"/>
          <w:right w:val="single" w:color="B0B0B0" w:themeColor="accent3"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sz="6" w:space="0"/>
          <w:left w:val="single" w:color="B0B0B0" w:themeColor="accent3" w:sz="8" w:space="0"/>
          <w:bottom w:val="single" w:color="B0B0B0" w:themeColor="accent3" w:sz="8" w:space="0"/>
          <w:right w:val="single" w:color="B0B0B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themeColor="background1"/>
      </w:rPr>
      <w:tblPr/>
      <w:tcPr>
        <w:tcBorders>
          <w:top w:val="single" w:color="9F9F9F" w:themeColor="accent4" w:sz="8" w:space="0"/>
          <w:left w:val="single" w:color="9F9F9F" w:themeColor="accent4" w:sz="8" w:space="0"/>
          <w:bottom w:val="single" w:color="9F9F9F" w:themeColor="accent4" w:sz="8" w:space="0"/>
          <w:right w:val="single" w:color="9F9F9F" w:themeColor="accent4"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sz="6" w:space="0"/>
          <w:left w:val="single" w:color="9F9F9F" w:themeColor="accent4" w:sz="8" w:space="0"/>
          <w:bottom w:val="single" w:color="9F9F9F" w:themeColor="accent4" w:sz="8" w:space="0"/>
          <w:right w:val="single" w:color="9F9F9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themeColor="background1"/>
      </w:rPr>
      <w:tblPr/>
      <w:tcPr>
        <w:tcBorders>
          <w:top w:val="single" w:color="878787" w:themeColor="accent5" w:sz="8" w:space="0"/>
          <w:left w:val="single" w:color="878787" w:themeColor="accent5" w:sz="8" w:space="0"/>
          <w:bottom w:val="single" w:color="878787" w:themeColor="accent5" w:sz="8" w:space="0"/>
          <w:right w:val="single" w:color="878787" w:themeColor="accent5"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sz="6" w:space="0"/>
          <w:left w:val="single" w:color="878787" w:themeColor="accent5" w:sz="8" w:space="0"/>
          <w:bottom w:val="single" w:color="878787" w:themeColor="accent5" w:sz="8" w:space="0"/>
          <w:right w:val="single" w:color="878787"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themeColor="background1"/>
      </w:rPr>
      <w:tblPr/>
      <w:tcPr>
        <w:tcBorders>
          <w:top w:val="single" w:color="797979" w:themeColor="accent6" w:sz="8" w:space="0"/>
          <w:left w:val="single" w:color="797979" w:themeColor="accent6" w:sz="8" w:space="0"/>
          <w:bottom w:val="single" w:color="797979" w:themeColor="accent6" w:sz="8" w:space="0"/>
          <w:right w:val="single" w:color="797979" w:themeColor="accent6"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sz="6" w:space="0"/>
          <w:left w:val="single" w:color="797979" w:themeColor="accent6" w:sz="8" w:space="0"/>
          <w:bottom w:val="single" w:color="797979" w:themeColor="accent6" w:sz="8" w:space="0"/>
          <w:right w:val="single" w:color="797979"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DDDDDD" w:themeFill="accent1"/>
      </w:tcPr>
    </w:tblStylePr>
    <w:tblStylePr w:type="lastCol">
      <w:rPr>
        <w:b/>
        <w:bCs/>
        <w:color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B2B2B2" w:themeFill="accent2"/>
      </w:tcPr>
    </w:tblStylePr>
    <w:tblStylePr w:type="lastCol">
      <w:rPr>
        <w:b/>
        <w:bCs/>
        <w:color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69696" w:themeFill="accent3"/>
      </w:tcPr>
    </w:tblStylePr>
    <w:tblStylePr w:type="lastCol">
      <w:rPr>
        <w:b/>
        <w:bCs/>
        <w:color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8080" w:themeFill="accent4"/>
      </w:tcPr>
    </w:tblStylePr>
    <w:tblStylePr w:type="lastCol">
      <w:rPr>
        <w:b/>
        <w:bCs/>
        <w:color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5F5F5F" w:themeFill="accent5"/>
      </w:tcPr>
    </w:tblStylePr>
    <w:tblStylePr w:type="lastCol">
      <w:rPr>
        <w:b/>
        <w:bCs/>
        <w:color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D4D4D" w:themeFill="accent6"/>
      </w:tcPr>
    </w:tblStylePr>
    <w:tblStylePr w:type="lastCol">
      <w:rPr>
        <w:b/>
        <w:bCs/>
        <w:color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themeColor="text2"/>
      </w:rPr>
      <w:tblPr/>
      <w:tcPr>
        <w:tcBorders>
          <w:top w:val="single" w:color="DDDDDD" w:themeColor="accent1" w:sz="8" w:space="0"/>
          <w:bottom w:val="single" w:color="DDDDDD" w:themeColor="accent1" w:sz="8" w:space="0"/>
        </w:tcBorders>
      </w:tcPr>
    </w:tblStylePr>
    <w:tblStylePr w:type="firstCol">
      <w:rPr>
        <w:b/>
        <w:bCs/>
      </w:rPr>
      <w:tbl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themeColor="text2"/>
      </w:rPr>
      <w:tblPr/>
      <w:tcPr>
        <w:tcBorders>
          <w:top w:val="single" w:color="B2B2B2" w:themeColor="accent2" w:sz="8" w:space="0"/>
          <w:bottom w:val="single" w:color="B2B2B2" w:themeColor="accent2" w:sz="8" w:space="0"/>
        </w:tcBorders>
      </w:tcPr>
    </w:tblStylePr>
    <w:tblStylePr w:type="firstCol">
      <w:rPr>
        <w:b/>
        <w:bCs/>
      </w:rPr>
      <w:tbl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themeColor="text2"/>
      </w:rPr>
      <w:tblPr/>
      <w:tcPr>
        <w:tcBorders>
          <w:top w:val="single" w:color="969696" w:themeColor="accent3" w:sz="8" w:space="0"/>
          <w:bottom w:val="single" w:color="969696" w:themeColor="accent3" w:sz="8" w:space="0"/>
        </w:tcBorders>
      </w:tcPr>
    </w:tblStylePr>
    <w:tblStylePr w:type="firstCol">
      <w:rPr>
        <w:b/>
        <w:bCs/>
      </w:rPr>
      <w:tbl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themeColor="text2"/>
      </w:rPr>
      <w:tblPr/>
      <w:tcPr>
        <w:tcBorders>
          <w:top w:val="single" w:color="808080" w:themeColor="accent4" w:sz="8" w:space="0"/>
          <w:bottom w:val="single" w:color="808080" w:themeColor="accent4" w:sz="8" w:space="0"/>
        </w:tcBorders>
      </w:tcPr>
    </w:tblStylePr>
    <w:tblStylePr w:type="firstCol">
      <w:rPr>
        <w:b/>
        <w:bCs/>
      </w:rPr>
      <w:tbl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themeColor="text2"/>
      </w:rPr>
      <w:tblPr/>
      <w:tcPr>
        <w:tcBorders>
          <w:top w:val="single" w:color="5F5F5F" w:themeColor="accent5" w:sz="8" w:space="0"/>
          <w:bottom w:val="single" w:color="5F5F5F" w:themeColor="accent5" w:sz="8" w:space="0"/>
        </w:tcBorders>
      </w:tcPr>
    </w:tblStylePr>
    <w:tblStylePr w:type="firstCol">
      <w:rPr>
        <w:b/>
        <w:bCs/>
      </w:rPr>
      <w:tbl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themeColor="text2"/>
      </w:rPr>
      <w:tblPr/>
      <w:tcPr>
        <w:tcBorders>
          <w:top w:val="single" w:color="4D4D4D" w:themeColor="accent6" w:sz="8" w:space="0"/>
          <w:bottom w:val="single" w:color="4D4D4D" w:themeColor="accent6" w:sz="8" w:space="0"/>
        </w:tcBorders>
      </w:tcPr>
    </w:tblStylePr>
    <w:tblStylePr w:type="firstCol">
      <w:rPr>
        <w:b/>
        <w:bCs/>
      </w:rPr>
      <w:tbl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single" w:color="DDDDD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single" w:color="B2B2B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single" w:color="969696"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single" w:color="80808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single" w:color="5F5F5F"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single" w:color="4D4D4D"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Pr/>
    </w:tblStylePr>
    <w:tblStylePr w:type="lastRow">
      <w:rPr>
        <w:b/>
        <w:bCs/>
      </w:rPr>
      <w:tblPr/>
      <w:tcPr>
        <w:tcBorders>
          <w:top w:val="single" w:color="E5E5E5" w:themeColor="accent1" w:sz="18" w:space="0"/>
        </w:tcBorders>
      </w:tcPr>
    </w:tblStylePr>
    <w:tblStylePr w:type="firstCol">
      <w:rPr>
        <w:b/>
        <w:bCs/>
      </w:rPr>
      <w:tblPr/>
    </w:tblStylePr>
    <w:tblStylePr w:type="lastCol">
      <w:rPr>
        <w:b/>
        <w:bCs/>
      </w:rPr>
      <w:tbl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Pr/>
    </w:tblStylePr>
    <w:tblStylePr w:type="lastRow">
      <w:rPr>
        <w:b/>
        <w:bCs/>
      </w:rPr>
      <w:tblPr/>
      <w:tcPr>
        <w:tcBorders>
          <w:top w:val="single" w:color="C5C5C5" w:themeColor="accent2" w:sz="18" w:space="0"/>
        </w:tcBorders>
      </w:tcPr>
    </w:tblStylePr>
    <w:tblStylePr w:type="firstCol">
      <w:rPr>
        <w:b/>
        <w:bCs/>
      </w:rPr>
      <w:tblPr/>
    </w:tblStylePr>
    <w:tblStylePr w:type="lastCol">
      <w:rPr>
        <w:b/>
        <w:bCs/>
      </w:rPr>
      <w:tbl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Pr/>
    </w:tblStylePr>
    <w:tblStylePr w:type="lastRow">
      <w:rPr>
        <w:b/>
        <w:bCs/>
      </w:rPr>
      <w:tblPr/>
      <w:tcPr>
        <w:tcBorders>
          <w:top w:val="single" w:color="B0B0B0" w:themeColor="accent3" w:sz="18" w:space="0"/>
        </w:tcBorders>
      </w:tcPr>
    </w:tblStylePr>
    <w:tblStylePr w:type="firstCol">
      <w:rPr>
        <w:b/>
        <w:bCs/>
      </w:rPr>
      <w:tblPr/>
    </w:tblStylePr>
    <w:tblStylePr w:type="lastCol">
      <w:rPr>
        <w:b/>
        <w:bCs/>
      </w:rPr>
      <w:tbl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Pr/>
    </w:tblStylePr>
    <w:tblStylePr w:type="lastRow">
      <w:rPr>
        <w:b/>
        <w:bCs/>
      </w:rPr>
      <w:tblPr/>
      <w:tcPr>
        <w:tcBorders>
          <w:top w:val="single" w:color="9F9F9F" w:themeColor="accent4" w:sz="18" w:space="0"/>
        </w:tcBorders>
      </w:tcPr>
    </w:tblStylePr>
    <w:tblStylePr w:type="firstCol">
      <w:rPr>
        <w:b/>
        <w:bCs/>
      </w:rPr>
      <w:tblPr/>
    </w:tblStylePr>
    <w:tblStylePr w:type="lastCol">
      <w:rPr>
        <w:b/>
        <w:bCs/>
      </w:rPr>
      <w:tbl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Pr/>
    </w:tblStylePr>
    <w:tblStylePr w:type="lastRow">
      <w:rPr>
        <w:b/>
        <w:bCs/>
      </w:rPr>
      <w:tblPr/>
      <w:tcPr>
        <w:tcBorders>
          <w:top w:val="single" w:color="878787" w:themeColor="accent5" w:sz="18" w:space="0"/>
        </w:tcBorders>
      </w:tcPr>
    </w:tblStylePr>
    <w:tblStylePr w:type="firstCol">
      <w:rPr>
        <w:b/>
        <w:bCs/>
      </w:rPr>
      <w:tblPr/>
    </w:tblStylePr>
    <w:tblStylePr w:type="lastCol">
      <w:rPr>
        <w:b/>
        <w:bCs/>
      </w:rPr>
      <w:tbl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Pr/>
    </w:tblStylePr>
    <w:tblStylePr w:type="lastRow">
      <w:rPr>
        <w:b/>
        <w:bCs/>
      </w:rPr>
      <w:tblPr/>
      <w:tcPr>
        <w:tcBorders>
          <w:top w:val="single" w:color="797979" w:themeColor="accent6" w:sz="18" w:space="0"/>
        </w:tcBorders>
      </w:tcPr>
    </w:tblStylePr>
    <w:tblStylePr w:type="firstCol">
      <w:rPr>
        <w:b/>
        <w:bCs/>
      </w:rPr>
      <w:tblPr/>
    </w:tblStylePr>
    <w:tblStylePr w:type="lastCol">
      <w:rPr>
        <w:b/>
        <w:bCs/>
      </w:rPr>
      <w:tbl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themeColor="text1"/>
      </w:rPr>
      <w:tblPr/>
      <w:tcPr>
        <w:shd w:val="clear" w:color="auto" w:fill="FBFB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themeColor="text1"/>
      </w:rPr>
      <w:tblPr/>
      <w:tcPr>
        <w:shd w:val="clear" w:color="auto" w:fill="F7F7F7"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themeColor="text1"/>
      </w:rPr>
      <w:tblPr/>
      <w:tcPr>
        <w:shd w:val="clear" w:color="auto" w:fill="F4F4F4"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themeColor="text1"/>
      </w:rPr>
      <w:tblPr/>
      <w:tcPr>
        <w:shd w:val="clear" w:color="auto" w:fill="F2F2F2"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themeColor="text1"/>
      </w:rPr>
      <w:tblPr/>
      <w:tcPr>
        <w:shd w:val="clear" w:color="auto" w:fill="EFEFEF"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themeColor="text1"/>
      </w:rPr>
      <w:tblPr/>
      <w:tcPr>
        <w:shd w:val="clear" w:color="auto" w:fill="EDEDED"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u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848484" w:themeFill="accent1" w:themeFillShade="99"/>
      </w:tcPr>
    </w:tblStylePr>
    <w:tblStylePr w:type="firstCol">
      <w:rPr>
        <w:color w:themeColor="background1"/>
      </w:rPr>
      <w:tblPr/>
      <w:tcPr>
        <w:tcBorders>
          <w:top w:val="nil"/>
          <w:left w:val="nil"/>
          <w:bottom w:val="nil"/>
          <w:right w:val="nil"/>
          <w:insideH w:val="single" w:color="848484" w:themeColor="accent1" w:sz="4" w:space="0"/>
          <w:insideV w:val="nil"/>
        </w:tcBorders>
        <w:shd w:val="clear" w:color="auto" w:fill="848484" w:themeFill="accent1" w:themeFillShade="99"/>
      </w:tcPr>
    </w:tblStylePr>
    <w:tblStylePr w:type="lastCol">
      <w:rPr>
        <w:color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themeColor="text1"/>
      </w:rPr>
      <w:tblPr/>
    </w:tblStylePr>
    <w:tblStylePr w:type="nwCell">
      <w:rPr>
        <w:color w:themeColor="text1"/>
      </w:rPr>
      <w:tblPr/>
    </w:tblStylePr>
  </w:style>
  <w:style w:type="table" w:styleId="Colou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A6A6A" w:themeFill="accent2" w:themeFillShade="99"/>
      </w:tcPr>
    </w:tblStylePr>
    <w:tblStylePr w:type="firstCol">
      <w:rPr>
        <w:color w:themeColor="background1"/>
      </w:rPr>
      <w:tblPr/>
      <w:tcPr>
        <w:tcBorders>
          <w:top w:val="nil"/>
          <w:left w:val="nil"/>
          <w:bottom w:val="nil"/>
          <w:right w:val="nil"/>
          <w:insideH w:val="single" w:color="6A6A6A" w:themeColor="accent2" w:sz="4" w:space="0"/>
          <w:insideV w:val="nil"/>
        </w:tcBorders>
        <w:shd w:val="clear" w:color="auto" w:fill="6A6A6A" w:themeFill="accent2" w:themeFillShade="99"/>
      </w:tcPr>
    </w:tblStylePr>
    <w:tblStylePr w:type="lastCol">
      <w:rPr>
        <w:color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themeColor="text1"/>
      </w:rPr>
      <w:tblPr/>
    </w:tblStylePr>
    <w:tblStylePr w:type="nwCell">
      <w:rPr>
        <w:color w:themeColor="text1"/>
      </w:rPr>
      <w:tblPr/>
    </w:tblStylePr>
  </w:style>
  <w:style w:type="table" w:styleId="Colou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A5A5A" w:themeFill="accent3" w:themeFillShade="99"/>
      </w:tcPr>
    </w:tblStylePr>
    <w:tblStylePr w:type="firstCol">
      <w:rPr>
        <w:color w:themeColor="background1"/>
      </w:rPr>
      <w:tblPr/>
      <w:tcPr>
        <w:tcBorders>
          <w:top w:val="nil"/>
          <w:left w:val="nil"/>
          <w:bottom w:val="nil"/>
          <w:right w:val="nil"/>
          <w:insideH w:val="single" w:color="5A5A5A" w:themeColor="accent3" w:sz="4" w:space="0"/>
          <w:insideV w:val="nil"/>
        </w:tcBorders>
        <w:shd w:val="clear" w:color="auto" w:fill="5A5A5A" w:themeFill="accent3" w:themeFillShade="99"/>
      </w:tcPr>
    </w:tblStylePr>
    <w:tblStylePr w:type="lastCol">
      <w:rPr>
        <w:color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4C4C" w:themeFill="accent4" w:themeFillShade="99"/>
      </w:tcPr>
    </w:tblStylePr>
    <w:tblStylePr w:type="firstCol">
      <w:rPr>
        <w:color w:themeColor="background1"/>
      </w:rPr>
      <w:tblPr/>
      <w:tcPr>
        <w:tcBorders>
          <w:top w:val="nil"/>
          <w:left w:val="nil"/>
          <w:bottom w:val="nil"/>
          <w:right w:val="nil"/>
          <w:insideH w:val="single" w:color="4C4C4C" w:themeColor="accent4" w:sz="4" w:space="0"/>
          <w:insideV w:val="nil"/>
        </w:tcBorders>
        <w:shd w:val="clear" w:color="auto" w:fill="4C4C4C"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themeColor="text1"/>
      </w:rPr>
      <w:tblPr/>
    </w:tblStylePr>
    <w:tblStylePr w:type="nwCell">
      <w:rPr>
        <w:color w:themeColor="text1"/>
      </w:rPr>
      <w:tblPr/>
    </w:tblStylePr>
  </w:style>
  <w:style w:type="table" w:styleId="Colou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393939" w:themeFill="accent5" w:themeFillShade="99"/>
      </w:tcPr>
    </w:tblStylePr>
    <w:tblStylePr w:type="firstCol">
      <w:rPr>
        <w:color w:themeColor="background1"/>
      </w:rPr>
      <w:tblPr/>
      <w:tcPr>
        <w:tcBorders>
          <w:top w:val="nil"/>
          <w:left w:val="nil"/>
          <w:bottom w:val="nil"/>
          <w:right w:val="nil"/>
          <w:insideH w:val="single" w:color="393939" w:themeColor="accent5" w:sz="4" w:space="0"/>
          <w:insideV w:val="nil"/>
        </w:tcBorders>
        <w:shd w:val="clear" w:color="auto" w:fill="393939" w:themeFill="accent5" w:themeFillShade="99"/>
      </w:tcPr>
    </w:tblStylePr>
    <w:tblStylePr w:type="lastCol">
      <w:rPr>
        <w:color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themeColor="text1"/>
      </w:rPr>
      <w:tblPr/>
    </w:tblStylePr>
    <w:tblStylePr w:type="nwCell">
      <w:rPr>
        <w:color w:themeColor="text1"/>
      </w:rPr>
      <w:tblPr/>
    </w:tblStylePr>
  </w:style>
  <w:style w:type="table" w:styleId="Colou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E2E2E" w:themeFill="accent6" w:themeFillShade="99"/>
      </w:tcPr>
    </w:tblStylePr>
    <w:tblStylePr w:type="firstCol">
      <w:rPr>
        <w:color w:themeColor="background1"/>
      </w:rPr>
      <w:tblPr/>
      <w:tcPr>
        <w:tcBorders>
          <w:top w:val="nil"/>
          <w:left w:val="nil"/>
          <w:bottom w:val="nil"/>
          <w:right w:val="nil"/>
          <w:insideH w:val="single" w:color="2E2E2E" w:themeColor="accent6" w:sz="4" w:space="0"/>
          <w:insideV w:val="nil"/>
        </w:tcBorders>
        <w:shd w:val="clear" w:color="auto" w:fill="2E2E2E" w:themeFill="accent6" w:themeFillShade="99"/>
      </w:tcPr>
    </w:tblStylePr>
    <w:tblStylePr w:type="lastCol">
      <w:rPr>
        <w:color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themeColor="text1"/>
      </w:rPr>
      <w:tblPr/>
    </w:tblStylePr>
    <w:tblStylePr w:type="nwCell">
      <w:rPr>
        <w:color w:themeColor="text1"/>
      </w:rPr>
      <w:tblPr/>
    </w:tblStylePr>
  </w:style>
  <w:style w:type="table" w:styleId="Colou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FBFBFB" w:themeFill="accent1"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7F7F7" w:themeFill="accent2"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4F4F4" w:themeFill="accent3" w:themeFillTint="19"/>
    </w:tcPr>
    <w:tblStylePr w:type="firstRow">
      <w:rPr>
        <w:b/>
        <w:bCs/>
        <w:color w:themeColor="background1"/>
      </w:rPr>
      <w:tblPr/>
      <w:tcPr>
        <w:tcBorders>
          <w:bottom w:val="single" w:color="FFFFFF" w:themeColor="background1" w:sz="12" w:space="0"/>
        </w:tcBorders>
        <w:shd w:val="clear" w:color="auto" w:fill="666666"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F2F2" w:themeFill="accent4" w:themeFillTint="19"/>
    </w:tcPr>
    <w:tblStylePr w:type="firstRow">
      <w:rPr>
        <w:b/>
        <w:bCs/>
        <w:color w:themeColor="background1"/>
      </w:rPr>
      <w:tblPr/>
      <w:tcPr>
        <w:tcBorders>
          <w:bottom w:val="single" w:color="FFFFFF" w:themeColor="background1" w:sz="12" w:space="0"/>
        </w:tcBorders>
        <w:shd w:val="clear" w:color="auto" w:fill="787878"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FEFEF" w:themeFill="accent5" w:themeFillTint="19"/>
    </w:tcPr>
    <w:tblStylePr w:type="firstRow">
      <w:rPr>
        <w:b/>
        <w:bCs/>
        <w:color w:themeColor="background1"/>
      </w:rPr>
      <w:tblPr/>
      <w:tcPr>
        <w:tcBorders>
          <w:bottom w:val="single" w:color="FFFFFF" w:themeColor="background1" w:sz="12" w:space="0"/>
        </w:tcBorders>
        <w:shd w:val="clear" w:color="auto" w:fill="3D3D3D"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EDEDED" w:themeFill="accent6" w:themeFillTint="19"/>
    </w:tcPr>
    <w:tblStylePr w:type="firstRow">
      <w:rPr>
        <w:b/>
        <w:bCs/>
        <w:color w:themeColor="background1"/>
      </w:rPr>
      <w:tblPr/>
      <w:tcPr>
        <w:tcBorders>
          <w:bottom w:val="single" w:color="FFFFFF" w:themeColor="background1" w:sz="12" w:space="0"/>
        </w:tcBorders>
        <w:shd w:val="clear" w:color="auto" w:fill="4C4C4C"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themeColor="text1"/>
      </w:rPr>
      <w:tblPr/>
      <w:tcPr>
        <w:shd w:val="clear" w:color="auto" w:fill="F1F1F1" w:themeFill="accent1" w:themeFillTint="66"/>
      </w:tcPr>
    </w:tblStylePr>
    <w:tblStylePr w:type="firstCol">
      <w:rPr>
        <w:color w:themeColor="background1"/>
      </w:rPr>
      <w:tblPr/>
      <w:tcPr>
        <w:shd w:val="clear" w:color="auto" w:fill="A5A5A5" w:themeFill="accent1" w:themeFillShade="bf"/>
      </w:tcPr>
    </w:tblStylePr>
    <w:tblStylePr w:type="lastCol">
      <w:rPr>
        <w:color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themeColor="text1"/>
      </w:rPr>
      <w:tblPr/>
      <w:tcPr>
        <w:shd w:val="clear" w:color="auto" w:fill="E0E0E0" w:themeFill="accent2" w:themeFillTint="66"/>
      </w:tcPr>
    </w:tblStylePr>
    <w:tblStylePr w:type="firstCol">
      <w:rPr>
        <w:color w:themeColor="background1"/>
      </w:rPr>
      <w:tblPr/>
      <w:tcPr>
        <w:shd w:val="clear" w:color="auto" w:fill="858585" w:themeFill="accent2" w:themeFillShade="bf"/>
      </w:tcPr>
    </w:tblStylePr>
    <w:tblStylePr w:type="lastCol">
      <w:rPr>
        <w:color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themeColor="text1"/>
      </w:rPr>
      <w:tblPr/>
      <w:tcPr>
        <w:shd w:val="clear" w:color="auto" w:fill="D5D5D5" w:themeFill="accent3" w:themeFillTint="66"/>
      </w:tcPr>
    </w:tblStylePr>
    <w:tblStylePr w:type="firstCol">
      <w:rPr>
        <w:color w:themeColor="background1"/>
      </w:rPr>
      <w:tblPr/>
      <w:tcPr>
        <w:shd w:val="clear" w:color="auto" w:fill="707070" w:themeFill="accent3" w:themeFillShade="bf"/>
      </w:tcPr>
    </w:tblStylePr>
    <w:tblStylePr w:type="lastCol">
      <w:rPr>
        <w:color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themeColor="text1"/>
      </w:rPr>
      <w:tblPr/>
      <w:tcPr>
        <w:shd w:val="clear" w:color="auto" w:fill="CCCCCC" w:themeFill="accent4" w:themeFillTint="66"/>
      </w:tcPr>
    </w:tblStylePr>
    <w:tblStylePr w:type="firstCol">
      <w:rPr>
        <w:color w:themeColor="background1"/>
      </w:rPr>
      <w:tblPr/>
      <w:tcPr>
        <w:shd w:val="clear" w:color="auto" w:fill="5F5F5F" w:themeFill="accent4" w:themeFillShade="bf"/>
      </w:tcPr>
    </w:tblStylePr>
    <w:tblStylePr w:type="lastCol">
      <w:rPr>
        <w:color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themeColor="text1"/>
      </w:rPr>
      <w:tblPr/>
      <w:tcPr>
        <w:shd w:val="clear" w:color="auto" w:fill="BFBFBF" w:themeFill="accent5" w:themeFillTint="66"/>
      </w:tcPr>
    </w:tblStylePr>
    <w:tblStylePr w:type="firstCol">
      <w:rPr>
        <w:color w:themeColor="background1"/>
      </w:rPr>
      <w:tblPr/>
      <w:tcPr>
        <w:shd w:val="clear" w:color="auto" w:fill="474747" w:themeFill="accent5" w:themeFillShade="bf"/>
      </w:tcPr>
    </w:tblStylePr>
    <w:tblStylePr w:type="lastCol">
      <w:rPr>
        <w:color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themeColor="text1"/>
      </w:rPr>
      <w:tblPr/>
      <w:tcPr>
        <w:shd w:val="clear" w:color="auto" w:fill="B7B7B7" w:themeFill="accent6" w:themeFillTint="66"/>
      </w:tcPr>
    </w:tblStylePr>
    <w:tblStylePr w:type="firstCol">
      <w:rPr>
        <w:color w:themeColor="background1"/>
      </w:rPr>
      <w:tblPr/>
      <w:tcPr>
        <w:shd w:val="clear" w:color="auto" w:fill="393939" w:themeFill="accent6" w:themeFillShade="bf"/>
      </w:tcPr>
    </w:tblStylePr>
    <w:tblStylePr w:type="lastCol">
      <w:rPr>
        <w:color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Gre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LibreOffice/24.2.3.2$Windows_X86_64 LibreOffice_project/433d9c2ded56988e8a90e6b2e771ee4e6a5ab2ba</Application>
  <AppVersion>15.0000</AppVersion>
  <Pages>2</Pages>
  <Words>525</Words>
  <Characters>2825</Characters>
  <CharactersWithSpaces>3317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2025-06-12T11:35:03Z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