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D11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/>
        <w:textAlignment w:val="baseline"/>
        <w:rPr>
          <w:rFonts w:hint="default" w:ascii="Tahoma" w:hAnsi="Tahoma" w:cs="Tahoma"/>
          <w:b/>
          <w:bCs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vertAlign w:val="baseline"/>
        </w:rPr>
      </w:pPr>
      <w:bookmarkStart w:id="0" w:name="_GoBack"/>
      <w:r>
        <w:rPr>
          <w:rFonts w:hint="default" w:ascii="Tahoma" w:hAnsi="Tahoma" w:cs="Tahoma"/>
          <w:b/>
          <w:bCs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vertAlign w:val="baseline"/>
        </w:rPr>
        <w:t>¿Qué es la integración de API?</w:t>
      </w:r>
    </w:p>
    <w:p w14:paraId="33F82B20">
      <w:pPr>
        <w:rPr>
          <w:rFonts w:hint="default" w:ascii="Tahoma" w:hAnsi="Tahoma" w:cs="Tahoma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vertAlign w:val="baseline"/>
        </w:rPr>
      </w:pPr>
    </w:p>
    <w:p w14:paraId="2B37F2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ahoma" w:hAnsi="Tahoma" w:eastAsia="Arial" w:cs="Tahoma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vertAlign w:val="baseline"/>
        </w:rPr>
        <w:t>La integración de API se refiere al uso de </w:t>
      </w:r>
      <w:r>
        <w:rPr>
          <w:rFonts w:hint="default" w:ascii="Tahoma" w:hAnsi="Tahoma" w:eastAsia="IBM Plex Sans" w:cs="Tahom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ahoma" w:hAnsi="Tahoma" w:eastAsia="IBM Plex Sans" w:cs="Tahom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"https://www.ibm.com/mx-es/topics/api" </w:instrText>
      </w:r>
      <w:r>
        <w:rPr>
          <w:rFonts w:hint="default" w:ascii="Tahoma" w:hAnsi="Tahoma" w:eastAsia="IBM Plex Sans" w:cs="Tahom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ahoma" w:hAnsi="Tahoma" w:eastAsia="IBM Plex Sans" w:cs="Tahom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interfaces de programación de aplicaciones (API)</w:t>
      </w:r>
      <w:r>
        <w:rPr>
          <w:rFonts w:hint="default" w:ascii="Tahoma" w:hAnsi="Tahoma" w:eastAsia="IBM Plex Sans" w:cs="Tahom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vertAlign w:val="baseline"/>
        </w:rPr>
        <w:t> para exponer flujos de integración y conectar aplicaciones, sistemas y flujos de trabajo de software empresarial para el intercambio de datos y servicios.</w:t>
      </w:r>
    </w:p>
    <w:p w14:paraId="6EB52203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b/>
          <w:bCs/>
          <w:sz w:val="24"/>
          <w:szCs w:val="24"/>
        </w:rPr>
        <w:t>A. Cómo combinar datos obtenidos de una API con almacenamiento local (archivo o base de datos)</w:t>
      </w:r>
    </w:p>
    <w:p w14:paraId="308F4976">
      <w:pPr>
        <w:pStyle w:val="8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b/>
          <w:bCs/>
          <w:sz w:val="24"/>
          <w:szCs w:val="24"/>
        </w:rPr>
        <w:t>Arquitectura de Sincronización:</w:t>
      </w:r>
      <w:r>
        <w:rPr>
          <w:rFonts w:hint="default" w:ascii="Tahoma" w:hAnsi="Tahoma" w:cs="Tahoma"/>
          <w:sz w:val="24"/>
          <w:szCs w:val="24"/>
        </w:rPr>
        <w:t xml:space="preserve"> Consiste en consumir la API externa (vía </w:t>
      </w:r>
      <w:r>
        <w:rPr>
          <w:rStyle w:val="6"/>
          <w:rFonts w:hint="default" w:ascii="Tahoma" w:hAnsi="Tahoma" w:cs="Tahoma"/>
          <w:sz w:val="24"/>
          <w:szCs w:val="24"/>
        </w:rPr>
        <w:t>HttpClient</w:t>
      </w:r>
      <w:r>
        <w:rPr>
          <w:rFonts w:hint="default" w:ascii="Tahoma" w:hAnsi="Tahoma" w:cs="Tahoma"/>
          <w:sz w:val="24"/>
          <w:szCs w:val="24"/>
        </w:rPr>
        <w:t>), deserializar la respuesta JSON a objetos en memoria (</w:t>
      </w:r>
      <w:r>
        <w:rPr>
          <w:rStyle w:val="6"/>
          <w:rFonts w:hint="default" w:ascii="Tahoma" w:hAnsi="Tahoma" w:cs="Tahoma"/>
          <w:sz w:val="24"/>
          <w:szCs w:val="24"/>
        </w:rPr>
        <w:t>List&lt;T&gt;</w:t>
      </w:r>
      <w:r>
        <w:rPr>
          <w:rFonts w:hint="default" w:ascii="Tahoma" w:hAnsi="Tahoma" w:cs="Tahoma"/>
          <w:sz w:val="24"/>
          <w:szCs w:val="24"/>
        </w:rPr>
        <w:t>) y luego consolidar/persistir esos objetos en una base de datos local (SQLite, SQL Server) o un archivo plano (JSON, CSV).</w:t>
      </w:r>
    </w:p>
    <w:p w14:paraId="3D0027F3">
      <w:pPr>
        <w:pStyle w:val="8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b/>
          <w:bCs/>
          <w:sz w:val="24"/>
          <w:szCs w:val="24"/>
        </w:rPr>
        <w:t>Patrón de Abstracción y Desacoplamiento:</w:t>
      </w:r>
      <w:r>
        <w:rPr>
          <w:rFonts w:hint="default" w:ascii="Tahoma" w:hAnsi="Tahoma" w:cs="Tahoma"/>
          <w:sz w:val="24"/>
          <w:szCs w:val="24"/>
        </w:rPr>
        <w:t xml:space="preserve"> Como se menciona en los conceptos de integración de API, aislar la fuente remota de la capa local mediante interfaces y modelos intermedios permite que la aplicación continúe operando y mostrando datos incluso ante fallos de red o desconexión (modo </w:t>
      </w:r>
      <w:r>
        <w:rPr>
          <w:rFonts w:hint="default" w:ascii="Tahoma" w:hAnsi="Tahoma" w:cs="Tahoma"/>
          <w:i/>
          <w:iCs/>
          <w:sz w:val="24"/>
          <w:szCs w:val="24"/>
        </w:rPr>
        <w:t>offline-first</w:t>
      </w:r>
      <w:r>
        <w:rPr>
          <w:rFonts w:hint="default" w:ascii="Tahoma" w:hAnsi="Tahoma" w:cs="Tahoma"/>
          <w:sz w:val="24"/>
          <w:szCs w:val="24"/>
        </w:rPr>
        <w:t>).</w:t>
      </w:r>
    </w:p>
    <w:p w14:paraId="62FB5654">
      <w:pPr>
        <w:pStyle w:val="8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b/>
          <w:bCs/>
          <w:sz w:val="24"/>
          <w:szCs w:val="24"/>
        </w:rPr>
        <w:t>Integración de Fuentes y Mapeo:</w:t>
      </w:r>
      <w:r>
        <w:rPr>
          <w:rFonts w:hint="default" w:ascii="Tahoma" w:hAnsi="Tahoma" w:cs="Tahoma"/>
          <w:sz w:val="24"/>
          <w:szCs w:val="24"/>
        </w:rPr>
        <w:t xml:space="preserve"> Cuando los datos provienen de múltiples endpoints o formatos, se recomienda procesar los archivos o respuestas (p. ej., matrices JSON o archivos CSV) e importarlos mediante colecciones o tareas en segundo plano hacia la base de datos o almacenamiento local, asegurando la consistencia e integridad.</w:t>
      </w:r>
    </w:p>
    <w:p w14:paraId="44191CBC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b/>
          <w:bCs/>
          <w:sz w:val="24"/>
          <w:szCs w:val="24"/>
        </w:rPr>
        <w:t>B. Casos de Uso en la Industria: Aplicaciones de escritorio que sincronizan información con la nube</w:t>
      </w:r>
    </w:p>
    <w:p w14:paraId="69CFB5F0">
      <w:pPr>
        <w:pStyle w:val="8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b/>
          <w:bCs/>
          <w:sz w:val="24"/>
          <w:szCs w:val="24"/>
        </w:rPr>
        <w:t>Sistemas POS (Puntos de Venta) y Gestión de Inventarios:</w:t>
      </w:r>
      <w:r>
        <w:rPr>
          <w:rFonts w:hint="default" w:ascii="Tahoma" w:hAnsi="Tahoma" w:cs="Tahoma"/>
          <w:sz w:val="24"/>
          <w:szCs w:val="24"/>
        </w:rPr>
        <w:t xml:space="preserve"> Registran ventas localmente en una base de datos liviana o archivo para operar sin interrupciones. Al detectar conexión a Internet, sincronizan el stock con el ERP/CRM en la nube a través de peticiones HTTP/REST.</w:t>
      </w:r>
    </w:p>
    <w:p w14:paraId="47E7F64A">
      <w:pPr>
        <w:pStyle w:val="8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b/>
          <w:bCs/>
          <w:sz w:val="24"/>
          <w:szCs w:val="24"/>
        </w:rPr>
        <w:t>Sistemas Enterprise / Gestión de Activos (Ej. IBM Maximo Manage):</w:t>
      </w:r>
      <w:r>
        <w:rPr>
          <w:rFonts w:hint="default" w:ascii="Tahoma" w:hAnsi="Tahoma" w:cs="Tahoma"/>
          <w:sz w:val="24"/>
          <w:szCs w:val="24"/>
        </w:rPr>
        <w:t xml:space="preserve"> Aplicaciones de escritorio o móviles que exportan e importan grandes volúmenes de datos mediante archivos planos (CSV, JSON) en procesos asíncronos o tareas en segundo plano (</w:t>
      </w:r>
      <w:r>
        <w:rPr>
          <w:rFonts w:hint="default" w:ascii="Tahoma" w:hAnsi="Tahoma" w:cs="Tahoma"/>
          <w:i/>
          <w:iCs/>
          <w:sz w:val="24"/>
          <w:szCs w:val="24"/>
        </w:rPr>
        <w:t>cron jobs</w:t>
      </w:r>
      <w:r>
        <w:rPr>
          <w:rFonts w:hint="default" w:ascii="Tahoma" w:hAnsi="Tahoma" w:cs="Tahoma"/>
          <w:sz w:val="24"/>
          <w:szCs w:val="24"/>
        </w:rPr>
        <w:t>), permitiendo la manipulación de información local y su posterior consolidación en la nube o AWS S3.</w:t>
      </w:r>
    </w:p>
    <w:p w14:paraId="0498A680">
      <w:pPr>
        <w:pStyle w:val="8"/>
        <w:keepNext w:val="0"/>
        <w:keepLines w:val="0"/>
        <w:widowControl/>
        <w:suppressLineNumbers w:val="0"/>
        <w:ind w:left="720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  <w:r>
        <w:rPr>
          <w:rFonts w:hint="default" w:ascii="Tahoma" w:hAnsi="Tahoma" w:cs="Tahoma"/>
          <w:b/>
          <w:bCs/>
          <w:sz w:val="24"/>
          <w:szCs w:val="24"/>
        </w:rPr>
        <w:t>Herramientas de Análisis y Consultas Frecuentes (Caso de la Guía Práctica):</w:t>
      </w:r>
      <w:r>
        <w:rPr>
          <w:rFonts w:hint="default" w:ascii="Tahoma" w:hAnsi="Tahoma" w:cs="Tahoma"/>
          <w:sz w:val="24"/>
          <w:szCs w:val="24"/>
        </w:rPr>
        <w:t xml:space="preserve"> Aplicaciones de escritorio en Windows Forms que guardan listas de favoritos o historiales en un archivo local (p. ej., </w:t>
      </w:r>
      <w:r>
        <w:rPr>
          <w:rStyle w:val="6"/>
          <w:rFonts w:hint="default" w:ascii="Tahoma" w:hAnsi="Tahoma" w:cs="Tahoma"/>
          <w:sz w:val="24"/>
          <w:szCs w:val="24"/>
        </w:rPr>
        <w:t>favoritos.csv</w:t>
      </w:r>
      <w:r>
        <w:rPr>
          <w:rFonts w:hint="default" w:ascii="Tahoma" w:hAnsi="Tahoma" w:cs="Tahoma"/>
          <w:sz w:val="24"/>
          <w:szCs w:val="24"/>
        </w:rPr>
        <w:t xml:space="preserve"> o </w:t>
      </w:r>
      <w:r>
        <w:rPr>
          <w:rStyle w:val="6"/>
          <w:rFonts w:hint="default" w:ascii="Tahoma" w:hAnsi="Tahoma" w:cs="Tahoma"/>
          <w:sz w:val="24"/>
          <w:szCs w:val="24"/>
        </w:rPr>
        <w:t>favoritos.json</w:t>
      </w:r>
      <w:r>
        <w:rPr>
          <w:rFonts w:hint="default" w:ascii="Tahoma" w:hAnsi="Tahoma" w:cs="Tahoma"/>
          <w:sz w:val="24"/>
          <w:szCs w:val="24"/>
        </w:rPr>
        <w:t xml:space="preserve">) utilizando </w:t>
      </w:r>
      <w:r>
        <w:rPr>
          <w:rStyle w:val="6"/>
          <w:rFonts w:hint="default" w:ascii="Tahoma" w:hAnsi="Tahoma" w:cs="Tahoma"/>
          <w:sz w:val="24"/>
          <w:szCs w:val="24"/>
        </w:rPr>
        <w:t>List&lt;T&gt;</w:t>
      </w:r>
      <w:r>
        <w:rPr>
          <w:rFonts w:hint="default" w:ascii="Tahoma" w:hAnsi="Tahoma" w:cs="Tahoma"/>
          <w:sz w:val="24"/>
          <w:szCs w:val="24"/>
        </w:rPr>
        <w:t>, permitiendo al usuario revisar la información de la API de forma persistente aunque la red falle.</w:t>
      </w:r>
    </w:p>
    <w:bookmarkEnd w:id="0"/>
    <w:p w14:paraId="332A9B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10A3A0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4EE44C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328200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20F6DF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72C4BE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17DC05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007E22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2AA4A5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0A22CA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5CF0BF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2D3268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</w:rPr>
      </w:pPr>
    </w:p>
    <w:p w14:paraId="338B60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</w:pPr>
    </w:p>
    <w:p w14:paraId="6FB1EC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</w:pPr>
      <w:r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  <w:t>Bibliografia</w:t>
      </w:r>
    </w:p>
    <w:p w14:paraId="611523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</w:pPr>
    </w:p>
    <w:p w14:paraId="5E8B17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</w:pPr>
      <w:r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  <w:fldChar w:fldCharType="begin"/>
      </w:r>
      <w:r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  <w:instrText xml:space="preserve"> HYPERLINK "https://www.ibm.com/mx-es/think/topics/api-integration" </w:instrText>
      </w:r>
      <w:r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  <w:fldChar w:fldCharType="separate"/>
      </w:r>
      <w:r>
        <w:rPr>
          <w:rStyle w:val="7"/>
          <w:rFonts w:hint="default" w:ascii="Tahoma" w:hAnsi="Tahoma" w:eastAsia="IBM Plex Sans" w:cs="Tahoma"/>
          <w:i w:val="0"/>
          <w:iCs w:val="0"/>
          <w:caps w:val="0"/>
          <w:spacing w:val="0"/>
          <w:sz w:val="30"/>
          <w:szCs w:val="30"/>
          <w:shd w:val="clear" w:fill="FFFFFF"/>
          <w:vertAlign w:val="baseline"/>
          <w:lang w:val="es-ES"/>
        </w:rPr>
        <w:t>https://www.ibm.com/mx-es/think/topics/api-integration</w:t>
      </w:r>
      <w:r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  <w:fldChar w:fldCharType="end"/>
      </w:r>
    </w:p>
    <w:p w14:paraId="1D8EBB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textAlignment w:val="baseline"/>
        <w:rPr>
          <w:rFonts w:hint="default" w:ascii="Tahoma" w:hAnsi="Tahoma" w:eastAsia="IBM Plex Sans" w:cs="Tahoma"/>
          <w:i w:val="0"/>
          <w:iCs w:val="0"/>
          <w:caps w:val="0"/>
          <w:color w:val="161616"/>
          <w:spacing w:val="0"/>
          <w:sz w:val="30"/>
          <w:szCs w:val="30"/>
          <w:shd w:val="clear" w:fill="FFFFFF"/>
          <w:vertAlign w:val="baseline"/>
          <w:lang w:val="es-ES"/>
        </w:rPr>
      </w:pPr>
    </w:p>
    <w:p w14:paraId="75B9716E">
      <w:pPr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fldChar w:fldCharType="begin"/>
      </w:r>
      <w:r>
        <w:rPr>
          <w:rFonts w:hint="default" w:ascii="Tahoma" w:hAnsi="Tahoma" w:cs="Tahoma"/>
          <w:sz w:val="24"/>
          <w:szCs w:val="24"/>
        </w:rPr>
        <w:instrText xml:space="preserve"> HYPERLINK "https://es.stackoverflow.com/questions/631023/c%C3%B3mo-combinar-datos-de-varias-api-en-un-solo-objeto-en-java-para-guardarlos-en" </w:instrText>
      </w:r>
      <w:r>
        <w:rPr>
          <w:rFonts w:hint="default" w:ascii="Tahoma" w:hAnsi="Tahoma" w:cs="Tahoma"/>
          <w:sz w:val="24"/>
          <w:szCs w:val="24"/>
        </w:rPr>
        <w:fldChar w:fldCharType="separate"/>
      </w:r>
      <w:r>
        <w:rPr>
          <w:rStyle w:val="7"/>
          <w:rFonts w:hint="default" w:ascii="Tahoma" w:hAnsi="Tahoma" w:cs="Tahoma"/>
          <w:sz w:val="24"/>
          <w:szCs w:val="24"/>
        </w:rPr>
        <w:t>https://es.stackoverflow.com/questions/631023/c%C3%B3mo-combinar-datos-de-varias-api-en-un-solo-objeto-en-java-para-guardarlos-en</w:t>
      </w:r>
      <w:r>
        <w:rPr>
          <w:rFonts w:hint="default" w:ascii="Tahoma" w:hAnsi="Tahoma" w:cs="Tahoma"/>
          <w:sz w:val="24"/>
          <w:szCs w:val="24"/>
        </w:rPr>
        <w:fldChar w:fldCharType="end"/>
      </w:r>
    </w:p>
    <w:p w14:paraId="04A1C112">
      <w:pPr>
        <w:rPr>
          <w:rFonts w:hint="default" w:ascii="Tahoma" w:hAnsi="Tahoma" w:cs="Tahoma"/>
          <w:sz w:val="24"/>
          <w:szCs w:val="24"/>
        </w:rPr>
      </w:pPr>
    </w:p>
    <w:p w14:paraId="5B733322">
      <w:pPr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fldChar w:fldCharType="begin"/>
      </w:r>
      <w:r>
        <w:rPr>
          <w:rFonts w:hint="default" w:ascii="Tahoma" w:hAnsi="Tahoma" w:cs="Tahoma"/>
          <w:sz w:val="24"/>
          <w:szCs w:val="24"/>
        </w:rPr>
        <w:instrText xml:space="preserve"> HYPERLINK "https://www.ibm.com/mx-es/think/topics/cloud-computing-use-cases" </w:instrText>
      </w:r>
      <w:r>
        <w:rPr>
          <w:rFonts w:hint="default" w:ascii="Tahoma" w:hAnsi="Tahoma" w:cs="Tahoma"/>
          <w:sz w:val="24"/>
          <w:szCs w:val="24"/>
        </w:rPr>
        <w:fldChar w:fldCharType="separate"/>
      </w:r>
      <w:r>
        <w:rPr>
          <w:rStyle w:val="7"/>
          <w:rFonts w:hint="default" w:ascii="Tahoma" w:hAnsi="Tahoma" w:cs="Tahoma"/>
          <w:sz w:val="24"/>
          <w:szCs w:val="24"/>
        </w:rPr>
        <w:t>https://www.ibm.com/mx-es/think/topics/cloud-computing-use-cases</w:t>
      </w:r>
      <w:r>
        <w:rPr>
          <w:rFonts w:hint="default" w:ascii="Tahoma" w:hAnsi="Tahoma" w:cs="Tahoma"/>
          <w:sz w:val="24"/>
          <w:szCs w:val="24"/>
        </w:rPr>
        <w:fldChar w:fldCharType="end"/>
      </w:r>
    </w:p>
    <w:p w14:paraId="73E64ED9">
      <w:pPr>
        <w:rPr>
          <w:rFonts w:hint="default" w:ascii="Tahoma" w:hAnsi="Tahoma" w:cs="Tahoma"/>
          <w:sz w:val="24"/>
          <w:szCs w:val="24"/>
        </w:rPr>
      </w:pPr>
    </w:p>
    <w:p w14:paraId="6536C71F">
      <w:pPr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fldChar w:fldCharType="begin"/>
      </w:r>
      <w:r>
        <w:rPr>
          <w:rFonts w:hint="default" w:ascii="Tahoma" w:hAnsi="Tahoma" w:cs="Tahoma"/>
          <w:sz w:val="24"/>
          <w:szCs w:val="24"/>
        </w:rPr>
        <w:instrText xml:space="preserve"> HYPERLINK "https://www.ibm.com/docs/es/maximo-manage/cd?topic=apis-data-import-export-rest-api" </w:instrText>
      </w:r>
      <w:r>
        <w:rPr>
          <w:rFonts w:hint="default" w:ascii="Tahoma" w:hAnsi="Tahoma" w:cs="Tahoma"/>
          <w:sz w:val="24"/>
          <w:szCs w:val="24"/>
        </w:rPr>
        <w:fldChar w:fldCharType="separate"/>
      </w:r>
      <w:r>
        <w:rPr>
          <w:rStyle w:val="7"/>
          <w:rFonts w:hint="default" w:ascii="Tahoma" w:hAnsi="Tahoma" w:cs="Tahoma"/>
          <w:sz w:val="24"/>
          <w:szCs w:val="24"/>
        </w:rPr>
        <w:t>https://www.ibm.com/docs/es/maximo-manage/cd?topic=apis-data-import-export-rest-api</w:t>
      </w:r>
      <w:r>
        <w:rPr>
          <w:rFonts w:hint="default" w:ascii="Tahoma" w:hAnsi="Tahoma" w:cs="Tahoma"/>
          <w:sz w:val="24"/>
          <w:szCs w:val="24"/>
        </w:rPr>
        <w:fldChar w:fldCharType="end"/>
      </w:r>
    </w:p>
    <w:p w14:paraId="68C5163A">
      <w:pPr>
        <w:rPr>
          <w:rFonts w:hint="default" w:ascii="Tahoma" w:hAnsi="Tahoma" w:cs="Tahoma"/>
          <w:sz w:val="24"/>
          <w:szCs w:val="24"/>
        </w:rPr>
      </w:pPr>
    </w:p>
    <w:p w14:paraId="0423DB42">
      <w:pPr>
        <w:rPr>
          <w:rFonts w:hint="default" w:ascii="Tahoma" w:hAnsi="Tahoma" w:cs="Tahoma"/>
          <w:sz w:val="24"/>
          <w:szCs w:val="24"/>
        </w:rPr>
      </w:pPr>
    </w:p>
    <w:p w14:paraId="4A112BB9">
      <w:pPr>
        <w:rPr>
          <w:rFonts w:hint="default" w:ascii="Tahoma" w:hAnsi="Tahoma" w:cs="Tahoma"/>
          <w:sz w:val="24"/>
          <w:szCs w:val="24"/>
        </w:rPr>
      </w:pPr>
    </w:p>
    <w:p w14:paraId="424F4516">
      <w:pPr>
        <w:rPr>
          <w:rFonts w:hint="default" w:ascii="Tahoma" w:hAnsi="Tahoma" w:cs="Tahoma"/>
          <w:sz w:val="24"/>
          <w:szCs w:val="24"/>
        </w:rPr>
      </w:pPr>
    </w:p>
    <w:p w14:paraId="69DAFE87">
      <w:pPr>
        <w:rPr>
          <w:rFonts w:hint="default" w:ascii="Tahoma" w:hAnsi="Tahoma" w:cs="Tahoma"/>
          <w:sz w:val="24"/>
          <w:szCs w:val="24"/>
        </w:rPr>
      </w:pPr>
    </w:p>
    <w:p w14:paraId="352E6F47">
      <w:pPr>
        <w:rPr>
          <w:rFonts w:hint="default" w:ascii="Tahoma" w:hAnsi="Tahoma" w:cs="Tahoma"/>
          <w:sz w:val="24"/>
          <w:szCs w:val="24"/>
        </w:rPr>
      </w:pPr>
    </w:p>
    <w:p w14:paraId="3A78E871">
      <w:pPr>
        <w:rPr>
          <w:rFonts w:hint="default" w:ascii="Tahoma" w:hAnsi="Tahoma" w:cs="Tahoma"/>
          <w:sz w:val="24"/>
          <w:szCs w:val="24"/>
        </w:rPr>
      </w:pPr>
    </w:p>
    <w:p w14:paraId="61C88ED5">
      <w:pPr>
        <w:rPr>
          <w:rFonts w:hint="default" w:ascii="Tahoma" w:hAnsi="Tahoma" w:cs="Tahoma"/>
          <w:sz w:val="24"/>
          <w:szCs w:val="24"/>
        </w:rPr>
      </w:pPr>
    </w:p>
    <w:p w14:paraId="6FA69A8C">
      <w:pPr>
        <w:rPr>
          <w:rFonts w:hint="default" w:ascii="Tahoma" w:hAnsi="Tahoma" w:cs="Tahoma"/>
          <w:sz w:val="24"/>
          <w:szCs w:val="24"/>
        </w:rPr>
      </w:pPr>
    </w:p>
    <w:p w14:paraId="0BE0DF4B">
      <w:pPr>
        <w:rPr>
          <w:rFonts w:hint="default" w:ascii="Tahoma" w:hAnsi="Tahoma" w:cs="Tahoma"/>
          <w:sz w:val="24"/>
          <w:szCs w:val="24"/>
        </w:rPr>
      </w:pPr>
    </w:p>
    <w:p w14:paraId="15AC0D83">
      <w:pPr>
        <w:rPr>
          <w:rFonts w:hint="default" w:ascii="Tahoma" w:hAnsi="Tahoma" w:cs="Tahoma"/>
          <w:sz w:val="24"/>
          <w:szCs w:val="24"/>
        </w:rPr>
      </w:pPr>
    </w:p>
    <w:p w14:paraId="0B28C590">
      <w:pPr>
        <w:rPr>
          <w:rFonts w:hint="default" w:ascii="Tahoma" w:hAnsi="Tahoma" w:cs="Tahoma"/>
          <w:sz w:val="24"/>
          <w:szCs w:val="24"/>
        </w:rPr>
      </w:pPr>
    </w:p>
    <w:p w14:paraId="3452EC53">
      <w:pPr>
        <w:rPr>
          <w:rFonts w:hint="default" w:ascii="Tahoma" w:hAnsi="Tahoma" w:cs="Tahoma"/>
          <w:sz w:val="24"/>
          <w:szCs w:val="24"/>
        </w:rPr>
      </w:pPr>
    </w:p>
    <w:p w14:paraId="10E59359">
      <w:pPr>
        <w:rPr>
          <w:rFonts w:hint="default" w:ascii="Tahoma" w:hAnsi="Tahoma" w:cs="Tahoma"/>
          <w:sz w:val="24"/>
          <w:szCs w:val="24"/>
        </w:rPr>
      </w:pPr>
    </w:p>
    <w:p w14:paraId="3358438D">
      <w:pPr>
        <w:rPr>
          <w:rFonts w:hint="default" w:ascii="Tahoma" w:hAnsi="Tahoma" w:cs="Tahoma"/>
          <w:sz w:val="24"/>
          <w:szCs w:val="24"/>
        </w:rPr>
      </w:pPr>
    </w:p>
    <w:p w14:paraId="79764779">
      <w:pPr>
        <w:rPr>
          <w:rFonts w:hint="default" w:ascii="Tahoma" w:hAnsi="Tahoma" w:cs="Tahoma"/>
          <w:sz w:val="24"/>
          <w:szCs w:val="24"/>
        </w:rPr>
      </w:pPr>
    </w:p>
    <w:p w14:paraId="5896705A">
      <w:pPr>
        <w:rPr>
          <w:rFonts w:hint="default" w:ascii="Tahoma" w:hAnsi="Tahoma" w:cs="Tahoma"/>
          <w:sz w:val="24"/>
          <w:szCs w:val="24"/>
        </w:rPr>
      </w:pPr>
    </w:p>
    <w:p w14:paraId="4906EFEE">
      <w:pPr>
        <w:rPr>
          <w:rFonts w:hint="default" w:ascii="Tahoma" w:hAnsi="Tahoma" w:cs="Tahoma"/>
          <w:sz w:val="24"/>
          <w:szCs w:val="24"/>
        </w:rPr>
      </w:pPr>
    </w:p>
    <w:p w14:paraId="0DE5FDF7">
      <w:pPr>
        <w:rPr>
          <w:rFonts w:hint="default" w:ascii="Tahoma" w:hAnsi="Tahoma" w:cs="Tahoma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13832"/>
    <w:rsid w:val="16324CBE"/>
    <w:rsid w:val="52A1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365</Words>
  <Characters>2329</Characters>
  <Lines>0</Lines>
  <Paragraphs>0</Paragraphs>
  <TotalTime>111</TotalTime>
  <ScaleCrop>false</ScaleCrop>
  <LinksUpToDate>false</LinksUpToDate>
  <CharactersWithSpaces>2679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2026-09-09T15:29:00Z</dcterms:created>
  <dc:creator>Carlos Josué Azucena Ayala</dc:creator>
  <cp:lastModifiedBy>Carlos Josué Azucena Ayala</cp:lastModifiedBy>
  <dcterms:modified xsi:type="dcterms:W3CDTF">2026-09-09T18:48:16Z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A7922C5AB9DA42B5A9E55620F42525E5_11</vt:lpwstr>
  </property>
  <property fmtid="{D5CDD505-2E9C-101B-9397-08002B2CF9AE}" pid="4" name="KSOTemplateDocerSaveRecord">
    <vt:lpwstr>eyJoZGlkIjoiMjI3MzI0NzNlMDExN2MwOTM0ZDk0ZDEyZmI5NWM2NzIiLCJ1c2VySWQiOiIyMTA0NTc2MjUzMTE1NiJ9</vt:lpwstr>
  </property>
</Properties>
</file>