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160" w:before="240"/>
      </w:pPr>
      <w:r>
        <w:rPr>
          <w:rFonts w:ascii="Calibri" w:cs="Calibri" w:eastAsia="Calibri" w:hAnsi="Calibri"/>
          <w:b/>
          <w:bCs/>
          <w:color w:val="0D1F6C"/>
          <w:sz w:val="32"/>
          <w:szCs w:val="32"/>
        </w:rPr>
        <w:t xml:space="preserve">Document Title</w:t>
      </w:r>
    </w:p>
    <w:p>
      <w:pPr>
        <w:spacing w:after="180"/>
        <w:jc w:val="left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Subtitle, date, recipient   |   Confidential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0D1F6C" w:sz="18" w:space="1"/>
              <w:left w:val="single" w:color="0D1F6C" w:sz="4" w:space="0"/>
              <w:bottom w:val="single" w:color="0D1F6C" w:sz="4" w:space="0"/>
              <w:right w:val="single" w:color="0D1F6C" w:sz="4" w:space="0"/>
            </w:tcBorders>
            <w:shd w:fill="EEF0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How to use this template.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Open this file, save it under a new name, then replace the placeholder content below with your own. Every style element used in the Hillgate pack is shown here as a worked example — headings, body paragraphs, bulleted and numbered lists, table and callout patterns. The header bar at the top and page numbers at the bottom are wired in on every page; edit the document title in the header. Section headings are configured with keepNext so they will never orphan from their content at a page break.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pStyle w:val="Heading2"/>
        <w:keepNext/>
        <w:keepLines/>
        <w:spacing w:after="100" w:before="180"/>
      </w:pPr>
      <w:r>
        <w:rPr>
          <w:rFonts w:ascii="Calibri" w:cs="Calibri" w:eastAsia="Calibri" w:hAnsi="Calibri"/>
          <w:b/>
          <w:bCs/>
          <w:color w:val="0D1F6C"/>
          <w:sz w:val="26"/>
          <w:szCs w:val="26"/>
        </w:rPr>
        <w:t xml:space="preserve">Text styles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Body paragraphs use 11-point Calibri and are justified by default, so the right edge aligns cleanly. Use sentence-length paragraphs for readable prose, with a blank line of vertical spacing between them applied automatically. This paragraph is long enough for you to see how justified text looks across a full line, compared to the left-aligned fallback used inside table cells and numbered lists where hanging indents matter more.</w:t>
      </w:r>
    </w:p>
    <w:p>
      <w:pPr>
        <w:pStyle w:val="Heading3"/>
        <w:keepNext/>
        <w:keepLines/>
        <w:spacing w:after="80" w:before="140"/>
      </w:pPr>
      <w:r>
        <w:rPr>
          <w:rFonts w:ascii="Calibri" w:cs="Calibri" w:eastAsia="Calibri" w:hAnsi="Calibri"/>
          <w:b/>
          <w:bCs/>
          <w:color w:val="0D1F6C"/>
          <w:sz w:val="22"/>
          <w:szCs w:val="22"/>
        </w:rPr>
        <w:t xml:space="preserve">Subsection heading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a Heading 3 to break up a section into smaller blocks. The body text under each Heading 3 carries the same Calibri 11-point styling. Notice that justified text sometimes produces slightly wider inter-word spacing on short lines; that is expected.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b/>
          <w:bCs/>
          <w:color w:val="0D1F6C"/>
          <w:sz w:val="22"/>
          <w:szCs w:val="22"/>
        </w:rPr>
        <w:t xml:space="preserve">Inline emphasis:</w:t>
      </w:r>
      <w:r>
        <w:rPr>
          <w:rFonts w:ascii="Calibri" w:cs="Calibri" w:eastAsia="Calibri" w:hAnsi="Calibri"/>
          <w:sz w:val="22"/>
          <w:szCs w:val="22"/>
        </w:rPr>
        <w:t xml:space="preserve"> use bold navy for inline section labels inside a paragraph — a frequent pattern in the Hillgate pack (see the three lines of defence section in the Compliance and AML Overview).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Use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bold</w:t>
      </w:r>
      <w:r>
        <w:rPr>
          <w:rFonts w:ascii="Calibri" w:cs="Calibri" w:eastAsia="Calibri" w:hAnsi="Calibri"/>
          <w:sz w:val="22"/>
          <w:szCs w:val="22"/>
        </w:rPr>
        <w:t xml:space="preserve"> for sparing emphasis,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italic</w:t>
      </w:r>
      <w:r>
        <w:rPr>
          <w:rFonts w:ascii="Calibri" w:cs="Calibri" w:eastAsia="Calibri" w:hAnsi="Calibri"/>
          <w:sz w:val="22"/>
          <w:szCs w:val="22"/>
        </w:rPr>
        <w:t xml:space="preserve"> for definitional terms or quoted phrases, and </w:t>
      </w:r>
      <w:r>
        <w:rPr>
          <w:rFonts w:ascii="Calibri" w:cs="Calibri" w:eastAsia="Calibri" w:hAnsi="Calibri"/>
          <w:i/>
          <w:iCs/>
          <w:color w:val="666666"/>
          <w:sz w:val="22"/>
          <w:szCs w:val="22"/>
        </w:rPr>
        <w:t xml:space="preserve">muted italic</w:t>
      </w:r>
      <w:r>
        <w:rPr>
          <w:rFonts w:ascii="Calibri" w:cs="Calibri" w:eastAsia="Calibri" w:hAnsi="Calibri"/>
          <w:sz w:val="22"/>
          <w:szCs w:val="22"/>
        </w:rPr>
        <w:t xml:space="preserve"> for footnotes, captions, or sotto voce remarks.</w:t>
      </w:r>
    </w:p>
    <w:p>
      <w:pPr>
        <w:spacing w:after="100" w:line="260"/>
        <w:jc w:val="left"/>
      </w:pP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This is a caption — useful for figure descriptions, table source notes, or sotto voce remarks that should sit below body content but be visually subordinate.</w:t>
      </w:r>
    </w:p>
    <w:p>
      <w:pPr>
        <w:pStyle w:val="Heading2"/>
        <w:keepNext/>
        <w:keepLines/>
        <w:spacing w:after="100" w:before="180"/>
      </w:pPr>
      <w:r>
        <w:rPr>
          <w:rFonts w:ascii="Calibri" w:cs="Calibri" w:eastAsia="Calibri" w:hAnsi="Calibri"/>
          <w:b/>
          <w:bCs/>
          <w:color w:val="0D1F6C"/>
          <w:sz w:val="26"/>
          <w:szCs w:val="26"/>
        </w:rPr>
        <w:t xml:space="preserve">Lists</w:t>
      </w:r>
    </w:p>
    <w:p>
      <w:pPr>
        <w:pStyle w:val="Heading3"/>
        <w:keepNext/>
        <w:keepLines/>
        <w:spacing w:after="80" w:before="140"/>
      </w:pPr>
      <w:r>
        <w:rPr>
          <w:rFonts w:ascii="Calibri" w:cs="Calibri" w:eastAsia="Calibri" w:hAnsi="Calibri"/>
          <w:b/>
          <w:bCs/>
          <w:color w:val="0D1F6C"/>
          <w:sz w:val="22"/>
          <w:szCs w:val="22"/>
        </w:rPr>
        <w:t xml:space="preserve">Bulleted lists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First item in a bulleted list. Bullets are justified to match body paragraphs, with a hanging indent so wrapped lines align under the first character of the text rather than under the bullet.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Second item. Use bullets for unordered enumerations — features, requirements, considerations, components.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Third item. Keep bullet items short enough to read at a glance; if a bullet runs more than three lines, consider breaking it into a paragraph.</w:t>
      </w:r>
    </w:p>
    <w:p>
      <w:pPr>
        <w:pStyle w:val="Heading3"/>
        <w:keepNext/>
        <w:keepLines/>
        <w:spacing w:after="80" w:before="140"/>
      </w:pPr>
      <w:r>
        <w:rPr>
          <w:rFonts w:ascii="Calibri" w:cs="Calibri" w:eastAsia="Calibri" w:hAnsi="Calibri"/>
          <w:b/>
          <w:bCs/>
          <w:color w:val="0D1F6C"/>
          <w:sz w:val="22"/>
          <w:szCs w:val="22"/>
        </w:rPr>
        <w:t xml:space="preserve">Numbered lists</w:t>
      </w:r>
    </w:p>
    <w:p>
      <w:pPr>
        <w:pStyle w:val="ListParagraph"/>
        <w:numPr>
          <w:ilvl w:val="0"/>
          <w:numId w:val="3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First step. Numbered lists are useful when sequence matters — process steps, ranked priorities, ordered enumerations.</w:t>
      </w:r>
    </w:p>
    <w:p>
      <w:pPr>
        <w:pStyle w:val="ListParagraph"/>
        <w:numPr>
          <w:ilvl w:val="0"/>
          <w:numId w:val="3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Second step. The numbering counter restarts each time you switch to a different reference; if you need a single continuous list across non-adjacent paragraphs, keep using the same reference.</w:t>
      </w:r>
    </w:p>
    <w:p>
      <w:pPr>
        <w:pStyle w:val="ListParagraph"/>
        <w:numPr>
          <w:ilvl w:val="0"/>
          <w:numId w:val="3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Third step. Same hanging-indent and justification treatment as bulleted lists.</w:t>
      </w:r>
    </w:p>
    <w:p>
      <w:pPr>
        <w:pStyle w:val="Heading2"/>
        <w:keepNext/>
        <w:keepLines/>
        <w:spacing w:after="100" w:before="180"/>
      </w:pPr>
      <w:r>
        <w:rPr>
          <w:rFonts w:ascii="Calibri" w:cs="Calibri" w:eastAsia="Calibri" w:hAnsi="Calibri"/>
          <w:b/>
          <w:bCs/>
          <w:color w:val="0D1F6C"/>
          <w:sz w:val="26"/>
          <w:szCs w:val="26"/>
        </w:rPr>
        <w:t xml:space="preserve">Tables</w:t>
      </w:r>
    </w:p>
    <w:p>
      <w:pPr>
        <w:pStyle w:val="Heading3"/>
        <w:keepNext/>
        <w:keepLines/>
        <w:spacing w:after="80" w:before="140"/>
      </w:pPr>
      <w:r>
        <w:rPr>
          <w:rFonts w:ascii="Calibri" w:cs="Calibri" w:eastAsia="Calibri" w:hAnsi="Calibri"/>
          <w:b/>
          <w:bCs/>
          <w:color w:val="0D1F6C"/>
          <w:sz w:val="22"/>
          <w:szCs w:val="22"/>
        </w:rPr>
        <w:t xml:space="preserve">Standard full-width table with navy header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Tables span the full text-column width. Use this pattern for any tabular data — client lists, projections, comparison data. The header row is solid navy with white text; data rows use 11-point body text with optional alternating shading. Text inside table cells is not justified.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9"/>
        <w:gridCol w:w="3249"/>
        <w:gridCol w:w="3249"/>
      </w:tblGrid>
      <w:tr>
        <w:trPr>
          <w:tblHeader/>
        </w:trPr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0D1F6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 heading A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0D1F6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 heading B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0D1F6C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Column heading C</w:t>
            </w:r>
          </w:p>
        </w:tc>
      </w:tr>
      <w:tr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Row 1, cell A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Row 1, cell B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Row 1, cell C</w:t>
            </w:r>
          </w:p>
        </w:tc>
      </w:tr>
      <w:tr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Row 2, cell A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Row 2, cell B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Row 2, cell C</w:t>
            </w:r>
          </w:p>
        </w:tc>
      </w:tr>
      <w:tr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Row 3, cell A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Row 3, cell B</w:t>
            </w:r>
          </w:p>
        </w:tc>
        <w:tc>
          <w:tcPr>
            <w:tcW w:type="dxa" w:w="324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Row 3, cell C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pStyle w:val="Heading3"/>
        <w:keepNext/>
        <w:keepLines/>
        <w:spacing w:after="80" w:before="140"/>
      </w:pPr>
      <w:r>
        <w:rPr>
          <w:rFonts w:ascii="Calibri" w:cs="Calibri" w:eastAsia="Calibri" w:hAnsi="Calibri"/>
          <w:b/>
          <w:bCs/>
          <w:color w:val="0D1F6C"/>
          <w:sz w:val="22"/>
          <w:szCs w:val="22"/>
        </w:rPr>
        <w:t xml:space="preserve">Two-column layout table for paired content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Same full-width treatment as the standard table, but with the first column narrow — useful for pairing a label or term with its definition, or for setting up the kind of three-lines-of-defence / AML-lifecycle patterns used throughout the Hillgate pack.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7"/>
        <w:gridCol w:w="7309"/>
      </w:tblGrid>
      <w:tr>
        <w:tc>
          <w:tcPr>
            <w:tcW w:type="dxa" w:w="2437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Term or label</w:t>
            </w:r>
          </w:p>
        </w:tc>
        <w:tc>
          <w:tcPr>
            <w:tcW w:type="dxa" w:w="730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Definition, description, or value goes in the wider right-hand column.</w:t>
            </w:r>
          </w:p>
        </w:tc>
      </w:tr>
      <w:tr>
        <w:tc>
          <w:tcPr>
            <w:tcW w:type="dxa" w:w="2437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Second term</w:t>
            </w:r>
          </w:p>
        </w:tc>
        <w:tc>
          <w:tcPr>
            <w:tcW w:type="dxa" w:w="730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shd w:fill="F4F6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This pattern is used in the AML Overview for the client AML lifecycle and in the Compliance Overview for labelled stage descriptions.</w:t>
            </w:r>
          </w:p>
        </w:tc>
      </w:tr>
      <w:tr>
        <w:tc>
          <w:tcPr>
            <w:tcW w:type="dxa" w:w="2437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Third term</w:t>
            </w:r>
          </w:p>
        </w:tc>
        <w:tc>
          <w:tcPr>
            <w:tcW w:type="dxa" w:w="7309"/>
            <w:tcBorders>
              <w:top w:val="single" w:color="D8DCE6" w:sz="4"/>
              <w:left w:val="single" w:color="D8DCE6" w:sz="4"/>
              <w:bottom w:val="single" w:color="D8DCE6" w:sz="4"/>
              <w:right w:val="single" w:color="D8DCE6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2"/>
                <w:szCs w:val="22"/>
              </w:rPr>
              <w:t xml:space="preserve">Set the left-column width based on the longest term you have, and let the right column take the remaining width.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pStyle w:val="Heading2"/>
        <w:keepNext/>
        <w:keepLines/>
        <w:spacing w:after="100" w:before="180"/>
      </w:pPr>
      <w:r>
        <w:rPr>
          <w:rFonts w:ascii="Calibri" w:cs="Calibri" w:eastAsia="Calibri" w:hAnsi="Calibri"/>
          <w:b/>
          <w:bCs/>
          <w:color w:val="0D1F6C"/>
          <w:sz w:val="26"/>
          <w:szCs w:val="26"/>
        </w:rPr>
        <w:t xml:space="preserve">Callout boxes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Single-cell shaded tables with a coloured top border, used to highlight a specific point that should not get lost in the body text. Three variants: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16A34A" w:sz="18" w:space="1"/>
              <w:left w:val="single" w:color="16A34A" w:sz="4" w:space="0"/>
              <w:bottom w:val="single" w:color="16A34A" w:sz="4" w:space="0"/>
              <w:right w:val="single" w:color="16A34A" w:sz="4" w:space="0"/>
            </w:tcBorders>
            <w:shd w:fill="F0FD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Confirmation callout (green).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Use the green variant for confirmatory statements, positive framings, or “the bottom line is” callouts.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0D1F6C" w:sz="18" w:space="1"/>
              <w:left w:val="single" w:color="0D1F6C" w:sz="4" w:space="0"/>
              <w:bottom w:val="single" w:color="0D1F6C" w:sz="4" w:space="0"/>
              <w:right w:val="single" w:color="0D1F6C" w:sz="4" w:space="0"/>
            </w:tcBorders>
            <w:shd w:fill="EEF0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Information callout (navy).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Use the navy variant for general-purpose informational callouts, such as the “How to use this template” block at the top of this document.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D97706" w:sz="18" w:space="1"/>
              <w:left w:val="single" w:color="D97706" w:sz="4" w:space="0"/>
              <w:bottom w:val="single" w:color="D97706" w:sz="4" w:space="0"/>
              <w:right w:val="single" w:color="D97706" w:sz="4" w:space="0"/>
            </w:tcBorders>
            <w:shd w:fill="FFFBE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Caution callout (amber).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Use the amber variant for cautionary notes — things the reader needs to be aware of but that are not blocking.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pStyle w:val="Heading2"/>
        <w:keepNext/>
        <w:keepLines/>
        <w:spacing w:after="100" w:before="180"/>
      </w:pPr>
      <w:r>
        <w:rPr>
          <w:rFonts w:ascii="Calibri" w:cs="Calibri" w:eastAsia="Calibri" w:hAnsi="Calibri"/>
          <w:b/>
          <w:bCs/>
          <w:color w:val="0D1F6C"/>
          <w:sz w:val="26"/>
          <w:szCs w:val="26"/>
        </w:rPr>
        <w:t xml:space="preserve">Worked example: a complete section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Sections in the Hillgate pack documents typically follow this structure: a Heading 2 introducing the topic, a body paragraph framing what is coming, and then either supporting paragraphs, a list, a table, or a callout. The example below shows what that looks like end-to-end.</w:t>
      </w:r>
    </w:p>
    <w:p>
      <w:pPr>
        <w:pStyle w:val="Heading3"/>
        <w:keepNext/>
        <w:keepLines/>
        <w:spacing w:after="80" w:before="140"/>
      </w:pPr>
      <w:r>
        <w:rPr>
          <w:rFonts w:ascii="Calibri" w:cs="Calibri" w:eastAsia="Calibri" w:hAnsi="Calibri"/>
          <w:b/>
          <w:bCs/>
          <w:color w:val="0D1F6C"/>
          <w:sz w:val="22"/>
          <w:szCs w:val="22"/>
        </w:rPr>
        <w:t xml:space="preserve">Section topic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Start each subsection with a short framing paragraph that sets the context. One to three sentences is usually enough; the goal is to orient the reader before the detail. With justified text, short framing paragraphs still read cleanly because Word leaves the final line left-aligned.</w:t>
      </w:r>
    </w:p>
    <w:p>
      <w:pPr>
        <w:spacing w:after="100" w:before="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Follow with body paragraphs, lists, or tables as appropriate. Keep the structure consistent across the document so the reader develops a sense of the rhythm.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bullets</w:t>
      </w:r>
      <w:r>
        <w:rPr>
          <w:rFonts w:ascii="Calibri" w:cs="Calibri" w:eastAsia="Calibri" w:hAnsi="Calibri"/>
          <w:sz w:val="22"/>
          <w:szCs w:val="22"/>
        </w:rPr>
        <w:t xml:space="preserve"> to enumerate parallel items — features, requirements, considerations, criteria.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numbered lists</w:t>
      </w:r>
      <w:r>
        <w:rPr>
          <w:rFonts w:ascii="Calibri" w:cs="Calibri" w:eastAsia="Calibri" w:hAnsi="Calibri"/>
          <w:sz w:val="22"/>
          <w:szCs w:val="22"/>
        </w:rPr>
        <w:t xml:space="preserve"> when sequence matters — process steps, methodological stages, ranked priorities.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Use tables</w:t>
      </w:r>
      <w:r>
        <w:rPr>
          <w:rFonts w:ascii="Calibri" w:cs="Calibri" w:eastAsia="Calibri" w:hAnsi="Calibri"/>
          <w:sz w:val="22"/>
          <w:szCs w:val="22"/>
        </w:rPr>
        <w:t xml:space="preserve"> when the data has more than one dimension — client lists, projections, comparisons across columns.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rPr>
          <w:cantSplit/>
        </w:trPr>
        <w:tc>
          <w:tcPr>
            <w:tcW w:type="dxa" w:w="9746"/>
            <w:tcBorders>
              <w:top w:val="single" w:color="0D1F6C" w:sz="18" w:space="1"/>
              <w:left w:val="single" w:color="0D1F6C" w:sz="4" w:space="0"/>
              <w:bottom w:val="single" w:color="0D1F6C" w:sz="4" w:space="0"/>
              <w:right w:val="single" w:color="0D1F6C" w:sz="4" w:space="0"/>
            </w:tcBorders>
            <w:shd w:fill="EEF0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0" w:line="280"/>
              <w:jc w:val="both"/>
            </w:pPr>
            <w:r>
              <w:rPr>
                <w:rFonts w:ascii="Calibri" w:cs="Calibri" w:eastAsia="Calibri" w:hAnsi="Calibri"/>
                <w:b/>
                <w:bCs/>
                <w:color w:val="0D1F6C"/>
                <w:sz w:val="22"/>
                <w:szCs w:val="22"/>
              </w:rPr>
              <w:t xml:space="preserve">Closing callout (optional).</w:t>
            </w:r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  If a section has a single key takeaway that should not get lost, end it with a callout box stating the takeaway in plain language. Use sparingly — if every section ends with a callout, none of them stand out.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sz w:val="14"/>
          <w:szCs w:val="14"/>
        </w:rPr>
        <w:t xml:space="preserve"/>
      </w:r>
    </w:p>
    <w:p>
      <w:pPr>
        <w:pStyle w:val="Heading2"/>
        <w:keepNext/>
        <w:keepLines/>
        <w:spacing w:after="100" w:before="180"/>
      </w:pPr>
      <w:r>
        <w:rPr>
          <w:rFonts w:ascii="Calibri" w:cs="Calibri" w:eastAsia="Calibri" w:hAnsi="Calibri"/>
          <w:b/>
          <w:bCs/>
          <w:color w:val="0D1F6C"/>
          <w:sz w:val="26"/>
          <w:szCs w:val="26"/>
        </w:rPr>
        <w:t xml:space="preserve">Notes for editing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 change the document title shown in the header bar at the top of every page: open the header (double-click it in Word) and edit the text after “Hillgate Finance B.V.   •   ”.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To change the page-number footer: open the footer (double-click it) and edit the text around the page-number fields. The fields themselves should be left in place.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Page size is A4 (210 mm × 297 mm) with 0.75" margins, matching the rest of the Hillgate pack. To change to US Letter, go to Layout → Size → Letter.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colours, fonts, and table styles are inline rather than relying on a Word theme — so the document will look identical regardless of which Word theme is active.</w:t>
      </w:r>
    </w:p>
    <w:p>
      <w:pPr>
        <w:pStyle w:val="ListParagraph"/>
        <w:numPr>
          <w:ilvl w:val="0"/>
          <w:numId w:val="2"/>
        </w:numPr>
        <w:spacing w:after="80" w:line="28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All Heading 1 / 2 / 3 styles have keepNext and keepLines configured, so a section heading will never orphan at the bottom of a page with its content on the next. This applies both to content typed directly in Word and to documents generated programmatically from this template pattern.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1F6C" w:sz="12" w:space="4"/>
      </w:pBdr>
      <w:spacing w:after="0"/>
      <w:jc w:val="left"/>
    </w:pPr>
    <w:r>
      <w:rPr>
        <w:rFonts w:ascii="Calibri" w:cs="Calibri" w:eastAsia="Calibri" w:hAnsi="Calibri"/>
        <w:b/>
        <w:bCs/>
        <w:color w:val="0D1F6C"/>
        <w:sz w:val="20"/>
        <w:szCs w:val="20"/>
      </w:rPr>
      <w:t xml:space="preserve">Hillgate Finance B.V.</w:t>
    </w:r>
    <w:r>
      <w:rPr>
        <w:rFonts w:ascii="Calibri" w:cs="Calibri" w:eastAsia="Calibri" w:hAnsi="Calibri"/>
        <w:color w:val="888888"/>
        <w:sz w:val="20"/>
        <w:szCs w:val="20"/>
      </w:rPr>
      <w:t xml:space="preserve">   •   </w:t>
    </w:r>
    <w:r>
      <w:rPr>
        <w:rFonts w:ascii="Calibri" w:cs="Calibri" w:eastAsia="Calibri" w:hAnsi="Calibri"/>
        <w:color w:val="555555"/>
        <w:sz w:val="20"/>
        <w:szCs w:val="20"/>
      </w:rPr>
      <w:t xml:space="preserve">Document title goes 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Calibri" w:cs="Calibri" w:eastAsia="Calibri" w:hAnsi="Calibri"/>
      <w:b/>
      <w:bCs/>
      <w:color w:val="0D1F6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180"/>
      <w:outlineLvl w:val="1"/>
    </w:pPr>
    <w:rPr>
      <w:rFonts w:ascii="Calibri" w:cs="Calibri" w:eastAsia="Calibri" w:hAnsi="Calibri"/>
      <w:b/>
      <w:bCs/>
      <w:color w:val="0D1F6C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140"/>
      <w:outlineLvl w:val="2"/>
    </w:pPr>
    <w:rPr>
      <w:rFonts w:ascii="Calibri" w:cs="Calibri" w:eastAsia="Calibri" w:hAnsi="Calibri"/>
      <w:b/>
      <w:bCs/>
      <w:color w:val="0D1F6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Hillgate Word Template</dc:title>
  <dc:creator>Hillgate Finance B.V.</dc:creator>
  <cp:lastModifiedBy>Un-named</cp:lastModifiedBy>
  <cp:revision>1</cp:revision>
  <dcterms:created xsi:type="dcterms:W3CDTF">2026-04-24T13:09:13.509Z</dcterms:created>
  <dcterms:modified xsi:type="dcterms:W3CDTF">2026-04-24T13:09:13.510Z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