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11FBF" w14:textId="1DB064C9" w:rsidR="001B1D01" w:rsidRPr="009A6799" w:rsidRDefault="00250CA9">
      <w:r w:rsidRPr="009A6799">
        <w:t>Charlie Carpenter</w:t>
      </w:r>
    </w:p>
    <w:p w14:paraId="4A5799B4" w14:textId="7CA7EB39" w:rsidR="00250CA9" w:rsidRPr="009A6799" w:rsidRDefault="00250CA9">
      <w:r w:rsidRPr="009A6799">
        <w:t>BIOS 7659</w:t>
      </w:r>
    </w:p>
    <w:p w14:paraId="1317370F" w14:textId="50F7F36D" w:rsidR="00250CA9" w:rsidRPr="009A6799" w:rsidRDefault="00250CA9">
      <w:r w:rsidRPr="009A6799">
        <w:t>Final Project Report</w:t>
      </w:r>
    </w:p>
    <w:p w14:paraId="45CD85BC" w14:textId="77777777" w:rsidR="00A841C8" w:rsidRPr="009A6799" w:rsidRDefault="00A841C8"/>
    <w:p w14:paraId="78905629" w14:textId="77777777" w:rsidR="00A841C8" w:rsidRPr="009A6799" w:rsidRDefault="00A841C8"/>
    <w:p w14:paraId="6DDF3ED3" w14:textId="01ABA72D" w:rsidR="000D7735" w:rsidRPr="009A6799" w:rsidRDefault="000D7735">
      <w:pPr>
        <w:rPr>
          <w:b/>
          <w:sz w:val="28"/>
        </w:rPr>
      </w:pPr>
      <w:r w:rsidRPr="009A6799">
        <w:rPr>
          <w:b/>
          <w:sz w:val="28"/>
        </w:rPr>
        <w:t>Introduction:</w:t>
      </w:r>
    </w:p>
    <w:p w14:paraId="20ACD3B1" w14:textId="77777777" w:rsidR="00EC5E5B" w:rsidRPr="009A6799" w:rsidRDefault="00EC5E5B">
      <w:pPr>
        <w:rPr>
          <w:b/>
          <w:sz w:val="28"/>
        </w:rPr>
      </w:pPr>
    </w:p>
    <w:p w14:paraId="4D77A7F0" w14:textId="40415620" w:rsidR="00D0352C" w:rsidRPr="009A6799" w:rsidRDefault="00172CF7" w:rsidP="00D0352C">
      <w:pPr>
        <w:spacing w:line="480" w:lineRule="auto"/>
        <w:ind w:firstLine="720"/>
      </w:pPr>
      <w:r w:rsidRPr="009A6799">
        <w:t xml:space="preserve">This report is based on a 2015 study conducted by Kiselev, et. al, </w:t>
      </w:r>
      <w:r w:rsidRPr="009A6799">
        <w:rPr>
          <w:i/>
        </w:rPr>
        <w:t>Perturbations of PIP3 signalling trigger a global remodelling of mRNA landscape and reveal a transcriptional feedback loop</w:t>
      </w:r>
      <w:r w:rsidR="00532519" w:rsidRPr="009A6799">
        <w:t>.</w:t>
      </w:r>
      <w:r w:rsidR="00AA7FA6" w:rsidRPr="009A6799">
        <w:t xml:space="preserve"> The dataset their paper is based on is housed in the Gene of Expression (GEO) repository under the accession number GSE69822.</w:t>
      </w:r>
      <w:r w:rsidR="00532519" w:rsidRPr="009A6799">
        <w:t xml:space="preserve"> In this paper they establish </w:t>
      </w:r>
      <w:r w:rsidR="00D0352C" w:rsidRPr="009A6799">
        <w:t>several feedback loops in the mRNA of MCFA10a cells caused by acute perturbations of</w:t>
      </w:r>
      <w:r w:rsidR="00FD786F">
        <w:t xml:space="preserve"> </w:t>
      </w:r>
      <w:r w:rsidR="00FD786F" w:rsidRPr="009A6799">
        <w:t>Class I phosphoinositide-3-kinases</w:t>
      </w:r>
      <w:r w:rsidR="00D0352C" w:rsidRPr="009A6799">
        <w:t xml:space="preserve"> </w:t>
      </w:r>
      <w:r w:rsidR="00FD786F">
        <w:t>(</w:t>
      </w:r>
      <w:r w:rsidR="00D0352C" w:rsidRPr="009A6799">
        <w:t>PIP3</w:t>
      </w:r>
      <w:r w:rsidR="00FD786F">
        <w:t>)</w:t>
      </w:r>
      <w:r w:rsidR="00D0352C" w:rsidRPr="009A6799">
        <w:t xml:space="preserve"> signaling under 5 different experimental conditions. This report will only focus on the comparison of two of these conditions in order to apply a different analysis technique for this time course design. </w:t>
      </w:r>
    </w:p>
    <w:p w14:paraId="214203EC" w14:textId="673DB002" w:rsidR="00EC5E5B" w:rsidRPr="009A6799" w:rsidRDefault="00FD786F" w:rsidP="00EC5E5B">
      <w:pPr>
        <w:spacing w:line="480" w:lineRule="auto"/>
        <w:ind w:firstLine="720"/>
        <w:rPr>
          <w:color w:val="000000"/>
        </w:rPr>
      </w:pPr>
      <w:r>
        <w:t>PI3Ks</w:t>
      </w:r>
      <w:r w:rsidR="00EC5E5B" w:rsidRPr="009A6799">
        <w:t xml:space="preserve"> are lipid kinases that are important operators for signal transduction events in cells. These signal transduction evens allow the cells’ surfaces to control key cellular functions, such as growth, movement, proliferation, and differentiation.</w:t>
      </w:r>
      <w:r w:rsidR="00546733" w:rsidRPr="009A6799">
        <w:t xml:space="preserve"> Class I PI2Ks will catalyze the phosphorylation of </w:t>
      </w:r>
      <w:r w:rsidR="00546733" w:rsidRPr="00F02E62">
        <w:rPr>
          <w:color w:val="000000"/>
        </w:rPr>
        <w:t>phosphatidylinositol-4,5-bisphosphate (PI(4,5)P2) to produce phosphatidylinositol-3,4,5-trisphosphate (PIP3) in the plasma membrane</w:t>
      </w:r>
      <w:r w:rsidR="00546733" w:rsidRPr="009A6799">
        <w:rPr>
          <w:color w:val="000000"/>
        </w:rPr>
        <w:t xml:space="preserve"> once the necessary cell surface receptors are activated</w:t>
      </w:r>
      <w:r w:rsidR="00546733" w:rsidRPr="009A6799">
        <w:rPr>
          <w:color w:val="000000"/>
          <w:vertAlign w:val="superscript"/>
        </w:rPr>
        <w:t>1</w:t>
      </w:r>
      <w:r w:rsidR="00546733" w:rsidRPr="009A6799">
        <w:rPr>
          <w:color w:val="000000"/>
        </w:rPr>
        <w:t xml:space="preserve">. Other lipid phosphates control PIP3 levels </w:t>
      </w:r>
      <w:r w:rsidR="00DD20BF" w:rsidRPr="009A6799">
        <w:rPr>
          <w:color w:val="000000"/>
        </w:rPr>
        <w:t xml:space="preserve">throughout the degradation process; PTEN is a compound that disrupts this interaction with the other lipid phosphates. </w:t>
      </w:r>
    </w:p>
    <w:p w14:paraId="610BABA1" w14:textId="1A6A6462" w:rsidR="00DD20BF" w:rsidRDefault="00DD20BF" w:rsidP="00C240FE">
      <w:pPr>
        <w:spacing w:line="480" w:lineRule="auto"/>
        <w:ind w:firstLine="720"/>
        <w:rPr>
          <w:color w:val="000000"/>
        </w:rPr>
      </w:pPr>
      <w:r w:rsidRPr="009A6799">
        <w:rPr>
          <w:color w:val="000000"/>
        </w:rPr>
        <w:t>Strong research</w:t>
      </w:r>
      <w:r w:rsidRPr="009A6799">
        <w:rPr>
          <w:color w:val="000000"/>
          <w:vertAlign w:val="superscript"/>
        </w:rPr>
        <w:t>2-3</w:t>
      </w:r>
      <w:r w:rsidRPr="009A6799">
        <w:rPr>
          <w:color w:val="000000"/>
        </w:rPr>
        <w:t xml:space="preserve"> has shown evidence</w:t>
      </w:r>
      <w:r w:rsidR="00213DDB" w:rsidRPr="009A6799">
        <w:rPr>
          <w:color w:val="000000"/>
        </w:rPr>
        <w:t xml:space="preserve"> that the initial </w:t>
      </w:r>
      <w:r w:rsidR="00172CF7" w:rsidRPr="009A6799">
        <w:rPr>
          <w:color w:val="000000"/>
        </w:rPr>
        <w:t>impacts</w:t>
      </w:r>
      <w:r w:rsidR="00213DDB" w:rsidRPr="009A6799">
        <w:rPr>
          <w:color w:val="000000"/>
        </w:rPr>
        <w:t xml:space="preserve"> of</w:t>
      </w:r>
      <w:r w:rsidR="00172CF7" w:rsidRPr="009A6799">
        <w:rPr>
          <w:color w:val="000000"/>
        </w:rPr>
        <w:t xml:space="preserve"> activating</w:t>
      </w:r>
      <w:r w:rsidR="00213DDB" w:rsidRPr="009A6799">
        <w:rPr>
          <w:color w:val="000000"/>
        </w:rPr>
        <w:t xml:space="preserve"> PI3K path</w:t>
      </w:r>
      <w:r w:rsidR="00172CF7" w:rsidRPr="009A6799">
        <w:rPr>
          <w:color w:val="000000"/>
        </w:rPr>
        <w:t xml:space="preserve">ways propagate by allosteric and post-translational effects, which in turn impacts the regulation of translation, mRNA stability, and regulation of transcriptome factors. This research has also identified homeostatic feedback loops and evidence of regulation of critical features of </w:t>
      </w:r>
      <w:r w:rsidR="00172CF7" w:rsidRPr="009A6799">
        <w:rPr>
          <w:color w:val="000000"/>
        </w:rPr>
        <w:lastRenderedPageBreak/>
        <w:t xml:space="preserve">the pathway by mRNA networks (e.g. mRNA regulation of PTEN). These features </w:t>
      </w:r>
      <w:r w:rsidR="00D0352C" w:rsidRPr="009A6799">
        <w:rPr>
          <w:color w:val="000000"/>
        </w:rPr>
        <w:t>are</w:t>
      </w:r>
      <w:r w:rsidR="00172CF7" w:rsidRPr="009A6799">
        <w:rPr>
          <w:color w:val="000000"/>
        </w:rPr>
        <w:t xml:space="preserve"> essential for the integrity of the pathway of PI3K activation.</w:t>
      </w:r>
      <w:r w:rsidR="003C76DC" w:rsidRPr="009A6799">
        <w:rPr>
          <w:color w:val="000000"/>
        </w:rPr>
        <w:t xml:space="preserve"> In this report</w:t>
      </w:r>
      <w:r w:rsidR="00975017" w:rsidRPr="009A6799">
        <w:rPr>
          <w:color w:val="000000"/>
        </w:rPr>
        <w:t xml:space="preserve"> we explore the </w:t>
      </w:r>
      <w:r w:rsidR="00C240FE" w:rsidRPr="009A6799">
        <w:rPr>
          <w:color w:val="000000"/>
        </w:rPr>
        <w:t xml:space="preserve">impacts of PTEN perturbation on mRNA accumulation in human breast epithelial MCF10a cells. </w:t>
      </w:r>
    </w:p>
    <w:p w14:paraId="1CEB24DF" w14:textId="5A13A8C8" w:rsidR="00620D9C" w:rsidRPr="009A6799" w:rsidRDefault="00620D9C" w:rsidP="00796CBF">
      <w:pPr>
        <w:spacing w:line="480" w:lineRule="auto"/>
        <w:ind w:firstLine="720"/>
        <w:rPr>
          <w:color w:val="000000"/>
        </w:rPr>
      </w:pPr>
      <w:r w:rsidRPr="009A6799">
        <w:rPr>
          <w:color w:val="000000"/>
        </w:rPr>
        <w:t>The original analysis included pairwise comparisons of each condition at each time point and a comparison of each condition over multiple time points</w:t>
      </w:r>
      <w:r w:rsidR="00AE5D11">
        <w:rPr>
          <w:color w:val="000000"/>
        </w:rPr>
        <w:t>, but it primarily focused on searchi</w:t>
      </w:r>
      <w:r w:rsidR="00796CBF">
        <w:rPr>
          <w:color w:val="000000"/>
        </w:rPr>
        <w:t>ng for significantly enriched GO</w:t>
      </w:r>
      <w:r w:rsidR="00AE5D11">
        <w:rPr>
          <w:color w:val="000000"/>
        </w:rPr>
        <w:t xml:space="preserve"> terms</w:t>
      </w:r>
      <w:r w:rsidRPr="009A6799">
        <w:rPr>
          <w:color w:val="000000"/>
        </w:rPr>
        <w:t>. Both the pairwise and time course analyses were accomplished using DESeq2 from Bioconductor</w:t>
      </w:r>
      <w:r w:rsidRPr="009A6799">
        <w:rPr>
          <w:color w:val="000000"/>
          <w:vertAlign w:val="superscript"/>
        </w:rPr>
        <w:t>5</w:t>
      </w:r>
      <w:r w:rsidRPr="009A6799">
        <w:rPr>
          <w:color w:val="000000"/>
        </w:rPr>
        <w:t>. This report uses impulse models</w:t>
      </w:r>
      <w:r w:rsidRPr="009A6799">
        <w:rPr>
          <w:color w:val="000000"/>
          <w:vertAlign w:val="superscript"/>
        </w:rPr>
        <w:t>6</w:t>
      </w:r>
      <w:r w:rsidRPr="009A6799">
        <w:rPr>
          <w:color w:val="000000"/>
        </w:rPr>
        <w:t>, which have been shown to have higher statistical testing power over DESeq2 in time course experiments with many (≥ 6) time points</w:t>
      </w:r>
      <w:r w:rsidRPr="009A6799">
        <w:rPr>
          <w:color w:val="000000"/>
          <w:vertAlign w:val="superscript"/>
        </w:rPr>
        <w:t>7</w:t>
      </w:r>
      <w:r w:rsidRPr="009A6799">
        <w:rPr>
          <w:color w:val="000000"/>
        </w:rPr>
        <w:t>, to assess the differences in trajectories in gene expression between the wild type and PTEN knockout cells. The original ImpulseDE</w:t>
      </w:r>
      <w:r w:rsidRPr="009A6799">
        <w:rPr>
          <w:color w:val="000000"/>
          <w:vertAlign w:val="superscript"/>
        </w:rPr>
        <w:t>6</w:t>
      </w:r>
      <w:r w:rsidRPr="009A6799">
        <w:rPr>
          <w:color w:val="000000"/>
        </w:rPr>
        <w:t xml:space="preserve"> can be applied to any high throughput gene expression data, but the algorithm was streamlined for count data in the ImpulseDE2 package in Bioconductor</w:t>
      </w:r>
      <w:r w:rsidRPr="009A6799">
        <w:rPr>
          <w:color w:val="000000"/>
          <w:vertAlign w:val="superscript"/>
        </w:rPr>
        <w:t>7</w:t>
      </w:r>
      <w:r w:rsidRPr="009A6799">
        <w:rPr>
          <w:color w:val="000000"/>
        </w:rPr>
        <w:t>. The package offers the ability for case-control time course experiments along with several other handy features such as batch effect corrections. These will not be explored as they are not relevant to this data set.</w:t>
      </w:r>
    </w:p>
    <w:p w14:paraId="4ADDF05B" w14:textId="42338C52" w:rsidR="00DD20BF" w:rsidRPr="009A6799" w:rsidRDefault="00DD20BF" w:rsidP="00DD20BF">
      <w:pPr>
        <w:spacing w:line="480" w:lineRule="auto"/>
        <w:rPr>
          <w:b/>
          <w:color w:val="000000"/>
          <w:sz w:val="28"/>
        </w:rPr>
      </w:pPr>
      <w:r w:rsidRPr="009A6799">
        <w:rPr>
          <w:b/>
          <w:color w:val="000000"/>
          <w:sz w:val="28"/>
        </w:rPr>
        <w:t>Methods:</w:t>
      </w:r>
    </w:p>
    <w:p w14:paraId="152EDF27" w14:textId="2C338AD1" w:rsidR="00DD20BF" w:rsidRPr="009A6799" w:rsidRDefault="00DD20BF" w:rsidP="00DD20BF">
      <w:pPr>
        <w:spacing w:line="480" w:lineRule="auto"/>
        <w:rPr>
          <w:color w:val="000000"/>
          <w:u w:val="single"/>
        </w:rPr>
      </w:pPr>
      <w:r w:rsidRPr="009A6799">
        <w:rPr>
          <w:color w:val="000000"/>
          <w:u w:val="single"/>
        </w:rPr>
        <w:t>Experimental Design:</w:t>
      </w:r>
    </w:p>
    <w:p w14:paraId="1FE89FF8" w14:textId="77777777" w:rsidR="00620D9C" w:rsidRDefault="00496D1B" w:rsidP="008020E4">
      <w:pPr>
        <w:spacing w:line="480" w:lineRule="auto"/>
        <w:rPr>
          <w:color w:val="000000"/>
        </w:rPr>
      </w:pPr>
      <w:r w:rsidRPr="009A6799">
        <w:rPr>
          <w:color w:val="000000"/>
        </w:rPr>
        <w:tab/>
      </w:r>
      <w:r w:rsidR="008D54EA" w:rsidRPr="009A6799">
        <w:rPr>
          <w:color w:val="000000"/>
        </w:rPr>
        <w:t>The non-transformed human breast epithelial MCF10a cells were obtained from Horizon Discovery. The</w:t>
      </w:r>
      <w:r w:rsidR="009C3C40" w:rsidRPr="009A6799">
        <w:rPr>
          <w:color w:val="000000"/>
        </w:rPr>
        <w:t xml:space="preserve"> starvation assay and RNA-seq assays were made of </w:t>
      </w:r>
      <w:r w:rsidR="009C3C40" w:rsidRPr="008D54EA">
        <w:rPr>
          <w:color w:val="000000"/>
        </w:rPr>
        <w:t>DMEM/F12 supplemented wit</w:t>
      </w:r>
      <w:r w:rsidR="009B2C22" w:rsidRPr="009A6799">
        <w:rPr>
          <w:color w:val="000000"/>
        </w:rPr>
        <w:t>h 1% charcoal dextran treated f</w:t>
      </w:r>
      <w:r w:rsidR="009C3C40" w:rsidRPr="008D54EA">
        <w:rPr>
          <w:color w:val="000000"/>
        </w:rPr>
        <w:t>etal bovine serum (FBS), 0.1 μg/ml cholera toxin, 0.2 μg/ml hydrocortisone</w:t>
      </w:r>
      <w:r w:rsidR="009C3C40" w:rsidRPr="009A6799">
        <w:rPr>
          <w:color w:val="000000"/>
        </w:rPr>
        <w:t>. These compounds came from Life Technologies and PAA.</w:t>
      </w:r>
    </w:p>
    <w:p w14:paraId="19F59FC2" w14:textId="25A23160" w:rsidR="004D5BFA" w:rsidRPr="009A6799" w:rsidRDefault="009B2C22" w:rsidP="00620D9C">
      <w:pPr>
        <w:spacing w:line="480" w:lineRule="auto"/>
        <w:ind w:firstLine="720"/>
        <w:rPr>
          <w:i/>
          <w:color w:val="000000"/>
        </w:rPr>
      </w:pPr>
      <w:r w:rsidRPr="009A6799">
        <w:rPr>
          <w:color w:val="000000"/>
        </w:rPr>
        <w:t>Day 1 of cell treatment involved seeding 320,000 cells in 60mm dishes with a growth medium. These were left to adhere to the dishes for 18 hours at 37</w:t>
      </w:r>
      <w:r w:rsidRPr="009B2C22">
        <w:rPr>
          <w:rFonts w:eastAsia="Times New Roman"/>
          <w:color w:val="000000"/>
          <w:shd w:val="clear" w:color="auto" w:fill="FFFFFF"/>
        </w:rPr>
        <w:t>°C</w:t>
      </w:r>
      <w:r w:rsidRPr="009A6799">
        <w:rPr>
          <w:color w:val="000000"/>
        </w:rPr>
        <w:t xml:space="preserve">. On day 2, the cells are washed with phosphate buffered saline, and then the growth medium is replaced with the assay </w:t>
      </w:r>
      <w:r w:rsidRPr="009A6799">
        <w:rPr>
          <w:color w:val="000000"/>
        </w:rPr>
        <w:lastRenderedPageBreak/>
        <w:t>medium. Cells were then starved in a growth serum, EGF, insulin for 18 hours at 37</w:t>
      </w:r>
      <w:r w:rsidRPr="009B2C22">
        <w:rPr>
          <w:rFonts w:eastAsia="Times New Roman"/>
          <w:color w:val="000000"/>
          <w:shd w:val="clear" w:color="auto" w:fill="FFFFFF"/>
        </w:rPr>
        <w:t>°C</w:t>
      </w:r>
      <w:r w:rsidRPr="009A6799">
        <w:rPr>
          <w:color w:val="000000"/>
        </w:rPr>
        <w:t>. On day 3, cells were incubated with DMSO for 20 minutes, then incubated with EGF (10ng/ml</w:t>
      </w:r>
      <w:r w:rsidR="00260144" w:rsidRPr="009A6799">
        <w:rPr>
          <w:color w:val="000000"/>
        </w:rPr>
        <w:t xml:space="preserve">) for a further </w:t>
      </w:r>
      <w:r w:rsidR="00260144" w:rsidRPr="009B2C22">
        <w:rPr>
          <w:rFonts w:eastAsia="Times New Roman"/>
          <w:color w:val="000000"/>
          <w:shd w:val="clear" w:color="auto" w:fill="FFFFFF"/>
        </w:rPr>
        <w:t>15, 40, 90, 180 or 300 min</w:t>
      </w:r>
      <w:r w:rsidR="00260144" w:rsidRPr="009A6799">
        <w:rPr>
          <w:rFonts w:eastAsia="Times New Roman"/>
          <w:color w:val="000000"/>
          <w:shd w:val="clear" w:color="auto" w:fill="FFFFFF"/>
        </w:rPr>
        <w:t>utes (Figure 1)</w:t>
      </w:r>
      <w:r w:rsidR="00260144" w:rsidRPr="009B2C22">
        <w:rPr>
          <w:rFonts w:eastAsia="Times New Roman"/>
          <w:color w:val="000000"/>
          <w:shd w:val="clear" w:color="auto" w:fill="FFFFFF"/>
        </w:rPr>
        <w:t>.</w:t>
      </w:r>
      <w:r w:rsidR="00260144" w:rsidRPr="009A6799">
        <w:rPr>
          <w:rFonts w:eastAsia="Times New Roman"/>
          <w:color w:val="000000"/>
          <w:shd w:val="clear" w:color="auto" w:fill="FFFFFF"/>
        </w:rPr>
        <w:t xml:space="preserve"> </w:t>
      </w:r>
      <w:r w:rsidR="00BF78DE" w:rsidRPr="009A6799">
        <w:rPr>
          <w:rFonts w:eastAsia="Times New Roman"/>
          <w:color w:val="000000"/>
          <w:shd w:val="clear" w:color="auto" w:fill="FFFFFF"/>
        </w:rPr>
        <w:t xml:space="preserve">This process </w:t>
      </w:r>
      <w:r w:rsidR="000E61EE">
        <w:rPr>
          <w:rFonts w:eastAsia="Times New Roman"/>
          <w:color w:val="000000"/>
          <w:shd w:val="clear" w:color="auto" w:fill="FFFFFF"/>
        </w:rPr>
        <w:t xml:space="preserve">was repeated 3 times for all 5 of the original experimental </w:t>
      </w:r>
      <w:r w:rsidR="00620D9C" w:rsidRPr="009A6799">
        <w:rPr>
          <w:color w:val="000000"/>
        </w:rPr>
        <w:drawing>
          <wp:anchor distT="0" distB="0" distL="114300" distR="114300" simplePos="0" relativeHeight="251661312" behindDoc="0" locked="0" layoutInCell="1" allowOverlap="1" wp14:anchorId="029D37D0" wp14:editId="407A7A98">
            <wp:simplePos x="0" y="0"/>
            <wp:positionH relativeFrom="column">
              <wp:posOffset>2108835</wp:posOffset>
            </wp:positionH>
            <wp:positionV relativeFrom="paragraph">
              <wp:posOffset>1256030</wp:posOffset>
            </wp:positionV>
            <wp:extent cx="4062095" cy="2437765"/>
            <wp:effectExtent l="0" t="0" r="1905" b="635"/>
            <wp:wrapTight wrapText="bothSides">
              <wp:wrapPolygon edited="0">
                <wp:start x="0" y="0"/>
                <wp:lineTo x="0" y="21381"/>
                <wp:lineTo x="21475" y="21381"/>
                <wp:lineTo x="21475" y="0"/>
                <wp:lineTo x="0" y="0"/>
              </wp:wrapPolygon>
            </wp:wrapTight>
            <wp:docPr id="1" name="Picture 1" descr="https://lh3.googleusercontent.com/R5RAlknRcOCd9vBkjMjpoCmFa9nSofUBVwfqoa6SBVDdsZ3JQd6zZt3RV6ZOdJACUHRywH_DgQzWEVLX-TNQpmNrr4A4WFfCWKbaF5ELTOrVHZGPoFuYG_TgyMXBRBbqbWXGjIJW8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5RAlknRcOCd9vBkjMjpoCmFa9nSofUBVwfqoa6SBVDdsZ3JQd6zZt3RV6ZOdJACUHRywH_DgQzWEVLX-TNQpmNrr4A4WFfCWKbaF5ELTOrVHZGPoFuYG_TgyMXBRBbqbWXGjIJW8T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2095" cy="2437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E61EE">
        <w:rPr>
          <w:rFonts w:eastAsia="Times New Roman"/>
          <w:color w:val="000000"/>
          <w:shd w:val="clear" w:color="auto" w:fill="FFFFFF"/>
        </w:rPr>
        <w:tab/>
      </w:r>
      <w:r w:rsidR="004D5BFA" w:rsidRPr="009A6799">
        <w:rPr>
          <w:rFonts w:eastAsia="Times New Roman"/>
          <w:color w:val="000000"/>
          <w:shd w:val="clear" w:color="auto" w:fill="FFFFFF"/>
        </w:rPr>
        <w:tab/>
      </w:r>
      <w:r w:rsidR="004D5BFA" w:rsidRPr="00724C9C">
        <w:rPr>
          <w:rFonts w:eastAsia="Times New Roman"/>
          <w:color w:val="000000"/>
          <w:sz w:val="22"/>
          <w:shd w:val="clear" w:color="auto" w:fill="FFFFFF"/>
        </w:rPr>
        <w:t xml:space="preserve">  </w:t>
      </w:r>
      <w:r w:rsidR="00724C9C">
        <w:rPr>
          <w:rFonts w:eastAsia="Times New Roman"/>
          <w:color w:val="000000"/>
          <w:sz w:val="22"/>
          <w:shd w:val="clear" w:color="auto" w:fill="FFFFFF"/>
        </w:rPr>
        <w:t xml:space="preserve">      </w:t>
      </w:r>
      <w:r w:rsidR="004D5BFA" w:rsidRPr="00724C9C">
        <w:rPr>
          <w:rFonts w:eastAsia="Times New Roman"/>
          <w:color w:val="000000"/>
          <w:sz w:val="22"/>
          <w:shd w:val="clear" w:color="auto" w:fill="FFFFFF"/>
        </w:rPr>
        <w:t xml:space="preserve">   </w:t>
      </w:r>
      <w:r w:rsidR="00BF78DE" w:rsidRPr="00724C9C">
        <w:rPr>
          <w:i/>
          <w:color w:val="000000"/>
          <w:sz w:val="22"/>
        </w:rPr>
        <w:t xml:space="preserve"> </w:t>
      </w:r>
      <w:r w:rsidR="004D5BFA" w:rsidRPr="00724C9C">
        <w:rPr>
          <w:i/>
          <w:color w:val="000000"/>
          <w:sz w:val="22"/>
        </w:rPr>
        <w:t>Figure 1: Illustration of the experimental procedure</w:t>
      </w:r>
    </w:p>
    <w:p w14:paraId="18E16ECA" w14:textId="4BDF9919" w:rsidR="008020E4" w:rsidRPr="009A6799" w:rsidRDefault="000E61EE" w:rsidP="008020E4">
      <w:pPr>
        <w:spacing w:line="480" w:lineRule="auto"/>
        <w:rPr>
          <w:rFonts w:eastAsia="Times New Roman"/>
          <w:color w:val="000000"/>
          <w:shd w:val="clear" w:color="auto" w:fill="FFFFFF"/>
        </w:rPr>
      </w:pPr>
      <w:r>
        <w:rPr>
          <w:rFonts w:eastAsia="Times New Roman"/>
          <w:color w:val="000000"/>
          <w:shd w:val="clear" w:color="auto" w:fill="FFFFFF"/>
        </w:rPr>
        <w:t>conditions.</w:t>
      </w:r>
      <w:r w:rsidRPr="009A6799">
        <w:rPr>
          <w:rFonts w:eastAsia="Times New Roman"/>
          <w:color w:val="000000"/>
          <w:shd w:val="clear" w:color="auto" w:fill="FFFFFF"/>
        </w:rPr>
        <w:t xml:space="preserve"> </w:t>
      </w:r>
      <w:r>
        <w:rPr>
          <w:rFonts w:eastAsia="Times New Roman"/>
          <w:color w:val="000000"/>
          <w:shd w:val="clear" w:color="auto" w:fill="FFFFFF"/>
        </w:rPr>
        <w:t xml:space="preserve">We will only focus on the </w:t>
      </w:r>
      <w:r w:rsidRPr="009A6799">
        <w:rPr>
          <w:rFonts w:eastAsia="Times New Roman"/>
          <w:color w:val="000000"/>
          <w:shd w:val="clear" w:color="auto" w:fill="FFFFFF"/>
        </w:rPr>
        <w:t>PTEN knockout (KO) and wild</w:t>
      </w:r>
      <w:r w:rsidRPr="009A6799">
        <w:rPr>
          <w:rFonts w:eastAsia="Times New Roman"/>
          <w:color w:val="000000"/>
          <w:shd w:val="clear" w:color="auto" w:fill="FFFFFF"/>
        </w:rPr>
        <w:t xml:space="preserve"> </w:t>
      </w:r>
      <w:r w:rsidR="004D5BFA" w:rsidRPr="009A6799">
        <w:rPr>
          <w:rFonts w:eastAsia="Times New Roman"/>
          <w:color w:val="000000"/>
          <w:shd w:val="clear" w:color="auto" w:fill="FFFFFF"/>
        </w:rPr>
        <w:t>type</w:t>
      </w:r>
      <w:r w:rsidR="004D5BFA" w:rsidRPr="009A6799">
        <w:rPr>
          <w:color w:val="000000"/>
        </w:rPr>
        <w:t xml:space="preserve"> (WT) at </w:t>
      </w:r>
      <w:r w:rsidR="004D5BFA" w:rsidRPr="009A6799">
        <w:rPr>
          <w:rFonts w:eastAsia="Times New Roman"/>
          <w:color w:val="000000"/>
          <w:shd w:val="clear" w:color="auto" w:fill="FFFFFF"/>
        </w:rPr>
        <w:t>each</w:t>
      </w:r>
      <w:r w:rsidR="004D5BFA" w:rsidRPr="009A6799">
        <w:rPr>
          <w:color w:val="000000"/>
        </w:rPr>
        <w:t xml:space="preserve"> </w:t>
      </w:r>
      <w:r>
        <w:rPr>
          <w:color w:val="000000"/>
        </w:rPr>
        <w:t>of the 6 time points to illustrate the ImpulseDE2 model.</w:t>
      </w:r>
    </w:p>
    <w:p w14:paraId="3453CB67" w14:textId="07BF95E2" w:rsidR="00D42FE6" w:rsidRPr="009A6799" w:rsidRDefault="008020E4" w:rsidP="00E01833">
      <w:pPr>
        <w:spacing w:line="480" w:lineRule="auto"/>
        <w:rPr>
          <w:color w:val="000000"/>
        </w:rPr>
      </w:pPr>
      <w:r w:rsidRPr="009A6799">
        <w:rPr>
          <w:color w:val="000000"/>
        </w:rPr>
        <w:tab/>
        <w:t>The RNA-seq libraries were</w:t>
      </w:r>
      <w:r w:rsidR="00BF78DE" w:rsidRPr="009A6799">
        <w:rPr>
          <w:color w:val="000000"/>
        </w:rPr>
        <w:t xml:space="preserve"> </w:t>
      </w:r>
      <w:r w:rsidRPr="009A6799">
        <w:rPr>
          <w:color w:val="000000"/>
        </w:rPr>
        <w:t>prepared using the Truseq RNA sampl</w:t>
      </w:r>
      <w:r w:rsidR="00E01833" w:rsidRPr="009A6799">
        <w:rPr>
          <w:color w:val="000000"/>
        </w:rPr>
        <w:t xml:space="preserve">e preparation kit from Illumina following the protocols recommended by Illumina. </w:t>
      </w:r>
      <w:r w:rsidR="00BF78DE" w:rsidRPr="009A6799">
        <w:rPr>
          <w:color w:val="000000"/>
        </w:rPr>
        <w:t>Pools of six libraries were prepared for 100-bp single end sequencing on a HiSeq 2500</w:t>
      </w:r>
      <w:r w:rsidR="003C37AC" w:rsidRPr="009A6799">
        <w:rPr>
          <w:color w:val="000000"/>
        </w:rPr>
        <w:t xml:space="preserve"> machine from Illumina. </w:t>
      </w:r>
    </w:p>
    <w:p w14:paraId="395FCC30" w14:textId="2B292D7F" w:rsidR="00096293" w:rsidRPr="009A6799" w:rsidRDefault="00DD20BF" w:rsidP="00E01833">
      <w:pPr>
        <w:spacing w:line="480" w:lineRule="auto"/>
        <w:rPr>
          <w:color w:val="000000"/>
          <w:u w:val="single"/>
        </w:rPr>
      </w:pPr>
      <w:r w:rsidRPr="009A6799">
        <w:rPr>
          <w:color w:val="000000"/>
          <w:u w:val="single"/>
        </w:rPr>
        <w:t>Statistical Analysis:</w:t>
      </w:r>
    </w:p>
    <w:p w14:paraId="65C335BB" w14:textId="0CF1238C" w:rsidR="00096293" w:rsidRPr="009A6799" w:rsidRDefault="00096293" w:rsidP="00E01833">
      <w:pPr>
        <w:spacing w:line="480" w:lineRule="auto"/>
        <w:rPr>
          <w:color w:val="000000"/>
        </w:rPr>
      </w:pPr>
      <w:r w:rsidRPr="009A6799">
        <w:rPr>
          <w:i/>
          <w:color w:val="000000"/>
        </w:rPr>
        <w:t>Quality Control</w:t>
      </w:r>
    </w:p>
    <w:p w14:paraId="47217B33" w14:textId="77777777" w:rsidR="00F63E1A" w:rsidRDefault="00AA7FA6" w:rsidP="00F63E1A">
      <w:pPr>
        <w:spacing w:line="480" w:lineRule="auto"/>
        <w:ind w:firstLine="720"/>
        <w:rPr>
          <w:color w:val="000000"/>
        </w:rPr>
      </w:pPr>
      <w:r w:rsidRPr="009A6799">
        <w:rPr>
          <w:color w:val="000000"/>
        </w:rPr>
        <w:t xml:space="preserve">Fastq files were not provided to the public through the </w:t>
      </w:r>
      <w:r w:rsidR="007D222A" w:rsidRPr="009A6799">
        <w:rPr>
          <w:color w:val="000000"/>
        </w:rPr>
        <w:t xml:space="preserve">GEO </w:t>
      </w:r>
      <w:r w:rsidR="00796CBF">
        <w:rPr>
          <w:color w:val="000000"/>
        </w:rPr>
        <w:t xml:space="preserve">dataset </w:t>
      </w:r>
      <w:r w:rsidR="000E61EE">
        <w:rPr>
          <w:color w:val="000000"/>
        </w:rPr>
        <w:t xml:space="preserve">for the original authors’ data. </w:t>
      </w:r>
      <w:r w:rsidR="007D222A" w:rsidRPr="009A6799">
        <w:rPr>
          <w:color w:val="000000"/>
        </w:rPr>
        <w:t>For their publication, they performed FastQC4 state that “About 85–95% of reads in every sample were uniquely mapped, with the majority of samples ha</w:t>
      </w:r>
      <w:r w:rsidR="00A76A3E" w:rsidRPr="009A6799">
        <w:rPr>
          <w:color w:val="000000"/>
        </w:rPr>
        <w:t>ving &gt;90% uniquely mapped reads</w:t>
      </w:r>
      <w:r w:rsidR="007D222A" w:rsidRPr="009A6799">
        <w:rPr>
          <w:color w:val="000000"/>
        </w:rPr>
        <w:t>”</w:t>
      </w:r>
      <w:r w:rsidR="00A76A3E" w:rsidRPr="009A6799">
        <w:rPr>
          <w:color w:val="000000"/>
        </w:rPr>
        <w:t xml:space="preserve"> based on the “human reference genome (Ensembl GRCh37 release 75).”</w:t>
      </w:r>
      <w:r w:rsidR="001C6D7B" w:rsidRPr="009A6799">
        <w:rPr>
          <w:color w:val="000000"/>
        </w:rPr>
        <w:t xml:space="preserve"> Analysis was performed assuming that this quality of reads still held for our subset of experimental conditions.</w:t>
      </w:r>
    </w:p>
    <w:p w14:paraId="1CDAB414" w14:textId="300765E7" w:rsidR="009B2384" w:rsidRPr="00620D9C" w:rsidRDefault="009B71B3" w:rsidP="00F63E1A">
      <w:pPr>
        <w:spacing w:line="480" w:lineRule="auto"/>
        <w:ind w:firstLine="720"/>
        <w:rPr>
          <w:color w:val="000000"/>
        </w:rPr>
      </w:pPr>
      <w:r w:rsidRPr="009A6799">
        <w:rPr>
          <w:noProof/>
        </w:rPr>
        <w:lastRenderedPageBreak/>
        <w:drawing>
          <wp:anchor distT="0" distB="0" distL="114300" distR="114300" simplePos="0" relativeHeight="251663360" behindDoc="0" locked="0" layoutInCell="1" allowOverlap="1" wp14:anchorId="296F110F" wp14:editId="529B3561">
            <wp:simplePos x="0" y="0"/>
            <wp:positionH relativeFrom="column">
              <wp:posOffset>2334260</wp:posOffset>
            </wp:positionH>
            <wp:positionV relativeFrom="paragraph">
              <wp:posOffset>1029335</wp:posOffset>
            </wp:positionV>
            <wp:extent cx="3821430" cy="2745740"/>
            <wp:effectExtent l="0" t="0" r="0" b="0"/>
            <wp:wrapTight wrapText="bothSides">
              <wp:wrapPolygon edited="0">
                <wp:start x="0" y="0"/>
                <wp:lineTo x="0" y="21380"/>
                <wp:lineTo x="21392" y="21380"/>
                <wp:lineTo x="213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143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4384" behindDoc="0" locked="0" layoutInCell="1" allowOverlap="1" wp14:anchorId="56F44A80" wp14:editId="5CE8E947">
            <wp:simplePos x="0" y="0"/>
            <wp:positionH relativeFrom="column">
              <wp:posOffset>2680335</wp:posOffset>
            </wp:positionH>
            <wp:positionV relativeFrom="paragraph">
              <wp:posOffset>1373717</wp:posOffset>
            </wp:positionV>
            <wp:extent cx="457835" cy="376333"/>
            <wp:effectExtent l="0" t="0" r="0" b="5080"/>
            <wp:wrapNone/>
            <wp:docPr id="3" name="Picture 3" descr="../../../../Desktop/Screen%20Shot%202018-12-11%20at%207.54.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2-11%20at%207.54.0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835" cy="376333"/>
                    </a:xfrm>
                    <a:prstGeom prst="rect">
                      <a:avLst/>
                    </a:prstGeom>
                    <a:noFill/>
                    <a:ln>
                      <a:noFill/>
                    </a:ln>
                  </pic:spPr>
                </pic:pic>
              </a:graphicData>
            </a:graphic>
            <wp14:sizeRelH relativeFrom="page">
              <wp14:pctWidth>0</wp14:pctWidth>
            </wp14:sizeRelH>
            <wp14:sizeRelV relativeFrom="page">
              <wp14:pctHeight>0</wp14:pctHeight>
            </wp14:sizeRelV>
          </wp:anchor>
        </w:drawing>
      </w:r>
      <w:r w:rsidR="00C44C31" w:rsidRPr="009A6799">
        <w:rPr>
          <w:color w:val="000000"/>
        </w:rPr>
        <w:t xml:space="preserve">Genes </w:t>
      </w:r>
      <w:r w:rsidR="004D5BFA" w:rsidRPr="009A6799">
        <w:rPr>
          <w:color w:val="000000"/>
        </w:rPr>
        <w:t>with</w:t>
      </w:r>
      <w:r w:rsidR="00C44C31" w:rsidRPr="009A6799">
        <w:rPr>
          <w:color w:val="000000"/>
        </w:rPr>
        <w:t xml:space="preserve"> </w:t>
      </w:r>
      <w:r w:rsidR="004D5BFA" w:rsidRPr="009A6799">
        <w:rPr>
          <w:color w:val="000000"/>
        </w:rPr>
        <w:t>less than 5 reads over all time points in each replicate in either the PTEN KO or WT</w:t>
      </w:r>
      <w:r w:rsidR="006E74FE" w:rsidRPr="009A6799">
        <w:rPr>
          <w:color w:val="000000"/>
        </w:rPr>
        <w:t xml:space="preserve"> </w:t>
      </w:r>
      <w:r w:rsidR="004D5BFA" w:rsidRPr="009A6799">
        <w:rPr>
          <w:color w:val="000000"/>
        </w:rPr>
        <w:t>genes</w:t>
      </w:r>
      <w:r w:rsidR="006E74FE" w:rsidRPr="009A6799">
        <w:rPr>
          <w:color w:val="000000"/>
        </w:rPr>
        <w:t xml:space="preserve"> were removed from analysis. This gave us 18,739 </w:t>
      </w:r>
      <w:r w:rsidR="001400B3" w:rsidRPr="009A6799">
        <w:rPr>
          <w:color w:val="000000"/>
        </w:rPr>
        <w:t xml:space="preserve">genes to analyze. </w:t>
      </w:r>
      <w:r w:rsidR="0005313F" w:rsidRPr="009A6799">
        <w:rPr>
          <w:color w:val="000000"/>
        </w:rPr>
        <w:t>Samples were</w:t>
      </w:r>
      <w:r w:rsidR="006E74FE" w:rsidRPr="009A6799">
        <w:rPr>
          <w:color w:val="000000"/>
        </w:rPr>
        <w:t xml:space="preserve"> normaliz</w:t>
      </w:r>
      <w:r w:rsidR="009B2384" w:rsidRPr="009A6799">
        <w:rPr>
          <w:color w:val="000000"/>
        </w:rPr>
        <w:t xml:space="preserve">ed using full non-linear </w:t>
      </w:r>
      <w:r w:rsidR="006D4974">
        <w:rPr>
          <w:color w:val="000000"/>
        </w:rPr>
        <w:t xml:space="preserve">                    </w:t>
      </w:r>
      <w:r w:rsidR="009B2384" w:rsidRPr="00724C9C">
        <w:rPr>
          <w:i/>
          <w:color w:val="000000"/>
          <w:sz w:val="22"/>
        </w:rPr>
        <w:t xml:space="preserve">Figure 2: Normalized counts at Time = 300 </w:t>
      </w:r>
      <w:r w:rsidR="009B2384" w:rsidRPr="009A6799">
        <w:rPr>
          <w:i/>
          <w:color w:val="000000"/>
        </w:rPr>
        <w:t xml:space="preserve">minutes </w:t>
      </w:r>
      <w:r w:rsidR="006D4974" w:rsidRPr="009A6799">
        <w:rPr>
          <w:color w:val="000000"/>
        </w:rPr>
        <w:t>quantile</w:t>
      </w:r>
      <w:r w:rsidR="006D4974" w:rsidRPr="009A6799">
        <w:rPr>
          <w:color w:val="000000"/>
        </w:rPr>
        <w:t xml:space="preserve"> </w:t>
      </w:r>
      <w:r w:rsidR="0005313F" w:rsidRPr="009A6799">
        <w:rPr>
          <w:color w:val="000000"/>
        </w:rPr>
        <w:t>normalization</w:t>
      </w:r>
      <w:r w:rsidR="006E74FE" w:rsidRPr="009A6799">
        <w:rPr>
          <w:color w:val="000000"/>
        </w:rPr>
        <w:t xml:space="preserve"> </w:t>
      </w:r>
      <w:r w:rsidR="0005313F" w:rsidRPr="009A6799">
        <w:rPr>
          <w:color w:val="000000"/>
        </w:rPr>
        <w:t>using the EDASeq package from Bioconductor</w:t>
      </w:r>
      <w:r w:rsidR="0005313F" w:rsidRPr="009A6799">
        <w:rPr>
          <w:color w:val="000000"/>
          <w:vertAlign w:val="superscript"/>
        </w:rPr>
        <w:t>9</w:t>
      </w:r>
      <w:r w:rsidR="0005313F" w:rsidRPr="009A6799">
        <w:rPr>
          <w:color w:val="000000"/>
        </w:rPr>
        <w:t xml:space="preserve">. Figure 2 shows the normalized counts for the PTEN KO and WT genes </w:t>
      </w:r>
      <w:r w:rsidR="009B2384" w:rsidRPr="009A6799">
        <w:rPr>
          <w:color w:val="000000"/>
        </w:rPr>
        <w:t xml:space="preserve">at their final time point. This plot is representative of what we see from the other 5 time points. None of the technical replicates stood out from the others, so all will be included for all 6 time points.  </w:t>
      </w:r>
    </w:p>
    <w:p w14:paraId="19ED78D2" w14:textId="17148BDD" w:rsidR="00096293" w:rsidRPr="009A6799" w:rsidRDefault="00096293" w:rsidP="00096293">
      <w:pPr>
        <w:spacing w:line="480" w:lineRule="auto"/>
        <w:rPr>
          <w:color w:val="000000"/>
        </w:rPr>
      </w:pPr>
      <w:r w:rsidRPr="009A6799">
        <w:rPr>
          <w:i/>
          <w:color w:val="000000"/>
        </w:rPr>
        <w:t>Differential Expression</w:t>
      </w:r>
    </w:p>
    <w:p w14:paraId="6BFE5520" w14:textId="0A464BAB" w:rsidR="00205158" w:rsidRPr="009A6799" w:rsidRDefault="00205158" w:rsidP="00205158">
      <w:pPr>
        <w:spacing w:line="480" w:lineRule="auto"/>
        <w:rPr>
          <w:color w:val="000000"/>
          <w:u w:val="single"/>
        </w:rPr>
      </w:pPr>
      <w:r w:rsidRPr="009A6799">
        <w:rPr>
          <w:color w:val="000000"/>
          <w:u w:val="single"/>
        </w:rPr>
        <w:t>Impulse Models</w:t>
      </w:r>
    </w:p>
    <w:p w14:paraId="0C213BA7" w14:textId="77777777" w:rsidR="00582564" w:rsidRPr="009A6799" w:rsidRDefault="006F4465" w:rsidP="00205158">
      <w:pPr>
        <w:spacing w:line="480" w:lineRule="auto"/>
        <w:rPr>
          <w:rFonts w:eastAsiaTheme="minorEastAsia"/>
          <w:color w:val="000000"/>
        </w:rPr>
      </w:pPr>
      <w:r w:rsidRPr="009A6799">
        <w:rPr>
          <w:color w:val="000000"/>
        </w:rPr>
        <w:tab/>
      </w:r>
      <w:r w:rsidR="00E53476" w:rsidRPr="009A6799">
        <w:rPr>
          <w:color w:val="000000"/>
        </w:rPr>
        <w:t>Impulse models are designed to capture the initial, peak, and steady state of expression after some experimental perturbation. They are defined as the product of two separate sigmoid models</w:t>
      </w:r>
      <w:r w:rsidR="00360B06" w:rsidRPr="009A6799">
        <w:rPr>
          <w:color w:val="000000"/>
        </w:rPr>
        <w:t xml:space="preserve"> and scaled by the peak state of expression. The two separate sigmoid models represent the shifts from initial to peak state and peak to steady stat expression. This can be expressed as </w:t>
      </w:r>
    </w:p>
    <w:p w14:paraId="1026FDAE" w14:textId="12AE41C8" w:rsidR="006F4465" w:rsidRPr="009A6799" w:rsidRDefault="00360B06" w:rsidP="00205158">
      <w:pPr>
        <w:spacing w:line="480" w:lineRule="auto"/>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Imp</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1</m:t>
              </m:r>
            </m:num>
            <m:den>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m:t>
                  </m:r>
                </m:sub>
              </m:sSub>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r>
                    <w:rPr>
                      <w:rFonts w:ascii="Cambria Math" w:hAnsi="Cambria Math"/>
                      <w:color w:val="000000"/>
                    </w:rPr>
                    <m:t>)</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-β</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e>
                      </m:d>
                    </m:sup>
                  </m:sSup>
                </m:den>
              </m:f>
            </m:e>
          </m:d>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s</m:t>
                      </m:r>
                    </m:sub>
                  </m:sSub>
                  <m:r>
                    <w:rPr>
                      <w:rFonts w:ascii="Cambria Math" w:hAnsi="Cambria Math"/>
                      <w:color w:val="000000"/>
                    </w:rPr>
                    <m:t>)</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-β</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e>
                      </m:d>
                    </m:sup>
                  </m:sSup>
                </m:den>
              </m:f>
            </m:e>
          </m:d>
          <m:r>
            <w:rPr>
              <w:rFonts w:ascii="Cambria Math" w:hAnsi="Cambria Math"/>
              <w:color w:val="000000"/>
            </w:rPr>
            <m:t>,</m:t>
          </m:r>
        </m:oMath>
      </m:oMathPara>
    </w:p>
    <w:p w14:paraId="5BE2CB48" w14:textId="5AF56C30" w:rsidR="00DF3282" w:rsidRPr="009A6799" w:rsidRDefault="00A44CFB" w:rsidP="00205158">
      <w:pPr>
        <w:spacing w:line="480" w:lineRule="auto"/>
        <w:rPr>
          <w:rFonts w:eastAsiaTheme="minorEastAsia"/>
          <w:color w:val="000000"/>
        </w:rPr>
      </w:pPr>
      <w:r w:rsidRPr="009A6799">
        <w:rPr>
          <w:rFonts w:eastAsiaTheme="minorEastAsia"/>
          <w:color w:val="000000"/>
        </w:rPr>
        <w:t xml:space="preserve">where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0</m:t>
            </m:r>
          </m:sub>
        </m:sSub>
      </m:oMath>
      <w:r w:rsidRPr="009A6799">
        <w:rPr>
          <w:rFonts w:eastAsiaTheme="minorEastAsia"/>
          <w:color w:val="000000"/>
        </w:rPr>
        <w:t xml:space="preserve">,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m:t>
            </m:r>
          </m:sub>
        </m:sSub>
      </m:oMath>
      <w:r w:rsidRPr="009A6799">
        <w:rPr>
          <w:rFonts w:eastAsiaTheme="minorEastAsia"/>
          <w:color w:val="000000"/>
        </w:rPr>
        <w:t xml:space="preserve">, and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s</m:t>
            </m:r>
          </m:sub>
        </m:sSub>
      </m:oMath>
      <w:r w:rsidRPr="009A6799">
        <w:rPr>
          <w:rFonts w:eastAsiaTheme="minorEastAsia"/>
          <w:color w:val="000000"/>
        </w:rPr>
        <w:t xml:space="preserve"> represent the initial, peak, and steady state levels of expression, respectively, and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oMath>
      <w:r w:rsidRPr="009A6799">
        <w:rPr>
          <w:rFonts w:eastAsiaTheme="minorEastAsia"/>
          <w:color w:val="000000"/>
        </w:rPr>
        <w:t xml:space="preserve"> and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oMath>
      <w:r w:rsidRPr="009A6799">
        <w:rPr>
          <w:rFonts w:eastAsiaTheme="minorEastAsia"/>
          <w:color w:val="000000"/>
        </w:rPr>
        <w:t xml:space="preserve"> are the transition times to peak and steady state, respectively.</w:t>
      </w:r>
      <w:r w:rsidR="00DF3282" w:rsidRPr="009A6799">
        <w:rPr>
          <w:rFonts w:eastAsiaTheme="minorEastAsia"/>
          <w:color w:val="000000"/>
        </w:rPr>
        <w:t xml:space="preserve"> Note that this can collapse into a single sigmoid model if for monotonous expression growth when </w:t>
      </w:r>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s</m:t>
            </m:r>
          </m:sub>
        </m:sSub>
      </m:oMath>
      <w:r w:rsidR="00DF3282" w:rsidRPr="009A6799">
        <w:rPr>
          <w:rFonts w:eastAsiaTheme="minorEastAsia"/>
          <w:color w:val="000000"/>
        </w:rPr>
        <w:t>. The option to fit sigmoid models</w:t>
      </w:r>
      <w:r w:rsidR="001164DE" w:rsidRPr="009A6799">
        <w:rPr>
          <w:rFonts w:eastAsiaTheme="minorEastAsia"/>
          <w:color w:val="000000"/>
        </w:rPr>
        <w:t xml:space="preserve"> to each gene</w:t>
      </w:r>
      <w:r w:rsidR="00DF3282" w:rsidRPr="009A6799">
        <w:rPr>
          <w:rFonts w:eastAsiaTheme="minorEastAsia"/>
          <w:color w:val="000000"/>
        </w:rPr>
        <w:t xml:space="preserve"> is of</w:t>
      </w:r>
      <w:r w:rsidR="001164DE" w:rsidRPr="009A6799">
        <w:rPr>
          <w:rFonts w:eastAsiaTheme="minorEastAsia"/>
          <w:color w:val="000000"/>
        </w:rPr>
        <w:t>fered by the ImpulseDE2 package if the investigator believes that a steady state of expression is not reached by the end of the trial.</w:t>
      </w:r>
    </w:p>
    <w:p w14:paraId="76594D3F" w14:textId="551251ED" w:rsidR="001164DE" w:rsidRPr="009A6799" w:rsidRDefault="001164DE" w:rsidP="00205158">
      <w:pPr>
        <w:spacing w:line="480" w:lineRule="auto"/>
        <w:rPr>
          <w:rFonts w:eastAsiaTheme="minorEastAsia"/>
          <w:color w:val="000000"/>
        </w:rPr>
      </w:pPr>
      <w:r w:rsidRPr="009A6799">
        <w:rPr>
          <w:rFonts w:eastAsiaTheme="minorEastAsia"/>
          <w:color w:val="000000"/>
        </w:rPr>
        <w:tab/>
        <w:t>Unlike ImpulseDE, ImpulseDE2</w:t>
      </w:r>
      <w:r w:rsidR="00DF0C3D" w:rsidRPr="009A6799">
        <w:rPr>
          <w:rFonts w:eastAsiaTheme="minorEastAsia"/>
          <w:color w:val="000000"/>
        </w:rPr>
        <w:t xml:space="preserve"> is designed to handle count data such as transcriptomic read counts. It</w:t>
      </w:r>
      <w:r w:rsidRPr="009A6799">
        <w:rPr>
          <w:rFonts w:eastAsiaTheme="minorEastAsia"/>
          <w:color w:val="000000"/>
        </w:rPr>
        <w:t xml:space="preserve"> </w:t>
      </w:r>
      <w:r w:rsidR="00DF0C3D" w:rsidRPr="009A6799">
        <w:rPr>
          <w:rFonts w:eastAsiaTheme="minorEastAsia"/>
          <w:color w:val="000000"/>
        </w:rPr>
        <w:t xml:space="preserve">assumes that our observed </w:t>
      </w:r>
      <w:r w:rsidR="007931F3" w:rsidRPr="009A6799">
        <w:rPr>
          <w:rFonts w:eastAsiaTheme="minorEastAsia"/>
          <w:color w:val="000000"/>
        </w:rPr>
        <w:t>number of reads</w:t>
      </w:r>
      <w:r w:rsidR="00DF0C3D" w:rsidRPr="009A6799">
        <w:rPr>
          <w:rFonts w:eastAsiaTheme="minorEastAsia"/>
          <w:color w:val="000000"/>
        </w:rPr>
        <w:t xml:space="preserve"> </w:t>
      </w:r>
      <m:oMath>
        <m:r>
          <w:rPr>
            <w:rFonts w:ascii="Cambria Math" w:eastAsiaTheme="minorEastAsia" w:hAnsi="Cambria Math"/>
            <w:color w:val="000000"/>
          </w:rPr>
          <m:t>x</m:t>
        </m:r>
      </m:oMath>
      <w:r w:rsidR="00DF0C3D" w:rsidRPr="009A6799">
        <w:rPr>
          <w:rFonts w:eastAsiaTheme="minorEastAsia"/>
          <w:color w:val="000000"/>
        </w:rPr>
        <w:t xml:space="preserve"> </w:t>
      </w:r>
      <w:r w:rsidR="007931F3" w:rsidRPr="009A6799">
        <w:rPr>
          <w:rFonts w:eastAsiaTheme="minorEastAsia"/>
          <w:color w:val="000000"/>
        </w:rPr>
        <w:t xml:space="preserve">from µ transcripts </w:t>
      </w:r>
      <w:r w:rsidR="00DF0C3D" w:rsidRPr="009A6799">
        <w:rPr>
          <w:rFonts w:eastAsiaTheme="minorEastAsia"/>
          <w:color w:val="000000"/>
        </w:rPr>
        <w:t>comes from a negative binomial distribution like other popular me</w:t>
      </w:r>
      <w:r w:rsidR="007931F3" w:rsidRPr="009A6799">
        <w:rPr>
          <w:rFonts w:eastAsiaTheme="minorEastAsia"/>
          <w:color w:val="000000"/>
        </w:rPr>
        <w:t>thods such as DESeq2 and edgeR.</w:t>
      </w:r>
      <w:r w:rsidR="00DF0C3D" w:rsidRPr="009A6799">
        <w:rPr>
          <w:rFonts w:eastAsiaTheme="minorEastAsia"/>
          <w:color w:val="000000"/>
        </w:rPr>
        <w:t xml:space="preserve"> </w:t>
      </w:r>
      <w:r w:rsidR="001F1149" w:rsidRPr="009A6799">
        <w:rPr>
          <w:rFonts w:eastAsiaTheme="minorEastAsia"/>
          <w:color w:val="000000"/>
        </w:rPr>
        <w:t xml:space="preserve">The negative </w:t>
      </w:r>
      <w:r w:rsidR="007931F3" w:rsidRPr="009A6799">
        <w:rPr>
          <w:rFonts w:eastAsiaTheme="minorEastAsia"/>
          <w:color w:val="000000"/>
        </w:rPr>
        <w:t xml:space="preserve">binomial likelihood of the data </w:t>
      </w:r>
      <m:oMath>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sub>
        </m:sSub>
      </m:oMath>
      <w:r w:rsidR="007931F3" w:rsidRPr="009A6799">
        <w:rPr>
          <w:rFonts w:eastAsiaTheme="minorEastAsia"/>
          <w:color w:val="000000"/>
        </w:rPr>
        <w:t xml:space="preserve"> for every gene </w:t>
      </w:r>
      <m:oMath>
        <m:r>
          <w:rPr>
            <w:rFonts w:ascii="Cambria Math" w:eastAsiaTheme="minorEastAsia" w:hAnsi="Cambria Math"/>
            <w:color w:val="000000"/>
          </w:rPr>
          <m:t>i</m:t>
        </m:r>
      </m:oMath>
      <w:r w:rsidR="007931F3" w:rsidRPr="009A6799">
        <w:rPr>
          <w:rFonts w:eastAsiaTheme="minorEastAsia"/>
          <w:color w:val="000000"/>
        </w:rPr>
        <w:t xml:space="preserve"> from </w:t>
      </w:r>
      <m:oMath>
        <m:r>
          <w:rPr>
            <w:rFonts w:ascii="Cambria Math" w:eastAsiaTheme="minorEastAsia" w:hAnsi="Cambria Math"/>
            <w:color w:val="000000"/>
          </w:rPr>
          <m:t>J</m:t>
        </m:r>
      </m:oMath>
      <w:r w:rsidR="007931F3" w:rsidRPr="009A6799">
        <w:rPr>
          <w:rFonts w:eastAsiaTheme="minorEastAsia"/>
          <w:color w:val="000000"/>
        </w:rPr>
        <w:t xml:space="preserve"> samples</w:t>
      </w:r>
      <w:r w:rsidR="006337BF" w:rsidRPr="009A6799">
        <w:rPr>
          <w:rFonts w:eastAsiaTheme="minorEastAsia"/>
          <w:color w:val="000000"/>
        </w:rPr>
        <w:t xml:space="preserve"> at time points </w:t>
      </w:r>
      <m:oMath>
        <m:r>
          <w:rPr>
            <w:rFonts w:ascii="Cambria Math" w:eastAsiaTheme="minorEastAsia" w:hAnsi="Cambria Math"/>
            <w:color w:val="000000"/>
          </w:rPr>
          <m:t>t(j)</m:t>
        </m:r>
      </m:oMath>
      <w:r w:rsidR="007931F3" w:rsidRPr="009A6799">
        <w:rPr>
          <w:rFonts w:eastAsiaTheme="minorEastAsia"/>
          <w:color w:val="000000"/>
        </w:rPr>
        <w:t xml:space="preserve"> is defined as</w:t>
      </w:r>
    </w:p>
    <w:p w14:paraId="761777C8" w14:textId="096BEC9F" w:rsidR="007931F3" w:rsidRPr="009A6799" w:rsidRDefault="007931F3" w:rsidP="00205158">
      <w:pPr>
        <w:spacing w:line="480" w:lineRule="auto"/>
        <w:rPr>
          <w:rFonts w:eastAsiaTheme="minorEastAsia"/>
          <w:color w:val="000000"/>
        </w:rPr>
      </w:pPr>
      <m:oMathPara>
        <m:oMath>
          <m:r>
            <m:rPr>
              <m:scr m:val="script"/>
            </m:rPr>
            <w:rPr>
              <w:rFonts w:ascii="Cambria Math" w:eastAsiaTheme="minorEastAsia" w:hAnsi="Cambria Math"/>
              <w:color w:val="000000"/>
            </w:rPr>
            <m:t>L</m:t>
          </m:r>
          <m:d>
            <m:dPr>
              <m:endChr m:val="|"/>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 .</m:t>
                  </m:r>
                </m:sub>
              </m:sSub>
            </m:e>
          </m:d>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 xml:space="preserve">i, . </m:t>
              </m:r>
            </m:sub>
          </m:sSub>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m:t>
              </m:r>
            </m:sub>
          </m:sSub>
          <m:r>
            <w:rPr>
              <w:rFonts w:ascii="Cambria Math" w:eastAsiaTheme="minorEastAsia" w:hAnsi="Cambria Math"/>
              <w:color w:val="000000"/>
            </w:rPr>
            <m:t>)=</m:t>
          </m:r>
          <m:nary>
            <m:naryPr>
              <m:chr m:val="∏"/>
              <m:supHide m:val="1"/>
              <m:ctrlPr>
                <w:rPr>
                  <w:rFonts w:ascii="Cambria Math" w:eastAsiaTheme="minorEastAsia" w:hAnsi="Cambria Math"/>
                  <w:i/>
                  <w:color w:val="000000"/>
                </w:rPr>
              </m:ctrlPr>
            </m:naryPr>
            <m:sub>
              <m:r>
                <w:rPr>
                  <w:rFonts w:ascii="Cambria Math" w:eastAsiaTheme="minorEastAsia" w:hAnsi="Cambria Math"/>
                  <w:color w:val="000000"/>
                </w:rPr>
                <m:t>J</m:t>
              </m:r>
            </m:sub>
            <m:sup/>
            <m:e>
              <m:f>
                <m:fPr>
                  <m:ctrlPr>
                    <w:rPr>
                      <w:rFonts w:ascii="Cambria Math" w:eastAsiaTheme="minorEastAsia" w:hAnsi="Cambria Math"/>
                      <w:i/>
                      <w:color w:val="000000"/>
                    </w:rPr>
                  </m:ctrlPr>
                </m:fPr>
                <m:num>
                  <m:r>
                    <w:rPr>
                      <w:rFonts w:ascii="Cambria Math" w:eastAsiaTheme="minorEastAsia" w:hAnsi="Cambria Math"/>
                      <w:color w:val="000000"/>
                    </w:rPr>
                    <m:t>Γ</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m:t>
                          </m:r>
                          <m:r>
                            <w:rPr>
                              <w:rFonts w:ascii="Cambria Math" w:eastAsiaTheme="minorEastAsia" w:hAnsi="Cambria Math"/>
                              <w:color w:val="000000"/>
                            </w:rPr>
                            <m:t>,j</m:t>
                          </m:r>
                        </m:sub>
                      </m:sSub>
                    </m:e>
                  </m:d>
                </m:num>
                <m:den>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r>
                    <w:rPr>
                      <w:rFonts w:ascii="Cambria Math" w:eastAsiaTheme="minorEastAsia" w:hAnsi="Cambria Math"/>
                      <w:color w:val="000000"/>
                    </w:rPr>
                    <m:t xml:space="preserve"> </m:t>
                  </m:r>
                  <m:r>
                    <w:rPr>
                      <w:rFonts w:ascii="Cambria Math" w:eastAsiaTheme="minorEastAsia" w:hAnsi="Cambria Math"/>
                      <w:color w:val="000000"/>
                    </w:rPr>
                    <m:t>!Γ(</m:t>
                  </m:r>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r>
                    <w:rPr>
                      <w:rFonts w:ascii="Cambria Math" w:eastAsiaTheme="minorEastAsia" w:hAnsi="Cambria Math"/>
                      <w:color w:val="000000"/>
                    </w:rPr>
                    <m:t xml:space="preserve">) </m:t>
                  </m:r>
                </m:den>
              </m:f>
            </m:e>
          </m:nary>
          <m:sSup>
            <m:sSupPr>
              <m:ctrlPr>
                <w:rPr>
                  <w:rFonts w:ascii="Cambria Math" w:eastAsiaTheme="minorEastAsia" w:hAnsi="Cambria Math"/>
                  <w:i/>
                  <w:color w:val="000000"/>
                </w:rPr>
              </m:ctrlPr>
            </m:sSupPr>
            <m:e>
              <m:d>
                <m:dPr>
                  <m:ctrlPr>
                    <w:rPr>
                      <w:rFonts w:ascii="Cambria Math" w:eastAsiaTheme="minorEastAsia" w:hAnsi="Cambria Math"/>
                      <w:i/>
                      <w:color w:val="000000"/>
                    </w:rPr>
                  </m:ctrlPr>
                </m:dPr>
                <m:e>
                  <m:f>
                    <m:fPr>
                      <m:ctrlPr>
                        <w:rPr>
                          <w:rFonts w:ascii="Cambria Math" w:eastAsiaTheme="minorEastAsia" w:hAnsi="Cambria Math"/>
                          <w:i/>
                          <w:color w:val="000000"/>
                        </w:rPr>
                      </m:ctrlPr>
                    </m:fPr>
                    <m:num>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i,t</m:t>
                          </m:r>
                          <m:d>
                            <m:dPr>
                              <m:ctrlPr>
                                <w:rPr>
                                  <w:rFonts w:ascii="Cambria Math" w:eastAsiaTheme="minorEastAsia" w:hAnsi="Cambria Math"/>
                                  <w:i/>
                                  <w:color w:val="000000"/>
                                </w:rPr>
                              </m:ctrlPr>
                            </m:dPr>
                            <m:e>
                              <m:r>
                                <w:rPr>
                                  <w:rFonts w:ascii="Cambria Math" w:eastAsiaTheme="minorEastAsia" w:hAnsi="Cambria Math"/>
                                  <w:color w:val="000000"/>
                                </w:rPr>
                                <m:t>j</m:t>
                              </m:r>
                            </m:e>
                          </m:d>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i,j</m:t>
                          </m:r>
                        </m:sub>
                      </m:sSub>
                    </m:num>
                    <m:den>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i,t</m:t>
                          </m:r>
                          <m:d>
                            <m:dPr>
                              <m:ctrlPr>
                                <w:rPr>
                                  <w:rFonts w:ascii="Cambria Math" w:eastAsiaTheme="minorEastAsia" w:hAnsi="Cambria Math"/>
                                  <w:i/>
                                  <w:color w:val="000000"/>
                                </w:rPr>
                              </m:ctrlPr>
                            </m:dPr>
                            <m:e>
                              <m:r>
                                <w:rPr>
                                  <w:rFonts w:ascii="Cambria Math" w:eastAsiaTheme="minorEastAsia" w:hAnsi="Cambria Math"/>
                                  <w:color w:val="000000"/>
                                </w:rPr>
                                <m:t>j</m:t>
                              </m:r>
                            </m:e>
                          </m:d>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i,j</m:t>
                          </m:r>
                        </m:sub>
                      </m:sSub>
                    </m:den>
                  </m:f>
                </m:e>
              </m:d>
            </m:e>
            <m:sup>
              <m:sSub>
                <m:sSubPr>
                  <m:ctrlPr>
                    <w:rPr>
                      <w:rFonts w:ascii="Cambria Math" w:eastAsiaTheme="minorEastAsia" w:hAnsi="Cambria Math"/>
                      <w:i/>
                      <w:color w:val="000000"/>
                    </w:rPr>
                  </m:ctrlPr>
                </m:sSubPr>
                <m:e>
                  <m:r>
                    <w:rPr>
                      <w:rFonts w:ascii="Cambria Math" w:eastAsiaTheme="minorEastAsia" w:hAnsi="Cambria Math"/>
                      <w:color w:val="000000"/>
                    </w:rPr>
                    <m:t>x</m:t>
                  </m:r>
                </m:e>
                <m:sub>
                  <m:r>
                    <w:rPr>
                      <w:rFonts w:ascii="Cambria Math" w:eastAsiaTheme="minorEastAsia" w:hAnsi="Cambria Math"/>
                      <w:color w:val="000000"/>
                    </w:rPr>
                    <m:t>i,j</m:t>
                  </m:r>
                </m:sub>
              </m:sSub>
            </m:sup>
          </m:sSup>
          <m:sSup>
            <m:sSupPr>
              <m:ctrlPr>
                <w:rPr>
                  <w:rFonts w:ascii="Cambria Math" w:eastAsiaTheme="minorEastAsia" w:hAnsi="Cambria Math"/>
                  <w:i/>
                  <w:color w:val="000000"/>
                </w:rPr>
              </m:ctrlPr>
            </m:sSupPr>
            <m:e>
              <m:d>
                <m:dPr>
                  <m:ctrlPr>
                    <w:rPr>
                      <w:rFonts w:ascii="Cambria Math" w:eastAsiaTheme="minorEastAsia" w:hAnsi="Cambria Math"/>
                      <w:i/>
                      <w:color w:val="000000"/>
                    </w:rPr>
                  </m:ctrlPr>
                </m:dPr>
                <m:e>
                  <m:f>
                    <m:fPr>
                      <m:ctrlPr>
                        <w:rPr>
                          <w:rFonts w:ascii="Cambria Math" w:eastAsiaTheme="minorEastAsia" w:hAnsi="Cambria Math"/>
                          <w:i/>
                          <w:color w:val="000000"/>
                        </w:rPr>
                      </m:ctrlPr>
                    </m:fPr>
                    <m:num>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num>
                    <m:den>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r>
                        <w:rPr>
                          <w:rFonts w:ascii="Cambria Math" w:eastAsiaTheme="minorEastAsia" w:hAnsi="Cambria Math"/>
                          <w:color w:val="000000"/>
                        </w:rPr>
                        <m:t xml:space="preserve">+ </m:t>
                      </m:r>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i,t</m:t>
                          </m:r>
                          <m:d>
                            <m:dPr>
                              <m:ctrlPr>
                                <w:rPr>
                                  <w:rFonts w:ascii="Cambria Math" w:eastAsiaTheme="minorEastAsia" w:hAnsi="Cambria Math"/>
                                  <w:i/>
                                  <w:color w:val="000000"/>
                                </w:rPr>
                              </m:ctrlPr>
                            </m:dPr>
                            <m:e>
                              <m:r>
                                <w:rPr>
                                  <w:rFonts w:ascii="Cambria Math" w:eastAsiaTheme="minorEastAsia" w:hAnsi="Cambria Math"/>
                                  <w:color w:val="000000"/>
                                </w:rPr>
                                <m:t>j</m:t>
                              </m:r>
                            </m:e>
                          </m:d>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i,j</m:t>
                          </m:r>
                        </m:sub>
                      </m:sSub>
                    </m:den>
                  </m:f>
                </m:e>
              </m:d>
            </m:e>
            <m:sup>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sup>
          </m:sSup>
          <m:r>
            <w:rPr>
              <w:rFonts w:ascii="Cambria Math" w:eastAsiaTheme="minorEastAsia" w:hAnsi="Cambria Math"/>
              <w:color w:val="000000"/>
            </w:rPr>
            <m:t xml:space="preserve"> </m:t>
          </m:r>
        </m:oMath>
      </m:oMathPara>
    </w:p>
    <w:p w14:paraId="24F549DC" w14:textId="21BCE64F" w:rsidR="00A54FDD" w:rsidRPr="009A6799" w:rsidRDefault="006337BF" w:rsidP="00205158">
      <w:pPr>
        <w:spacing w:line="480" w:lineRule="auto"/>
        <w:rPr>
          <w:rFonts w:eastAsiaTheme="minorEastAsia"/>
          <w:color w:val="000000"/>
        </w:rPr>
      </w:pPr>
      <w:r w:rsidRPr="009A6799">
        <w:rPr>
          <w:color w:val="000000"/>
        </w:rPr>
        <w:t xml:space="preserve">where </w:t>
      </w:r>
      <m:oMath>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i,t</m:t>
            </m:r>
            <m:d>
              <m:dPr>
                <m:ctrlPr>
                  <w:rPr>
                    <w:rFonts w:ascii="Cambria Math" w:eastAsiaTheme="minorEastAsia" w:hAnsi="Cambria Math"/>
                    <w:i/>
                    <w:color w:val="000000"/>
                  </w:rPr>
                </m:ctrlPr>
              </m:dPr>
              <m:e>
                <m:r>
                  <w:rPr>
                    <w:rFonts w:ascii="Cambria Math" w:eastAsiaTheme="minorEastAsia" w:hAnsi="Cambria Math"/>
                    <w:color w:val="000000"/>
                  </w:rPr>
                  <m:t>j</m:t>
                </m:r>
              </m:e>
            </m:d>
          </m:sub>
        </m:sSub>
      </m:oMath>
      <w:r w:rsidRPr="009A6799">
        <w:rPr>
          <w:rFonts w:eastAsiaTheme="minorEastAsia"/>
          <w:color w:val="000000"/>
        </w:rPr>
        <w:t xml:space="preserve"> is a gene and time (and condition) specific mean parameter and</w:t>
      </w:r>
      <w:r w:rsidRPr="009A6799">
        <w:rPr>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oMath>
      <w:r w:rsidRPr="009A6799">
        <w:rPr>
          <w:rFonts w:eastAsiaTheme="minorEastAsia"/>
          <w:color w:val="000000"/>
        </w:rPr>
        <w:t xml:space="preserve"> is a gene specific dispersion parameter. </w:t>
      </w:r>
      <w:r w:rsidR="00C04464" w:rsidRPr="009A6799">
        <w:rPr>
          <w:rFonts w:eastAsiaTheme="minorEastAsia"/>
          <w:color w:val="000000"/>
        </w:rPr>
        <w:t xml:space="preserve">The dispersion parameter </w:t>
      </w:r>
      <m:oMath>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oMath>
      <w:r w:rsidRPr="009A6799">
        <w:rPr>
          <w:rFonts w:eastAsiaTheme="minorEastAsia"/>
          <w:color w:val="000000"/>
        </w:rPr>
        <w:t xml:space="preserve"> is</w:t>
      </w:r>
      <w:r w:rsidR="009736B0" w:rsidRPr="009A6799">
        <w:rPr>
          <w:rFonts w:eastAsiaTheme="minorEastAsia"/>
          <w:color w:val="000000"/>
        </w:rPr>
        <w:t xml:space="preserve"> considered a hyper-parameter to be estimated for each gene before </w:t>
      </w:r>
      <m:oMath>
        <m:sSub>
          <m:sSubPr>
            <m:ctrlPr>
              <w:rPr>
                <w:rFonts w:ascii="Cambria Math" w:eastAsiaTheme="minorEastAsia" w:hAnsi="Cambria Math"/>
                <w:i/>
                <w:color w:val="000000"/>
              </w:rPr>
            </m:ctrlPr>
          </m:sSubPr>
          <m:e>
            <m:r>
              <w:rPr>
                <w:rFonts w:ascii="Cambria Math" w:eastAsiaTheme="minorEastAsia" w:hAnsi="Cambria Math"/>
                <w:color w:val="000000"/>
              </w:rPr>
              <m:t>μ</m:t>
            </m:r>
          </m:e>
          <m:sub>
            <m:r>
              <w:rPr>
                <w:rFonts w:ascii="Cambria Math" w:eastAsiaTheme="minorEastAsia" w:hAnsi="Cambria Math"/>
                <w:color w:val="000000"/>
              </w:rPr>
              <m:t>i,t</m:t>
            </m:r>
            <m:d>
              <m:dPr>
                <m:ctrlPr>
                  <w:rPr>
                    <w:rFonts w:ascii="Cambria Math" w:eastAsiaTheme="minorEastAsia" w:hAnsi="Cambria Math"/>
                    <w:i/>
                    <w:color w:val="000000"/>
                  </w:rPr>
                </m:ctrlPr>
              </m:dPr>
              <m:e>
                <m:r>
                  <w:rPr>
                    <w:rFonts w:ascii="Cambria Math" w:eastAsiaTheme="minorEastAsia" w:hAnsi="Cambria Math"/>
                    <w:color w:val="000000"/>
                  </w:rPr>
                  <m:t>j</m:t>
                </m:r>
              </m:e>
            </m:d>
          </m:sub>
        </m:sSub>
      </m:oMath>
      <w:r w:rsidR="00C04464" w:rsidRPr="009A6799">
        <w:rPr>
          <w:rFonts w:eastAsiaTheme="minorEastAsia"/>
          <w:color w:val="000000"/>
        </w:rPr>
        <w:t xml:space="preserve"> is calculated. ImpulseDE2 estimates </w:t>
      </w:r>
      <m:oMath>
        <m:sSub>
          <m:sSubPr>
            <m:ctrlPr>
              <w:rPr>
                <w:rFonts w:ascii="Cambria Math" w:eastAsiaTheme="minorEastAsia" w:hAnsi="Cambria Math"/>
                <w:i/>
                <w:color w:val="000000"/>
              </w:rPr>
            </m:ctrlPr>
          </m:sSubPr>
          <m:e>
            <m:r>
              <w:rPr>
                <w:rFonts w:ascii="Cambria Math" w:eastAsiaTheme="minorEastAsia" w:hAnsi="Cambria Math"/>
                <w:color w:val="000000"/>
              </w:rPr>
              <m:t>ϕ</m:t>
            </m:r>
          </m:e>
          <m:sub>
            <m:r>
              <w:rPr>
                <w:rFonts w:ascii="Cambria Math" w:eastAsiaTheme="minorEastAsia" w:hAnsi="Cambria Math"/>
                <w:color w:val="000000"/>
              </w:rPr>
              <m:t>i</m:t>
            </m:r>
          </m:sub>
        </m:sSub>
      </m:oMath>
      <w:r w:rsidRPr="009A6799">
        <w:rPr>
          <w:rFonts w:eastAsiaTheme="minorEastAsia"/>
          <w:color w:val="000000"/>
        </w:rPr>
        <w:t xml:space="preserve"> using DESeq2</w:t>
      </w:r>
      <w:r w:rsidR="009736B0" w:rsidRPr="009A6799">
        <w:rPr>
          <w:rFonts w:eastAsiaTheme="minorEastAsia"/>
          <w:color w:val="000000"/>
        </w:rPr>
        <w:t xml:space="preserve"> treating time as a categorical variable. </w:t>
      </w:r>
      <m:oMath>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i,j</m:t>
            </m:r>
          </m:sub>
        </m:sSub>
      </m:oMath>
      <w:r w:rsidR="004D763E" w:rsidRPr="009A6799">
        <w:rPr>
          <w:rFonts w:eastAsiaTheme="minorEastAsia"/>
          <w:color w:val="000000"/>
        </w:rPr>
        <w:t xml:space="preserve"> is a normalization factor that is based on an estimated </w:t>
      </w:r>
      <w:r w:rsidR="004D763E" w:rsidRPr="009A6799">
        <w:rPr>
          <w:rFonts w:eastAsiaTheme="minorEastAsia"/>
          <w:i/>
          <w:color w:val="000000"/>
        </w:rPr>
        <w:t>size</w:t>
      </w:r>
      <w:r w:rsidR="004D763E" w:rsidRPr="009A6799">
        <w:rPr>
          <w:rFonts w:eastAsiaTheme="minorEastAsia"/>
          <w:color w:val="000000"/>
        </w:rPr>
        <w:t xml:space="preserve"> factor</w:t>
      </w:r>
      <w:r w:rsidR="00A54FDD" w:rsidRPr="009A6799">
        <w:rPr>
          <w:rFonts w:eastAsiaTheme="minorEastAsia"/>
          <w:color w:val="000000"/>
        </w:rPr>
        <w:t xml:space="preserve"> </w:t>
      </w:r>
      <w:r w:rsidR="00A54FDD" w:rsidRPr="009A6799">
        <w:rPr>
          <w:rFonts w:eastAsiaTheme="minorEastAsia"/>
          <w:i/>
          <w:color w:val="000000"/>
        </w:rPr>
        <w:t>s</w:t>
      </w:r>
      <w:r w:rsidR="004D763E" w:rsidRPr="009A6799">
        <w:rPr>
          <w:rFonts w:eastAsiaTheme="minorEastAsia"/>
          <w:color w:val="000000"/>
        </w:rPr>
        <w:t xml:space="preserve"> and </w:t>
      </w:r>
      <w:r w:rsidR="004D763E" w:rsidRPr="009A6799">
        <w:rPr>
          <w:rFonts w:eastAsiaTheme="minorEastAsia"/>
          <w:i/>
          <w:color w:val="000000"/>
        </w:rPr>
        <w:t>batch</w:t>
      </w:r>
      <w:r w:rsidR="004D763E" w:rsidRPr="009A6799">
        <w:rPr>
          <w:rFonts w:eastAsiaTheme="minorEastAsia"/>
          <w:color w:val="000000"/>
        </w:rPr>
        <w:t xml:space="preserve"> factor</w:t>
      </w:r>
      <w:r w:rsidR="00A54FDD" w:rsidRPr="009A6799">
        <w:rPr>
          <w:rFonts w:eastAsiaTheme="minorEastAsia"/>
          <w:color w:val="000000"/>
        </w:rPr>
        <w:t xml:space="preserve"> </w:t>
      </w:r>
      <w:r w:rsidR="00A54FDD" w:rsidRPr="009A6799">
        <w:rPr>
          <w:rFonts w:eastAsiaTheme="minorEastAsia"/>
          <w:i/>
          <w:color w:val="000000"/>
        </w:rPr>
        <w:t>b</w:t>
      </w:r>
      <w:r w:rsidR="00A54FDD" w:rsidRPr="009A6799">
        <w:rPr>
          <w:rFonts w:eastAsiaTheme="minorEastAsia"/>
          <w:color w:val="000000"/>
        </w:rPr>
        <w:t xml:space="preserve"> for the </w:t>
      </w:r>
      <m:oMath>
        <m:r>
          <w:rPr>
            <w:rFonts w:ascii="Cambria Math" w:eastAsiaTheme="minorEastAsia" w:hAnsi="Cambria Math"/>
            <w:color w:val="000000"/>
          </w:rPr>
          <m:t>l(j)</m:t>
        </m:r>
      </m:oMath>
      <w:r w:rsidR="00A54FDD" w:rsidRPr="009A6799">
        <w:rPr>
          <w:rFonts w:eastAsiaTheme="minorEastAsia"/>
          <w:color w:val="000000"/>
        </w:rPr>
        <w:t xml:space="preserve"> batch such that</w:t>
      </w:r>
      <w:r w:rsidR="006D497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i,j</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j</m:t>
            </m:r>
          </m:sub>
        </m:sSub>
        <m:r>
          <w:rPr>
            <w:rFonts w:ascii="Cambria Math" w:eastAsiaTheme="minorEastAsia" w:hAnsi="Cambria Math"/>
            <w:color w:val="000000"/>
          </w:rPr>
          <m:t>*</m:t>
        </m:r>
        <m:nary>
          <m:naryPr>
            <m:chr m:val="∏"/>
            <m:supHide m:val="1"/>
            <m:ctrlPr>
              <w:rPr>
                <w:rFonts w:ascii="Cambria Math" w:eastAsiaTheme="minorEastAsia" w:hAnsi="Cambria Math"/>
                <w:i/>
                <w:color w:val="000000"/>
              </w:rPr>
            </m:ctrlPr>
          </m:naryPr>
          <m:sub>
            <m:r>
              <w:rPr>
                <w:rFonts w:ascii="Cambria Math" w:eastAsiaTheme="minorEastAsia" w:hAnsi="Cambria Math"/>
                <w:color w:val="000000"/>
              </w:rPr>
              <m:t>L</m:t>
            </m:r>
          </m:sub>
          <m:sup/>
          <m:e>
            <m:sSub>
              <m:sSubPr>
                <m:ctrlPr>
                  <w:rPr>
                    <w:rFonts w:ascii="Cambria Math" w:eastAsiaTheme="minorEastAsia" w:hAnsi="Cambria Math"/>
                    <w:i/>
                    <w:color w:val="000000"/>
                  </w:rPr>
                </m:ctrlPr>
              </m:sSubPr>
              <m:e>
                <m:r>
                  <w:rPr>
                    <w:rFonts w:ascii="Cambria Math" w:eastAsiaTheme="minorEastAsia" w:hAnsi="Cambria Math"/>
                    <w:color w:val="000000"/>
                  </w:rPr>
                  <m:t>b</m:t>
                </m:r>
              </m:e>
              <m:sub>
                <m:r>
                  <w:rPr>
                    <w:rFonts w:ascii="Cambria Math" w:eastAsiaTheme="minorEastAsia" w:hAnsi="Cambria Math"/>
                    <w:color w:val="000000"/>
                  </w:rPr>
                  <m:t>i,l</m:t>
                </m:r>
                <m:d>
                  <m:dPr>
                    <m:ctrlPr>
                      <w:rPr>
                        <w:rFonts w:ascii="Cambria Math" w:eastAsiaTheme="minorEastAsia" w:hAnsi="Cambria Math"/>
                        <w:i/>
                        <w:color w:val="000000"/>
                      </w:rPr>
                    </m:ctrlPr>
                  </m:dPr>
                  <m:e>
                    <m:r>
                      <w:rPr>
                        <w:rFonts w:ascii="Cambria Math" w:eastAsiaTheme="minorEastAsia" w:hAnsi="Cambria Math"/>
                        <w:color w:val="000000"/>
                      </w:rPr>
                      <m:t>j</m:t>
                    </m:r>
                  </m:e>
                </m:d>
              </m:sub>
            </m:sSub>
          </m:e>
        </m:nary>
        <m:r>
          <w:rPr>
            <w:rFonts w:ascii="Cambria Math" w:eastAsiaTheme="minorEastAsia" w:hAnsi="Cambria Math"/>
            <w:color w:val="000000"/>
          </w:rPr>
          <m:t>.</m:t>
        </m:r>
      </m:oMath>
    </w:p>
    <w:p w14:paraId="33CEAEAA" w14:textId="0CE9CF7A" w:rsidR="00A54FDD" w:rsidRPr="009A6799" w:rsidRDefault="00A54FDD" w:rsidP="00205158">
      <w:pPr>
        <w:spacing w:line="480" w:lineRule="auto"/>
        <w:rPr>
          <w:rFonts w:eastAsiaTheme="minorEastAsia"/>
          <w:color w:val="000000"/>
        </w:rPr>
      </w:pPr>
      <w:r w:rsidRPr="009A6799">
        <w:rPr>
          <w:rFonts w:eastAsiaTheme="minorEastAsia"/>
          <w:color w:val="000000"/>
        </w:rPr>
        <w:t>Here the size factor is the median ratio of the observed counts</w:t>
      </w:r>
      <w:r w:rsidR="000E0E43" w:rsidRPr="009A6799">
        <w:rPr>
          <w:rFonts w:eastAsiaTheme="minorEastAsia"/>
          <w:color w:val="000000"/>
        </w:rPr>
        <w:t xml:space="preserve"> to their geometric mean per gene.</w:t>
      </w:r>
    </w:p>
    <w:p w14:paraId="114AE3EA" w14:textId="223BE46F" w:rsidR="00FF3BAB" w:rsidRPr="009A6799" w:rsidRDefault="00FF3BAB" w:rsidP="00205158">
      <w:pPr>
        <w:spacing w:line="480" w:lineRule="auto"/>
        <w:rPr>
          <w:color w:val="000000"/>
          <w:u w:val="single"/>
        </w:rPr>
      </w:pPr>
      <w:r w:rsidRPr="009A6799">
        <w:rPr>
          <w:color w:val="000000"/>
          <w:u w:val="single"/>
        </w:rPr>
        <w:t>Algorithm</w:t>
      </w:r>
    </w:p>
    <w:p w14:paraId="5C158FD8" w14:textId="6F7423C8" w:rsidR="0049207A" w:rsidRPr="009A6799" w:rsidRDefault="0049207A" w:rsidP="00205158">
      <w:pPr>
        <w:spacing w:line="480" w:lineRule="auto"/>
        <w:rPr>
          <w:color w:val="000000"/>
        </w:rPr>
      </w:pPr>
      <w:r w:rsidRPr="009A6799">
        <w:rPr>
          <w:color w:val="000000"/>
        </w:rPr>
        <w:tab/>
      </w:r>
      <w:r w:rsidR="009A01D2" w:rsidRPr="009A6799">
        <w:rPr>
          <w:color w:val="000000"/>
        </w:rPr>
        <w:t xml:space="preserve">The primary function for ImpulseDE2 requires a </w:t>
      </w:r>
      <m:oMath>
        <m:r>
          <w:rPr>
            <w:rFonts w:ascii="Cambria Math" w:hAnsi="Cambria Math"/>
            <w:color w:val="000000"/>
          </w:rPr>
          <m:t>N×J</m:t>
        </m:r>
      </m:oMath>
      <w:r w:rsidR="009A01D2" w:rsidRPr="009A6799">
        <w:rPr>
          <w:rFonts w:eastAsiaTheme="minorEastAsia"/>
          <w:color w:val="000000"/>
        </w:rPr>
        <w:t xml:space="preserve"> </w:t>
      </w:r>
      <w:r w:rsidR="009A01D2" w:rsidRPr="009A6799">
        <w:rPr>
          <w:color w:val="000000"/>
        </w:rPr>
        <w:t>matrix of raw counts along with a additional table of meta data. The algorithm follows 3 main steps:</w:t>
      </w:r>
    </w:p>
    <w:p w14:paraId="0CB3F96B" w14:textId="59E98203" w:rsidR="009A01D2" w:rsidRPr="009A6799" w:rsidRDefault="009A01D2" w:rsidP="009A01D2">
      <w:pPr>
        <w:pStyle w:val="ListParagraph"/>
        <w:numPr>
          <w:ilvl w:val="0"/>
          <w:numId w:val="4"/>
        </w:numPr>
        <w:spacing w:line="480" w:lineRule="auto"/>
        <w:rPr>
          <w:rFonts w:ascii="Times New Roman" w:hAnsi="Times New Roman" w:cs="Times New Roman"/>
          <w:color w:val="000000"/>
        </w:rPr>
      </w:pPr>
      <w:r w:rsidRPr="009A6799">
        <w:rPr>
          <w:rFonts w:ascii="Times New Roman" w:hAnsi="Times New Roman" w:cs="Times New Roman"/>
          <w:b/>
          <w:color w:val="000000"/>
        </w:rPr>
        <w:t>Hyper-parameter estimation:</w:t>
      </w:r>
      <w:r w:rsidRPr="009A6799">
        <w:rPr>
          <w:rFonts w:ascii="Times New Roman" w:hAnsi="Times New Roman" w:cs="Times New Roman"/>
          <w:color w:val="000000"/>
        </w:rPr>
        <w:t xml:space="preserve"> DESeq2 is run for each gene and dispersion parameters are stored for the impulse models.</w:t>
      </w:r>
    </w:p>
    <w:p w14:paraId="7A11EF4F" w14:textId="57CFFEE0" w:rsidR="004D763E" w:rsidRPr="009A6799" w:rsidRDefault="009A01D2" w:rsidP="009A01D2">
      <w:pPr>
        <w:pStyle w:val="ListParagraph"/>
        <w:numPr>
          <w:ilvl w:val="0"/>
          <w:numId w:val="4"/>
        </w:numPr>
        <w:spacing w:line="480" w:lineRule="auto"/>
        <w:rPr>
          <w:rFonts w:ascii="Times New Roman" w:hAnsi="Times New Roman" w:cs="Times New Roman"/>
          <w:color w:val="000000"/>
        </w:rPr>
      </w:pPr>
      <w:r w:rsidRPr="009A6799">
        <w:rPr>
          <w:rFonts w:ascii="Times New Roman" w:hAnsi="Times New Roman" w:cs="Times New Roman"/>
          <w:b/>
          <w:color w:val="000000"/>
        </w:rPr>
        <w:t>Model Fitting:</w:t>
      </w:r>
      <w:r w:rsidRPr="009A6799">
        <w:rPr>
          <w:rFonts w:ascii="Times New Roman" w:hAnsi="Times New Roman" w:cs="Times New Roman"/>
          <w:color w:val="000000"/>
        </w:rPr>
        <w:t xml:space="preserve"> </w:t>
      </w:r>
      <w:r w:rsidR="009731EB" w:rsidRPr="009A6799">
        <w:rPr>
          <w:rFonts w:ascii="Times New Roman" w:hAnsi="Times New Roman" w:cs="Times New Roman"/>
          <w:color w:val="000000"/>
        </w:rPr>
        <w:t>For each gene</w:t>
      </w:r>
    </w:p>
    <w:p w14:paraId="423C3E7D" w14:textId="525E4113" w:rsidR="0049207A" w:rsidRPr="009A6799" w:rsidRDefault="004D763E" w:rsidP="00205158">
      <w:pPr>
        <w:pStyle w:val="ListParagraph"/>
        <w:numPr>
          <w:ilvl w:val="1"/>
          <w:numId w:val="4"/>
        </w:numPr>
        <w:spacing w:line="480" w:lineRule="auto"/>
        <w:rPr>
          <w:rFonts w:ascii="Times New Roman" w:hAnsi="Times New Roman" w:cs="Times New Roman"/>
          <w:color w:val="000000"/>
        </w:rPr>
      </w:pPr>
      <w:r w:rsidRPr="009A6799">
        <w:rPr>
          <w:rFonts w:ascii="Times New Roman" w:hAnsi="Times New Roman" w:cs="Times New Roman"/>
          <w:color w:val="000000"/>
        </w:rPr>
        <w:t xml:space="preserve">Two impulse models are </w:t>
      </w:r>
      <w:r w:rsidR="009731EB" w:rsidRPr="009A6799">
        <w:rPr>
          <w:rFonts w:ascii="Times New Roman" w:hAnsi="Times New Roman" w:cs="Times New Roman"/>
          <w:color w:val="000000"/>
        </w:rPr>
        <w:t>fit based the highest and lowest value of expression to p</w:t>
      </w:r>
      <w:r w:rsidR="00187517" w:rsidRPr="009A6799">
        <w:rPr>
          <w:rFonts w:ascii="Times New Roman" w:hAnsi="Times New Roman" w:cs="Times New Roman"/>
          <w:color w:val="000000"/>
        </w:rPr>
        <w:t>rovide initial estimates</w:t>
      </w:r>
      <w:r w:rsidR="00806BD7" w:rsidRPr="009A6799">
        <w:rPr>
          <w:rFonts w:ascii="Times New Roman" w:hAnsi="Times New Roman" w:cs="Times New Roman"/>
          <w:color w:val="000000"/>
        </w:rPr>
        <w:t>.</w:t>
      </w:r>
    </w:p>
    <w:p w14:paraId="50DD8D10" w14:textId="2766D7F7" w:rsidR="00806BD7" w:rsidRPr="009A6799" w:rsidRDefault="004E24F8" w:rsidP="00806BD7">
      <w:pPr>
        <w:pStyle w:val="ListParagraph"/>
        <w:numPr>
          <w:ilvl w:val="1"/>
          <w:numId w:val="4"/>
        </w:numPr>
        <w:spacing w:line="480" w:lineRule="auto"/>
        <w:rPr>
          <w:rFonts w:ascii="Times New Roman" w:hAnsi="Times New Roman" w:cs="Times New Roman"/>
          <w:color w:val="000000"/>
        </w:rPr>
      </w:pPr>
      <w:r w:rsidRPr="009A6799">
        <w:rPr>
          <w:rFonts w:ascii="Times New Roman" w:hAnsi="Times New Roman" w:cs="Times New Roman"/>
          <w:color w:val="000000"/>
        </w:rPr>
        <w:lastRenderedPageBreak/>
        <w:t>Optimized impulse parameters</w:t>
      </w:r>
      <w:r w:rsidR="00806BD7" w:rsidRPr="009A6799">
        <w:rPr>
          <w:rFonts w:ascii="Times New Roman" w:hAnsi="Times New Roman" w:cs="Times New Roman"/>
          <w:color w:val="000000"/>
        </w:rPr>
        <w:t xml:space="preserve"> based on the negative binomial log likelihood</w:t>
      </w:r>
      <w:r w:rsidRPr="009A6799">
        <w:rPr>
          <w:rFonts w:ascii="Times New Roman" w:hAnsi="Times New Roman" w:cs="Times New Roman"/>
          <w:color w:val="000000"/>
        </w:rPr>
        <w:t xml:space="preserve"> are achieved through the Broyden-Fletcher-Goldfarb-Shanno algorithm</w:t>
      </w:r>
      <w:r w:rsidR="00806BD7" w:rsidRPr="009A6799">
        <w:rPr>
          <w:rFonts w:ascii="Times New Roman" w:hAnsi="Times New Roman" w:cs="Times New Roman"/>
          <w:color w:val="000000"/>
        </w:rPr>
        <w:t>.</w:t>
      </w:r>
    </w:p>
    <w:p w14:paraId="58911356" w14:textId="28D9AEDB" w:rsidR="00A76361" w:rsidRPr="009A6799" w:rsidRDefault="00A76361" w:rsidP="00806BD7">
      <w:pPr>
        <w:pStyle w:val="ListParagraph"/>
        <w:numPr>
          <w:ilvl w:val="1"/>
          <w:numId w:val="4"/>
        </w:numPr>
        <w:spacing w:line="480" w:lineRule="auto"/>
        <w:rPr>
          <w:rFonts w:ascii="Times New Roman" w:hAnsi="Times New Roman" w:cs="Times New Roman"/>
          <w:color w:val="000000"/>
        </w:rPr>
      </w:pPr>
      <w:r w:rsidRPr="009A6799">
        <w:rPr>
          <w:rFonts w:ascii="Times New Roman" w:hAnsi="Times New Roman" w:cs="Times New Roman"/>
          <w:color w:val="000000"/>
        </w:rPr>
        <w:t>When in a case-control setting this is done for the case samples, control samples, and the “complete” data set.</w:t>
      </w:r>
    </w:p>
    <w:p w14:paraId="06143873" w14:textId="373A5EF9" w:rsidR="00A76361" w:rsidRPr="009A6799" w:rsidRDefault="00806BD7" w:rsidP="009A6799">
      <w:pPr>
        <w:pStyle w:val="ListParagraph"/>
        <w:numPr>
          <w:ilvl w:val="0"/>
          <w:numId w:val="4"/>
        </w:numPr>
        <w:spacing w:line="480" w:lineRule="auto"/>
        <w:rPr>
          <w:rFonts w:ascii="Times New Roman" w:hAnsi="Times New Roman" w:cs="Times New Roman"/>
          <w:color w:val="000000"/>
        </w:rPr>
      </w:pPr>
      <w:r w:rsidRPr="009A6799">
        <w:rPr>
          <w:rFonts w:ascii="Times New Roman" w:hAnsi="Times New Roman" w:cs="Times New Roman"/>
          <w:b/>
          <w:color w:val="000000"/>
        </w:rPr>
        <w:t>Differential expression:</w:t>
      </w:r>
      <w:r w:rsidRPr="009A6799">
        <w:rPr>
          <w:rFonts w:ascii="Times New Roman" w:hAnsi="Times New Roman" w:cs="Times New Roman"/>
          <w:color w:val="000000"/>
        </w:rPr>
        <w:t xml:space="preserve"> For each gene a loglikelihood ratio test is performed and p-values are obtained from a </w:t>
      </w:r>
      <m:oMath>
        <m:sSup>
          <m:sSupPr>
            <m:ctrlPr>
              <w:rPr>
                <w:rFonts w:ascii="Cambria Math" w:hAnsi="Cambria Math" w:cs="Times New Roman"/>
                <w:i/>
                <w:color w:val="000000"/>
              </w:rPr>
            </m:ctrlPr>
          </m:sSupPr>
          <m:e>
            <m:r>
              <w:rPr>
                <w:rFonts w:ascii="Cambria Math" w:hAnsi="Cambria Math" w:cs="Times New Roman"/>
                <w:color w:val="000000"/>
              </w:rPr>
              <m:t>χ</m:t>
            </m:r>
          </m:e>
          <m:sup>
            <m:r>
              <w:rPr>
                <w:rFonts w:ascii="Cambria Math" w:hAnsi="Cambria Math" w:cs="Times New Roman"/>
                <w:color w:val="000000"/>
              </w:rPr>
              <m:t>2</m:t>
            </m:r>
          </m:sup>
        </m:sSup>
      </m:oMath>
      <w:r w:rsidRPr="009A6799">
        <w:rPr>
          <w:rFonts w:ascii="Times New Roman" w:eastAsiaTheme="minorEastAsia" w:hAnsi="Times New Roman" w:cs="Times New Roman"/>
          <w:color w:val="000000"/>
        </w:rPr>
        <w:t xml:space="preserve"> distribution.</w:t>
      </w:r>
      <w:r w:rsidR="009A6799" w:rsidRPr="009A6799">
        <w:rPr>
          <w:rFonts w:ascii="Times New Roman" w:eastAsiaTheme="minorEastAsia" w:hAnsi="Times New Roman" w:cs="Times New Roman"/>
          <w:color w:val="000000"/>
        </w:rPr>
        <w:t xml:space="preserve"> </w:t>
      </w:r>
      <w:r w:rsidR="00A76361" w:rsidRPr="009A6799">
        <w:rPr>
          <w:rFonts w:ascii="Times New Roman" w:hAnsi="Times New Roman" w:cs="Times New Roman"/>
          <w:color w:val="000000"/>
        </w:rPr>
        <w:t>The p-values are then corrected with the Benjamini-Hochberg false-discovery rate.</w:t>
      </w:r>
    </w:p>
    <w:p w14:paraId="36F7C192" w14:textId="2FEFDE76" w:rsidR="00DD20BF" w:rsidRPr="009A6799" w:rsidRDefault="00DD20BF" w:rsidP="00DD20BF">
      <w:pPr>
        <w:spacing w:line="480" w:lineRule="auto"/>
        <w:rPr>
          <w:b/>
          <w:sz w:val="28"/>
        </w:rPr>
      </w:pPr>
      <w:r w:rsidRPr="009A6799">
        <w:rPr>
          <w:b/>
          <w:color w:val="000000"/>
          <w:sz w:val="28"/>
        </w:rPr>
        <w:t>Results:</w:t>
      </w:r>
    </w:p>
    <w:p w14:paraId="6A29FA03" w14:textId="4BF7D6E1" w:rsidR="001B1D01" w:rsidRDefault="005A0BF8" w:rsidP="00F02E62">
      <w:pPr>
        <w:spacing w:line="480" w:lineRule="auto"/>
      </w:pPr>
      <w:r>
        <w:tab/>
      </w:r>
      <w:r w:rsidR="00FD7EE7">
        <w:t>For this report we consider FDR corrected p-values below 0.0001</w:t>
      </w:r>
      <w:r w:rsidR="00FE2387">
        <w:t xml:space="preserve"> are considered to be significantly different. </w:t>
      </w:r>
      <w:r>
        <w:t xml:space="preserve">Of the </w:t>
      </w:r>
      <w:r w:rsidRPr="009A6799">
        <w:rPr>
          <w:color w:val="000000"/>
        </w:rPr>
        <w:t>18,739 genes to analyze</w:t>
      </w:r>
      <w:r>
        <w:rPr>
          <w:color w:val="000000"/>
        </w:rPr>
        <w:t>d</w:t>
      </w:r>
      <w:r>
        <w:t>, there were 5624 genes with strong evidence of different expression trajectories between the PTEN KO and WT genes.</w:t>
      </w:r>
      <w:r w:rsidR="00FD7EE7">
        <w:t xml:space="preserve"> The top</w:t>
      </w:r>
      <w:r w:rsidR="001B1D01">
        <w:t xml:space="preserve"> 15 genes </w:t>
      </w:r>
      <w:r w:rsidR="003F58C5">
        <w:t>based on the FDR adjusted p-value.</w:t>
      </w:r>
    </w:p>
    <w:p w14:paraId="46504DB4" w14:textId="725A7DB5" w:rsidR="00724C9C" w:rsidRPr="003F58C5" w:rsidRDefault="00724C9C" w:rsidP="00724C9C">
      <w:pPr>
        <w:spacing w:line="480" w:lineRule="auto"/>
        <w:jc w:val="center"/>
        <w:rPr>
          <w:i/>
          <w:sz w:val="22"/>
        </w:rPr>
      </w:pPr>
      <w:r w:rsidRPr="003F58C5">
        <w:rPr>
          <w:i/>
          <w:sz w:val="22"/>
        </w:rPr>
        <w:t>Table 1:</w:t>
      </w:r>
      <w:r w:rsidR="003F58C5">
        <w:rPr>
          <w:i/>
          <w:sz w:val="22"/>
        </w:rPr>
        <w:t xml:space="preserve"> Subset of genes with significantly different expression trajectories</w:t>
      </w:r>
    </w:p>
    <w:tbl>
      <w:tblPr>
        <w:tblW w:w="3969" w:type="pct"/>
        <w:tblInd w:w="1089" w:type="dxa"/>
        <w:tblLook w:val="07E0" w:firstRow="1" w:lastRow="1" w:firstColumn="1" w:lastColumn="1" w:noHBand="1" w:noVBand="1"/>
      </w:tblPr>
      <w:tblGrid>
        <w:gridCol w:w="1495"/>
        <w:gridCol w:w="1067"/>
        <w:gridCol w:w="906"/>
        <w:gridCol w:w="1204"/>
        <w:gridCol w:w="1205"/>
        <w:gridCol w:w="767"/>
        <w:gridCol w:w="786"/>
      </w:tblGrid>
      <w:tr w:rsidR="001B1D01" w:rsidRPr="003F58C5" w14:paraId="0E6A8D8F" w14:textId="77777777" w:rsidTr="003F58C5">
        <w:tc>
          <w:tcPr>
            <w:tcW w:w="0" w:type="auto"/>
            <w:tcBorders>
              <w:bottom w:val="single" w:sz="0" w:space="0" w:color="auto"/>
            </w:tcBorders>
            <w:vAlign w:val="bottom"/>
          </w:tcPr>
          <w:p w14:paraId="48A32D50" w14:textId="77777777" w:rsidR="001B1D01" w:rsidRPr="003F58C5" w:rsidRDefault="001B1D01" w:rsidP="001B1D01">
            <w:pPr>
              <w:pStyle w:val="Compact"/>
              <w:rPr>
                <w:sz w:val="21"/>
              </w:rPr>
            </w:pPr>
            <w:r w:rsidRPr="003F58C5">
              <w:rPr>
                <w:sz w:val="21"/>
              </w:rPr>
              <w:t>Gene</w:t>
            </w:r>
          </w:p>
        </w:tc>
        <w:tc>
          <w:tcPr>
            <w:tcW w:w="624" w:type="pct"/>
            <w:tcBorders>
              <w:bottom w:val="single" w:sz="0" w:space="0" w:color="auto"/>
            </w:tcBorders>
            <w:vAlign w:val="bottom"/>
          </w:tcPr>
          <w:p w14:paraId="370E2423" w14:textId="77777777" w:rsidR="001B1D01" w:rsidRPr="003F58C5" w:rsidRDefault="001B1D01" w:rsidP="001B1D01">
            <w:pPr>
              <w:pStyle w:val="Compact"/>
              <w:jc w:val="right"/>
              <w:rPr>
                <w:sz w:val="21"/>
              </w:rPr>
            </w:pPr>
            <w:r w:rsidRPr="003F58C5">
              <w:rPr>
                <w:sz w:val="21"/>
              </w:rPr>
              <w:t>p</w:t>
            </w:r>
          </w:p>
        </w:tc>
        <w:tc>
          <w:tcPr>
            <w:tcW w:w="404" w:type="pct"/>
            <w:tcBorders>
              <w:bottom w:val="single" w:sz="0" w:space="0" w:color="auto"/>
            </w:tcBorders>
            <w:vAlign w:val="bottom"/>
          </w:tcPr>
          <w:p w14:paraId="0C6421D1" w14:textId="77777777" w:rsidR="003F58C5" w:rsidRPr="003F58C5" w:rsidRDefault="003F58C5" w:rsidP="001B1D01">
            <w:pPr>
              <w:pStyle w:val="Compact"/>
              <w:jc w:val="right"/>
              <w:rPr>
                <w:sz w:val="21"/>
                <w:szCs w:val="21"/>
              </w:rPr>
            </w:pPr>
            <w:r w:rsidRPr="003F58C5">
              <w:rPr>
                <w:sz w:val="21"/>
                <w:szCs w:val="21"/>
              </w:rPr>
              <w:t xml:space="preserve">FDR </w:t>
            </w:r>
          </w:p>
          <w:p w14:paraId="348D36E5" w14:textId="78721761" w:rsidR="001B1D01" w:rsidRPr="003F58C5" w:rsidRDefault="003F58C5" w:rsidP="001B1D01">
            <w:pPr>
              <w:pStyle w:val="Compact"/>
              <w:jc w:val="right"/>
              <w:rPr>
                <w:sz w:val="18"/>
              </w:rPr>
            </w:pPr>
            <w:r w:rsidRPr="003F58C5">
              <w:rPr>
                <w:sz w:val="21"/>
                <w:szCs w:val="21"/>
              </w:rPr>
              <w:t>p-value</w:t>
            </w:r>
          </w:p>
        </w:tc>
        <w:tc>
          <w:tcPr>
            <w:tcW w:w="0" w:type="auto"/>
            <w:tcBorders>
              <w:bottom w:val="single" w:sz="0" w:space="0" w:color="auto"/>
            </w:tcBorders>
            <w:vAlign w:val="bottom"/>
          </w:tcPr>
          <w:p w14:paraId="287FC36A" w14:textId="77777777" w:rsidR="001B1D01" w:rsidRPr="003F58C5" w:rsidRDefault="001B1D01" w:rsidP="001B1D01">
            <w:pPr>
              <w:pStyle w:val="Compact"/>
              <w:jc w:val="right"/>
              <w:rPr>
                <w:sz w:val="21"/>
              </w:rPr>
            </w:pPr>
            <w:r w:rsidRPr="003F58C5">
              <w:rPr>
                <w:sz w:val="21"/>
              </w:rPr>
              <w:t>loglik_full</w:t>
            </w:r>
          </w:p>
        </w:tc>
        <w:tc>
          <w:tcPr>
            <w:tcW w:w="0" w:type="auto"/>
            <w:tcBorders>
              <w:bottom w:val="single" w:sz="0" w:space="0" w:color="auto"/>
            </w:tcBorders>
            <w:vAlign w:val="bottom"/>
          </w:tcPr>
          <w:p w14:paraId="48787347" w14:textId="77777777" w:rsidR="001B1D01" w:rsidRPr="003F58C5" w:rsidRDefault="001B1D01" w:rsidP="001B1D01">
            <w:pPr>
              <w:pStyle w:val="Compact"/>
              <w:jc w:val="right"/>
              <w:rPr>
                <w:sz w:val="21"/>
              </w:rPr>
            </w:pPr>
            <w:r w:rsidRPr="003F58C5">
              <w:rPr>
                <w:sz w:val="21"/>
              </w:rPr>
              <w:t>loglik_red</w:t>
            </w:r>
          </w:p>
        </w:tc>
        <w:tc>
          <w:tcPr>
            <w:tcW w:w="0" w:type="auto"/>
            <w:tcBorders>
              <w:bottom w:val="single" w:sz="0" w:space="0" w:color="auto"/>
            </w:tcBorders>
            <w:vAlign w:val="bottom"/>
          </w:tcPr>
          <w:p w14:paraId="4FEB465B" w14:textId="77777777" w:rsidR="001B1D01" w:rsidRPr="003F58C5" w:rsidRDefault="001B1D01" w:rsidP="001B1D01">
            <w:pPr>
              <w:pStyle w:val="Compact"/>
              <w:jc w:val="right"/>
              <w:rPr>
                <w:sz w:val="21"/>
              </w:rPr>
            </w:pPr>
            <w:r w:rsidRPr="003F58C5">
              <w:rPr>
                <w:sz w:val="21"/>
              </w:rPr>
              <w:t>df_full</w:t>
            </w:r>
          </w:p>
        </w:tc>
        <w:tc>
          <w:tcPr>
            <w:tcW w:w="0" w:type="auto"/>
            <w:tcBorders>
              <w:bottom w:val="single" w:sz="0" w:space="0" w:color="auto"/>
            </w:tcBorders>
            <w:vAlign w:val="bottom"/>
          </w:tcPr>
          <w:p w14:paraId="0FF6E98D" w14:textId="77777777" w:rsidR="001B1D01" w:rsidRPr="003F58C5" w:rsidRDefault="001B1D01" w:rsidP="001B1D01">
            <w:pPr>
              <w:pStyle w:val="Compact"/>
              <w:jc w:val="right"/>
              <w:rPr>
                <w:sz w:val="21"/>
              </w:rPr>
            </w:pPr>
            <w:r w:rsidRPr="003F58C5">
              <w:rPr>
                <w:sz w:val="21"/>
              </w:rPr>
              <w:t>df_red</w:t>
            </w:r>
          </w:p>
        </w:tc>
      </w:tr>
      <w:tr w:rsidR="003F58C5" w:rsidRPr="003F58C5" w14:paraId="785BA050" w14:textId="77777777" w:rsidTr="003F58C5">
        <w:tc>
          <w:tcPr>
            <w:tcW w:w="0" w:type="auto"/>
          </w:tcPr>
          <w:p w14:paraId="28C5576E" w14:textId="77777777" w:rsidR="003F58C5" w:rsidRPr="003F58C5" w:rsidRDefault="003F58C5" w:rsidP="001B1D01">
            <w:pPr>
              <w:pStyle w:val="Compact"/>
              <w:rPr>
                <w:sz w:val="16"/>
              </w:rPr>
            </w:pPr>
            <w:r w:rsidRPr="003F58C5">
              <w:rPr>
                <w:sz w:val="16"/>
              </w:rPr>
              <w:t>ENSG00000002746</w:t>
            </w:r>
          </w:p>
        </w:tc>
        <w:tc>
          <w:tcPr>
            <w:tcW w:w="624" w:type="pct"/>
          </w:tcPr>
          <w:p w14:paraId="35B7DE72" w14:textId="44BC20C6" w:rsidR="003F58C5" w:rsidRPr="003F58C5" w:rsidRDefault="003F58C5" w:rsidP="001B1D01">
            <w:pPr>
              <w:pStyle w:val="Compact"/>
              <w:jc w:val="right"/>
              <w:rPr>
                <w:sz w:val="21"/>
              </w:rPr>
            </w:pPr>
            <w:r w:rsidRPr="00577C19">
              <w:rPr>
                <w:sz w:val="21"/>
              </w:rPr>
              <w:t>&lt;0.0001</w:t>
            </w:r>
          </w:p>
        </w:tc>
        <w:tc>
          <w:tcPr>
            <w:tcW w:w="404" w:type="pct"/>
          </w:tcPr>
          <w:p w14:paraId="69DD79D4" w14:textId="05ABB1B9" w:rsidR="003F58C5" w:rsidRPr="003F58C5" w:rsidRDefault="003F58C5" w:rsidP="001B1D01">
            <w:pPr>
              <w:pStyle w:val="Compact"/>
              <w:jc w:val="right"/>
              <w:rPr>
                <w:sz w:val="21"/>
              </w:rPr>
            </w:pPr>
            <w:r w:rsidRPr="00577C19">
              <w:rPr>
                <w:sz w:val="21"/>
              </w:rPr>
              <w:t>&lt;0.0001</w:t>
            </w:r>
          </w:p>
        </w:tc>
        <w:tc>
          <w:tcPr>
            <w:tcW w:w="0" w:type="auto"/>
          </w:tcPr>
          <w:p w14:paraId="70979F9E" w14:textId="77777777" w:rsidR="003F58C5" w:rsidRPr="003F58C5" w:rsidRDefault="003F58C5" w:rsidP="001B1D01">
            <w:pPr>
              <w:pStyle w:val="Compact"/>
              <w:jc w:val="right"/>
              <w:rPr>
                <w:sz w:val="21"/>
              </w:rPr>
            </w:pPr>
            <w:r w:rsidRPr="003F58C5">
              <w:rPr>
                <w:sz w:val="21"/>
              </w:rPr>
              <w:t>-111.79054</w:t>
            </w:r>
          </w:p>
        </w:tc>
        <w:tc>
          <w:tcPr>
            <w:tcW w:w="0" w:type="auto"/>
          </w:tcPr>
          <w:p w14:paraId="03D355EE" w14:textId="77777777" w:rsidR="003F58C5" w:rsidRPr="003F58C5" w:rsidRDefault="003F58C5" w:rsidP="001B1D01">
            <w:pPr>
              <w:pStyle w:val="Compact"/>
              <w:jc w:val="right"/>
              <w:rPr>
                <w:sz w:val="21"/>
              </w:rPr>
            </w:pPr>
            <w:r w:rsidRPr="003F58C5">
              <w:rPr>
                <w:sz w:val="21"/>
              </w:rPr>
              <w:t>-1044.9631</w:t>
            </w:r>
          </w:p>
        </w:tc>
        <w:tc>
          <w:tcPr>
            <w:tcW w:w="0" w:type="auto"/>
          </w:tcPr>
          <w:p w14:paraId="5D9443BB" w14:textId="77777777" w:rsidR="003F58C5" w:rsidRPr="003F58C5" w:rsidRDefault="003F58C5" w:rsidP="001B1D01">
            <w:pPr>
              <w:pStyle w:val="Compact"/>
              <w:jc w:val="right"/>
              <w:rPr>
                <w:sz w:val="21"/>
              </w:rPr>
            </w:pPr>
            <w:r w:rsidRPr="003F58C5">
              <w:rPr>
                <w:sz w:val="21"/>
              </w:rPr>
              <w:t>13</w:t>
            </w:r>
          </w:p>
        </w:tc>
        <w:tc>
          <w:tcPr>
            <w:tcW w:w="0" w:type="auto"/>
          </w:tcPr>
          <w:p w14:paraId="1BF74696" w14:textId="77777777" w:rsidR="003F58C5" w:rsidRPr="003F58C5" w:rsidRDefault="003F58C5" w:rsidP="001B1D01">
            <w:pPr>
              <w:pStyle w:val="Compact"/>
              <w:jc w:val="right"/>
              <w:rPr>
                <w:sz w:val="21"/>
              </w:rPr>
            </w:pPr>
            <w:r w:rsidRPr="003F58C5">
              <w:rPr>
                <w:sz w:val="21"/>
              </w:rPr>
              <w:t>7</w:t>
            </w:r>
          </w:p>
        </w:tc>
      </w:tr>
      <w:tr w:rsidR="003F58C5" w:rsidRPr="003F58C5" w14:paraId="6831D876" w14:textId="77777777" w:rsidTr="003F58C5">
        <w:tc>
          <w:tcPr>
            <w:tcW w:w="0" w:type="auto"/>
          </w:tcPr>
          <w:p w14:paraId="6E220343" w14:textId="77777777" w:rsidR="003F58C5" w:rsidRPr="003F58C5" w:rsidRDefault="003F58C5" w:rsidP="001B1D01">
            <w:pPr>
              <w:pStyle w:val="Compact"/>
              <w:rPr>
                <w:sz w:val="16"/>
              </w:rPr>
            </w:pPr>
            <w:r w:rsidRPr="003F58C5">
              <w:rPr>
                <w:sz w:val="16"/>
              </w:rPr>
              <w:t>ENSG00000003436</w:t>
            </w:r>
          </w:p>
        </w:tc>
        <w:tc>
          <w:tcPr>
            <w:tcW w:w="624" w:type="pct"/>
          </w:tcPr>
          <w:p w14:paraId="29E41841" w14:textId="0534024B" w:rsidR="003F58C5" w:rsidRPr="003F58C5" w:rsidRDefault="003F58C5" w:rsidP="001B1D01">
            <w:pPr>
              <w:pStyle w:val="Compact"/>
              <w:jc w:val="right"/>
              <w:rPr>
                <w:sz w:val="21"/>
              </w:rPr>
            </w:pPr>
            <w:r w:rsidRPr="00577C19">
              <w:rPr>
                <w:sz w:val="21"/>
              </w:rPr>
              <w:t>&lt;0.0001</w:t>
            </w:r>
          </w:p>
        </w:tc>
        <w:tc>
          <w:tcPr>
            <w:tcW w:w="404" w:type="pct"/>
          </w:tcPr>
          <w:p w14:paraId="2E833348" w14:textId="3BE950CD" w:rsidR="003F58C5" w:rsidRPr="003F58C5" w:rsidRDefault="003F58C5" w:rsidP="001B1D01">
            <w:pPr>
              <w:pStyle w:val="Compact"/>
              <w:jc w:val="right"/>
              <w:rPr>
                <w:sz w:val="21"/>
              </w:rPr>
            </w:pPr>
            <w:r w:rsidRPr="00577C19">
              <w:rPr>
                <w:sz w:val="21"/>
              </w:rPr>
              <w:t>&lt;0.0001</w:t>
            </w:r>
          </w:p>
        </w:tc>
        <w:tc>
          <w:tcPr>
            <w:tcW w:w="0" w:type="auto"/>
          </w:tcPr>
          <w:p w14:paraId="7A531770" w14:textId="77777777" w:rsidR="003F58C5" w:rsidRPr="003F58C5" w:rsidRDefault="003F58C5" w:rsidP="001B1D01">
            <w:pPr>
              <w:pStyle w:val="Compact"/>
              <w:jc w:val="right"/>
              <w:rPr>
                <w:sz w:val="21"/>
              </w:rPr>
            </w:pPr>
            <w:r w:rsidRPr="003F58C5">
              <w:rPr>
                <w:sz w:val="21"/>
              </w:rPr>
              <w:t>-218.48421</w:t>
            </w:r>
          </w:p>
        </w:tc>
        <w:tc>
          <w:tcPr>
            <w:tcW w:w="0" w:type="auto"/>
          </w:tcPr>
          <w:p w14:paraId="60B70C10" w14:textId="77777777" w:rsidR="003F58C5" w:rsidRPr="003F58C5" w:rsidRDefault="003F58C5" w:rsidP="001B1D01">
            <w:pPr>
              <w:pStyle w:val="Compact"/>
              <w:jc w:val="right"/>
              <w:rPr>
                <w:sz w:val="21"/>
              </w:rPr>
            </w:pPr>
            <w:r w:rsidRPr="003F58C5">
              <w:rPr>
                <w:sz w:val="21"/>
              </w:rPr>
              <w:t>-1032.9923</w:t>
            </w:r>
          </w:p>
        </w:tc>
        <w:tc>
          <w:tcPr>
            <w:tcW w:w="0" w:type="auto"/>
          </w:tcPr>
          <w:p w14:paraId="69569CB3" w14:textId="77777777" w:rsidR="003F58C5" w:rsidRPr="003F58C5" w:rsidRDefault="003F58C5" w:rsidP="001B1D01">
            <w:pPr>
              <w:pStyle w:val="Compact"/>
              <w:jc w:val="right"/>
              <w:rPr>
                <w:sz w:val="21"/>
              </w:rPr>
            </w:pPr>
            <w:r w:rsidRPr="003F58C5">
              <w:rPr>
                <w:sz w:val="21"/>
              </w:rPr>
              <w:t>13</w:t>
            </w:r>
          </w:p>
        </w:tc>
        <w:tc>
          <w:tcPr>
            <w:tcW w:w="0" w:type="auto"/>
          </w:tcPr>
          <w:p w14:paraId="3AC66588" w14:textId="77777777" w:rsidR="003F58C5" w:rsidRPr="003F58C5" w:rsidRDefault="003F58C5" w:rsidP="001B1D01">
            <w:pPr>
              <w:pStyle w:val="Compact"/>
              <w:jc w:val="right"/>
              <w:rPr>
                <w:sz w:val="21"/>
              </w:rPr>
            </w:pPr>
            <w:r w:rsidRPr="003F58C5">
              <w:rPr>
                <w:sz w:val="21"/>
              </w:rPr>
              <w:t>7</w:t>
            </w:r>
          </w:p>
        </w:tc>
      </w:tr>
      <w:tr w:rsidR="003F58C5" w:rsidRPr="003F58C5" w14:paraId="399751B5" w14:textId="77777777" w:rsidTr="003F58C5">
        <w:tc>
          <w:tcPr>
            <w:tcW w:w="0" w:type="auto"/>
          </w:tcPr>
          <w:p w14:paraId="5B4A20B3" w14:textId="77777777" w:rsidR="003F58C5" w:rsidRPr="003F58C5" w:rsidRDefault="003F58C5" w:rsidP="001B1D01">
            <w:pPr>
              <w:pStyle w:val="Compact"/>
              <w:rPr>
                <w:sz w:val="16"/>
              </w:rPr>
            </w:pPr>
            <w:r w:rsidRPr="003F58C5">
              <w:rPr>
                <w:sz w:val="16"/>
              </w:rPr>
              <w:t>ENSG00000008838</w:t>
            </w:r>
          </w:p>
        </w:tc>
        <w:tc>
          <w:tcPr>
            <w:tcW w:w="624" w:type="pct"/>
          </w:tcPr>
          <w:p w14:paraId="45D55A34" w14:textId="7A0F5825" w:rsidR="003F58C5" w:rsidRPr="003F58C5" w:rsidRDefault="003F58C5" w:rsidP="001B1D01">
            <w:pPr>
              <w:pStyle w:val="Compact"/>
              <w:jc w:val="right"/>
              <w:rPr>
                <w:sz w:val="21"/>
              </w:rPr>
            </w:pPr>
            <w:r w:rsidRPr="00577C19">
              <w:rPr>
                <w:sz w:val="21"/>
              </w:rPr>
              <w:t>&lt;0.0001</w:t>
            </w:r>
          </w:p>
        </w:tc>
        <w:tc>
          <w:tcPr>
            <w:tcW w:w="404" w:type="pct"/>
          </w:tcPr>
          <w:p w14:paraId="24F25B4D" w14:textId="6A577A10" w:rsidR="003F58C5" w:rsidRPr="003F58C5" w:rsidRDefault="003F58C5" w:rsidP="001B1D01">
            <w:pPr>
              <w:pStyle w:val="Compact"/>
              <w:jc w:val="right"/>
              <w:rPr>
                <w:sz w:val="21"/>
              </w:rPr>
            </w:pPr>
            <w:r w:rsidRPr="00577C19">
              <w:rPr>
                <w:sz w:val="21"/>
              </w:rPr>
              <w:t>&lt;0.0001</w:t>
            </w:r>
          </w:p>
        </w:tc>
        <w:tc>
          <w:tcPr>
            <w:tcW w:w="0" w:type="auto"/>
          </w:tcPr>
          <w:p w14:paraId="00A56DB9" w14:textId="77777777" w:rsidR="003F58C5" w:rsidRPr="003F58C5" w:rsidRDefault="003F58C5" w:rsidP="001B1D01">
            <w:pPr>
              <w:pStyle w:val="Compact"/>
              <w:jc w:val="right"/>
              <w:rPr>
                <w:sz w:val="21"/>
              </w:rPr>
            </w:pPr>
            <w:r w:rsidRPr="003F58C5">
              <w:rPr>
                <w:sz w:val="21"/>
              </w:rPr>
              <w:t>-244.61721</w:t>
            </w:r>
          </w:p>
        </w:tc>
        <w:tc>
          <w:tcPr>
            <w:tcW w:w="0" w:type="auto"/>
          </w:tcPr>
          <w:p w14:paraId="656EF007" w14:textId="77777777" w:rsidR="003F58C5" w:rsidRPr="003F58C5" w:rsidRDefault="003F58C5" w:rsidP="001B1D01">
            <w:pPr>
              <w:pStyle w:val="Compact"/>
              <w:jc w:val="right"/>
              <w:rPr>
                <w:sz w:val="21"/>
              </w:rPr>
            </w:pPr>
            <w:r w:rsidRPr="003F58C5">
              <w:rPr>
                <w:sz w:val="21"/>
              </w:rPr>
              <w:t>-2382.1205</w:t>
            </w:r>
          </w:p>
        </w:tc>
        <w:tc>
          <w:tcPr>
            <w:tcW w:w="0" w:type="auto"/>
          </w:tcPr>
          <w:p w14:paraId="6BFB219F" w14:textId="77777777" w:rsidR="003F58C5" w:rsidRPr="003F58C5" w:rsidRDefault="003F58C5" w:rsidP="001B1D01">
            <w:pPr>
              <w:pStyle w:val="Compact"/>
              <w:jc w:val="right"/>
              <w:rPr>
                <w:sz w:val="21"/>
              </w:rPr>
            </w:pPr>
            <w:r w:rsidRPr="003F58C5">
              <w:rPr>
                <w:sz w:val="21"/>
              </w:rPr>
              <w:t>13</w:t>
            </w:r>
          </w:p>
        </w:tc>
        <w:tc>
          <w:tcPr>
            <w:tcW w:w="0" w:type="auto"/>
          </w:tcPr>
          <w:p w14:paraId="1C45B757" w14:textId="77777777" w:rsidR="003F58C5" w:rsidRPr="003F58C5" w:rsidRDefault="003F58C5" w:rsidP="001B1D01">
            <w:pPr>
              <w:pStyle w:val="Compact"/>
              <w:jc w:val="right"/>
              <w:rPr>
                <w:sz w:val="21"/>
              </w:rPr>
            </w:pPr>
            <w:r w:rsidRPr="003F58C5">
              <w:rPr>
                <w:sz w:val="21"/>
              </w:rPr>
              <w:t>7</w:t>
            </w:r>
          </w:p>
        </w:tc>
      </w:tr>
      <w:tr w:rsidR="003F58C5" w:rsidRPr="003F58C5" w14:paraId="1C450379" w14:textId="77777777" w:rsidTr="003F58C5">
        <w:tc>
          <w:tcPr>
            <w:tcW w:w="0" w:type="auto"/>
          </w:tcPr>
          <w:p w14:paraId="7D266311" w14:textId="77777777" w:rsidR="003F58C5" w:rsidRPr="003F58C5" w:rsidRDefault="003F58C5" w:rsidP="001B1D01">
            <w:pPr>
              <w:pStyle w:val="Compact"/>
              <w:rPr>
                <w:sz w:val="16"/>
              </w:rPr>
            </w:pPr>
            <w:r w:rsidRPr="003F58C5">
              <w:rPr>
                <w:sz w:val="16"/>
              </w:rPr>
              <w:t>ENSG00000011028</w:t>
            </w:r>
          </w:p>
        </w:tc>
        <w:tc>
          <w:tcPr>
            <w:tcW w:w="624" w:type="pct"/>
          </w:tcPr>
          <w:p w14:paraId="44B38CF8" w14:textId="01BF172E" w:rsidR="003F58C5" w:rsidRPr="003F58C5" w:rsidRDefault="003F58C5" w:rsidP="001B1D01">
            <w:pPr>
              <w:pStyle w:val="Compact"/>
              <w:jc w:val="right"/>
              <w:rPr>
                <w:sz w:val="21"/>
              </w:rPr>
            </w:pPr>
            <w:r w:rsidRPr="00577C19">
              <w:rPr>
                <w:sz w:val="21"/>
              </w:rPr>
              <w:t>&lt;0.0001</w:t>
            </w:r>
          </w:p>
        </w:tc>
        <w:tc>
          <w:tcPr>
            <w:tcW w:w="404" w:type="pct"/>
          </w:tcPr>
          <w:p w14:paraId="3733E16F" w14:textId="4EFDF775" w:rsidR="003F58C5" w:rsidRPr="003F58C5" w:rsidRDefault="003F58C5" w:rsidP="001B1D01">
            <w:pPr>
              <w:pStyle w:val="Compact"/>
              <w:jc w:val="right"/>
              <w:rPr>
                <w:sz w:val="21"/>
              </w:rPr>
            </w:pPr>
            <w:r w:rsidRPr="00577C19">
              <w:rPr>
                <w:sz w:val="21"/>
              </w:rPr>
              <w:t>&lt;0.0001</w:t>
            </w:r>
          </w:p>
        </w:tc>
        <w:tc>
          <w:tcPr>
            <w:tcW w:w="0" w:type="auto"/>
          </w:tcPr>
          <w:p w14:paraId="5C5C22E8" w14:textId="77777777" w:rsidR="003F58C5" w:rsidRPr="003F58C5" w:rsidRDefault="003F58C5" w:rsidP="001B1D01">
            <w:pPr>
              <w:pStyle w:val="Compact"/>
              <w:jc w:val="right"/>
              <w:rPr>
                <w:sz w:val="21"/>
              </w:rPr>
            </w:pPr>
            <w:r w:rsidRPr="003F58C5">
              <w:rPr>
                <w:sz w:val="21"/>
              </w:rPr>
              <w:t>-175.74094</w:t>
            </w:r>
          </w:p>
        </w:tc>
        <w:tc>
          <w:tcPr>
            <w:tcW w:w="0" w:type="auto"/>
          </w:tcPr>
          <w:p w14:paraId="55B41857" w14:textId="77777777" w:rsidR="003F58C5" w:rsidRPr="003F58C5" w:rsidRDefault="003F58C5" w:rsidP="001B1D01">
            <w:pPr>
              <w:pStyle w:val="Compact"/>
              <w:jc w:val="right"/>
              <w:rPr>
                <w:sz w:val="21"/>
              </w:rPr>
            </w:pPr>
            <w:r w:rsidRPr="003F58C5">
              <w:rPr>
                <w:sz w:val="21"/>
              </w:rPr>
              <w:t>-2912.8379</w:t>
            </w:r>
          </w:p>
        </w:tc>
        <w:tc>
          <w:tcPr>
            <w:tcW w:w="0" w:type="auto"/>
          </w:tcPr>
          <w:p w14:paraId="79169752" w14:textId="77777777" w:rsidR="003F58C5" w:rsidRPr="003F58C5" w:rsidRDefault="003F58C5" w:rsidP="001B1D01">
            <w:pPr>
              <w:pStyle w:val="Compact"/>
              <w:jc w:val="right"/>
              <w:rPr>
                <w:sz w:val="21"/>
              </w:rPr>
            </w:pPr>
            <w:r w:rsidRPr="003F58C5">
              <w:rPr>
                <w:sz w:val="21"/>
              </w:rPr>
              <w:t>13</w:t>
            </w:r>
          </w:p>
        </w:tc>
        <w:tc>
          <w:tcPr>
            <w:tcW w:w="0" w:type="auto"/>
          </w:tcPr>
          <w:p w14:paraId="72B81D32" w14:textId="77777777" w:rsidR="003F58C5" w:rsidRPr="003F58C5" w:rsidRDefault="003F58C5" w:rsidP="001B1D01">
            <w:pPr>
              <w:pStyle w:val="Compact"/>
              <w:jc w:val="right"/>
              <w:rPr>
                <w:sz w:val="21"/>
              </w:rPr>
            </w:pPr>
            <w:r w:rsidRPr="003F58C5">
              <w:rPr>
                <w:sz w:val="21"/>
              </w:rPr>
              <w:t>7</w:t>
            </w:r>
          </w:p>
        </w:tc>
      </w:tr>
      <w:tr w:rsidR="003F58C5" w:rsidRPr="003F58C5" w14:paraId="442E6D4B" w14:textId="77777777" w:rsidTr="003F58C5">
        <w:tc>
          <w:tcPr>
            <w:tcW w:w="0" w:type="auto"/>
          </w:tcPr>
          <w:p w14:paraId="1EA2F99F" w14:textId="77777777" w:rsidR="003F58C5" w:rsidRPr="003F58C5" w:rsidRDefault="003F58C5" w:rsidP="001B1D01">
            <w:pPr>
              <w:pStyle w:val="Compact"/>
              <w:rPr>
                <w:sz w:val="16"/>
              </w:rPr>
            </w:pPr>
            <w:r w:rsidRPr="003F58C5">
              <w:rPr>
                <w:sz w:val="16"/>
              </w:rPr>
              <w:t>ENSG00000016391</w:t>
            </w:r>
          </w:p>
        </w:tc>
        <w:tc>
          <w:tcPr>
            <w:tcW w:w="624" w:type="pct"/>
          </w:tcPr>
          <w:p w14:paraId="6D4F193B" w14:textId="762AE595" w:rsidR="003F58C5" w:rsidRPr="003F58C5" w:rsidRDefault="003F58C5" w:rsidP="001B1D01">
            <w:pPr>
              <w:pStyle w:val="Compact"/>
              <w:jc w:val="right"/>
              <w:rPr>
                <w:sz w:val="21"/>
              </w:rPr>
            </w:pPr>
            <w:r w:rsidRPr="00577C19">
              <w:rPr>
                <w:sz w:val="21"/>
              </w:rPr>
              <w:t>&lt;0.0001</w:t>
            </w:r>
          </w:p>
        </w:tc>
        <w:tc>
          <w:tcPr>
            <w:tcW w:w="404" w:type="pct"/>
          </w:tcPr>
          <w:p w14:paraId="0E87EFC9" w14:textId="43DC3CE0" w:rsidR="003F58C5" w:rsidRPr="003F58C5" w:rsidRDefault="003F58C5" w:rsidP="001B1D01">
            <w:pPr>
              <w:pStyle w:val="Compact"/>
              <w:jc w:val="right"/>
              <w:rPr>
                <w:sz w:val="21"/>
              </w:rPr>
            </w:pPr>
            <w:r w:rsidRPr="00577C19">
              <w:rPr>
                <w:sz w:val="21"/>
              </w:rPr>
              <w:t>&lt;0.0001</w:t>
            </w:r>
          </w:p>
        </w:tc>
        <w:tc>
          <w:tcPr>
            <w:tcW w:w="0" w:type="auto"/>
          </w:tcPr>
          <w:p w14:paraId="1006B588" w14:textId="77777777" w:rsidR="003F58C5" w:rsidRPr="003F58C5" w:rsidRDefault="003F58C5" w:rsidP="001B1D01">
            <w:pPr>
              <w:pStyle w:val="Compact"/>
              <w:jc w:val="right"/>
              <w:rPr>
                <w:sz w:val="21"/>
              </w:rPr>
            </w:pPr>
            <w:r w:rsidRPr="003F58C5">
              <w:rPr>
                <w:sz w:val="21"/>
              </w:rPr>
              <w:t>-102.72703</w:t>
            </w:r>
          </w:p>
        </w:tc>
        <w:tc>
          <w:tcPr>
            <w:tcW w:w="0" w:type="auto"/>
          </w:tcPr>
          <w:p w14:paraId="6C6EEF21" w14:textId="77777777" w:rsidR="003F58C5" w:rsidRPr="003F58C5" w:rsidRDefault="003F58C5" w:rsidP="001B1D01">
            <w:pPr>
              <w:pStyle w:val="Compact"/>
              <w:jc w:val="right"/>
              <w:rPr>
                <w:sz w:val="21"/>
              </w:rPr>
            </w:pPr>
            <w:r w:rsidRPr="003F58C5">
              <w:rPr>
                <w:sz w:val="21"/>
              </w:rPr>
              <w:t>-1402.2684</w:t>
            </w:r>
          </w:p>
        </w:tc>
        <w:tc>
          <w:tcPr>
            <w:tcW w:w="0" w:type="auto"/>
          </w:tcPr>
          <w:p w14:paraId="76D8C530" w14:textId="77777777" w:rsidR="003F58C5" w:rsidRPr="003F58C5" w:rsidRDefault="003F58C5" w:rsidP="001B1D01">
            <w:pPr>
              <w:pStyle w:val="Compact"/>
              <w:jc w:val="right"/>
              <w:rPr>
                <w:sz w:val="21"/>
              </w:rPr>
            </w:pPr>
            <w:r w:rsidRPr="003F58C5">
              <w:rPr>
                <w:sz w:val="21"/>
              </w:rPr>
              <w:t>13</w:t>
            </w:r>
          </w:p>
        </w:tc>
        <w:tc>
          <w:tcPr>
            <w:tcW w:w="0" w:type="auto"/>
          </w:tcPr>
          <w:p w14:paraId="7511BA8B" w14:textId="77777777" w:rsidR="003F58C5" w:rsidRPr="003F58C5" w:rsidRDefault="003F58C5" w:rsidP="001B1D01">
            <w:pPr>
              <w:pStyle w:val="Compact"/>
              <w:jc w:val="right"/>
              <w:rPr>
                <w:sz w:val="21"/>
              </w:rPr>
            </w:pPr>
            <w:r w:rsidRPr="003F58C5">
              <w:rPr>
                <w:sz w:val="21"/>
              </w:rPr>
              <w:t>7</w:t>
            </w:r>
          </w:p>
        </w:tc>
      </w:tr>
      <w:tr w:rsidR="003F58C5" w:rsidRPr="003F58C5" w14:paraId="021A0E22" w14:textId="77777777" w:rsidTr="003F58C5">
        <w:tc>
          <w:tcPr>
            <w:tcW w:w="0" w:type="auto"/>
          </w:tcPr>
          <w:p w14:paraId="4423A765" w14:textId="77777777" w:rsidR="003F58C5" w:rsidRPr="003F58C5" w:rsidRDefault="003F58C5" w:rsidP="001B1D01">
            <w:pPr>
              <w:pStyle w:val="Compact"/>
              <w:rPr>
                <w:sz w:val="16"/>
              </w:rPr>
            </w:pPr>
            <w:r w:rsidRPr="003F58C5">
              <w:rPr>
                <w:sz w:val="16"/>
              </w:rPr>
              <w:t>ENSG00000023839</w:t>
            </w:r>
          </w:p>
        </w:tc>
        <w:tc>
          <w:tcPr>
            <w:tcW w:w="624" w:type="pct"/>
          </w:tcPr>
          <w:p w14:paraId="26D99CAB" w14:textId="0228EB03" w:rsidR="003F58C5" w:rsidRPr="003F58C5" w:rsidRDefault="003F58C5" w:rsidP="001B1D01">
            <w:pPr>
              <w:pStyle w:val="Compact"/>
              <w:jc w:val="right"/>
              <w:rPr>
                <w:sz w:val="21"/>
              </w:rPr>
            </w:pPr>
            <w:r w:rsidRPr="00577C19">
              <w:rPr>
                <w:sz w:val="21"/>
              </w:rPr>
              <w:t>&lt;0.0001</w:t>
            </w:r>
          </w:p>
        </w:tc>
        <w:tc>
          <w:tcPr>
            <w:tcW w:w="404" w:type="pct"/>
          </w:tcPr>
          <w:p w14:paraId="055C10D6" w14:textId="03D16F5F" w:rsidR="003F58C5" w:rsidRPr="003F58C5" w:rsidRDefault="003F58C5" w:rsidP="001B1D01">
            <w:pPr>
              <w:pStyle w:val="Compact"/>
              <w:jc w:val="right"/>
              <w:rPr>
                <w:sz w:val="21"/>
              </w:rPr>
            </w:pPr>
            <w:r w:rsidRPr="00577C19">
              <w:rPr>
                <w:sz w:val="21"/>
              </w:rPr>
              <w:t>&lt;0.0001</w:t>
            </w:r>
          </w:p>
        </w:tc>
        <w:tc>
          <w:tcPr>
            <w:tcW w:w="0" w:type="auto"/>
          </w:tcPr>
          <w:p w14:paraId="37FE8482" w14:textId="77777777" w:rsidR="003F58C5" w:rsidRPr="003F58C5" w:rsidRDefault="003F58C5" w:rsidP="001B1D01">
            <w:pPr>
              <w:pStyle w:val="Compact"/>
              <w:jc w:val="right"/>
              <w:rPr>
                <w:sz w:val="21"/>
              </w:rPr>
            </w:pPr>
            <w:r w:rsidRPr="003F58C5">
              <w:rPr>
                <w:sz w:val="21"/>
              </w:rPr>
              <w:t>-238.46701</w:t>
            </w:r>
          </w:p>
        </w:tc>
        <w:tc>
          <w:tcPr>
            <w:tcW w:w="0" w:type="auto"/>
          </w:tcPr>
          <w:p w14:paraId="3A2E53DB" w14:textId="77777777" w:rsidR="003F58C5" w:rsidRPr="003F58C5" w:rsidRDefault="003F58C5" w:rsidP="001B1D01">
            <w:pPr>
              <w:pStyle w:val="Compact"/>
              <w:jc w:val="right"/>
              <w:rPr>
                <w:sz w:val="21"/>
              </w:rPr>
            </w:pPr>
            <w:r w:rsidRPr="003F58C5">
              <w:rPr>
                <w:sz w:val="21"/>
              </w:rPr>
              <w:t>-2743.2108</w:t>
            </w:r>
          </w:p>
        </w:tc>
        <w:tc>
          <w:tcPr>
            <w:tcW w:w="0" w:type="auto"/>
          </w:tcPr>
          <w:p w14:paraId="1E53D03A" w14:textId="77777777" w:rsidR="003F58C5" w:rsidRPr="003F58C5" w:rsidRDefault="003F58C5" w:rsidP="001B1D01">
            <w:pPr>
              <w:pStyle w:val="Compact"/>
              <w:jc w:val="right"/>
              <w:rPr>
                <w:sz w:val="21"/>
              </w:rPr>
            </w:pPr>
            <w:r w:rsidRPr="003F58C5">
              <w:rPr>
                <w:sz w:val="21"/>
              </w:rPr>
              <w:t>13</w:t>
            </w:r>
          </w:p>
        </w:tc>
        <w:tc>
          <w:tcPr>
            <w:tcW w:w="0" w:type="auto"/>
          </w:tcPr>
          <w:p w14:paraId="1068087B" w14:textId="77777777" w:rsidR="003F58C5" w:rsidRPr="003F58C5" w:rsidRDefault="003F58C5" w:rsidP="001B1D01">
            <w:pPr>
              <w:pStyle w:val="Compact"/>
              <w:jc w:val="right"/>
              <w:rPr>
                <w:sz w:val="21"/>
              </w:rPr>
            </w:pPr>
            <w:r w:rsidRPr="003F58C5">
              <w:rPr>
                <w:sz w:val="21"/>
              </w:rPr>
              <w:t>7</w:t>
            </w:r>
          </w:p>
        </w:tc>
      </w:tr>
      <w:tr w:rsidR="003F58C5" w:rsidRPr="003F58C5" w14:paraId="161F6FB8" w14:textId="77777777" w:rsidTr="003F58C5">
        <w:tc>
          <w:tcPr>
            <w:tcW w:w="0" w:type="auto"/>
          </w:tcPr>
          <w:p w14:paraId="3C9CF1B6" w14:textId="77777777" w:rsidR="003F58C5" w:rsidRPr="003F58C5" w:rsidRDefault="003F58C5" w:rsidP="001B1D01">
            <w:pPr>
              <w:pStyle w:val="Compact"/>
              <w:rPr>
                <w:sz w:val="16"/>
              </w:rPr>
            </w:pPr>
            <w:r w:rsidRPr="003F58C5">
              <w:rPr>
                <w:sz w:val="16"/>
              </w:rPr>
              <w:t>ENSG00000026025</w:t>
            </w:r>
          </w:p>
        </w:tc>
        <w:tc>
          <w:tcPr>
            <w:tcW w:w="624" w:type="pct"/>
          </w:tcPr>
          <w:p w14:paraId="6BF1B845" w14:textId="1D021650" w:rsidR="003F58C5" w:rsidRPr="003F58C5" w:rsidRDefault="003F58C5" w:rsidP="001B1D01">
            <w:pPr>
              <w:pStyle w:val="Compact"/>
              <w:jc w:val="right"/>
              <w:rPr>
                <w:sz w:val="21"/>
              </w:rPr>
            </w:pPr>
            <w:r w:rsidRPr="00577C19">
              <w:rPr>
                <w:sz w:val="21"/>
              </w:rPr>
              <w:t>&lt;0.0001</w:t>
            </w:r>
          </w:p>
        </w:tc>
        <w:tc>
          <w:tcPr>
            <w:tcW w:w="404" w:type="pct"/>
          </w:tcPr>
          <w:p w14:paraId="33372827" w14:textId="60C20DA3" w:rsidR="003F58C5" w:rsidRPr="003F58C5" w:rsidRDefault="003F58C5" w:rsidP="001B1D01">
            <w:pPr>
              <w:pStyle w:val="Compact"/>
              <w:jc w:val="right"/>
              <w:rPr>
                <w:sz w:val="21"/>
              </w:rPr>
            </w:pPr>
            <w:r w:rsidRPr="00577C19">
              <w:rPr>
                <w:sz w:val="21"/>
              </w:rPr>
              <w:t>&lt;0.0001</w:t>
            </w:r>
          </w:p>
        </w:tc>
        <w:tc>
          <w:tcPr>
            <w:tcW w:w="0" w:type="auto"/>
          </w:tcPr>
          <w:p w14:paraId="660C2806" w14:textId="77777777" w:rsidR="003F58C5" w:rsidRPr="003F58C5" w:rsidRDefault="003F58C5" w:rsidP="001B1D01">
            <w:pPr>
              <w:pStyle w:val="Compact"/>
              <w:jc w:val="right"/>
              <w:rPr>
                <w:sz w:val="21"/>
              </w:rPr>
            </w:pPr>
            <w:r w:rsidRPr="003F58C5">
              <w:rPr>
                <w:sz w:val="21"/>
              </w:rPr>
              <w:t>-205.52560</w:t>
            </w:r>
          </w:p>
        </w:tc>
        <w:tc>
          <w:tcPr>
            <w:tcW w:w="0" w:type="auto"/>
          </w:tcPr>
          <w:p w14:paraId="7B684F6F" w14:textId="77777777" w:rsidR="003F58C5" w:rsidRPr="003F58C5" w:rsidRDefault="003F58C5" w:rsidP="001B1D01">
            <w:pPr>
              <w:pStyle w:val="Compact"/>
              <w:jc w:val="right"/>
              <w:rPr>
                <w:sz w:val="21"/>
              </w:rPr>
            </w:pPr>
            <w:r w:rsidRPr="003F58C5">
              <w:rPr>
                <w:sz w:val="21"/>
              </w:rPr>
              <w:t>-1222.7648</w:t>
            </w:r>
          </w:p>
        </w:tc>
        <w:tc>
          <w:tcPr>
            <w:tcW w:w="0" w:type="auto"/>
          </w:tcPr>
          <w:p w14:paraId="6BBC4CAF" w14:textId="77777777" w:rsidR="003F58C5" w:rsidRPr="003F58C5" w:rsidRDefault="003F58C5" w:rsidP="001B1D01">
            <w:pPr>
              <w:pStyle w:val="Compact"/>
              <w:jc w:val="right"/>
              <w:rPr>
                <w:sz w:val="21"/>
              </w:rPr>
            </w:pPr>
            <w:r w:rsidRPr="003F58C5">
              <w:rPr>
                <w:sz w:val="21"/>
              </w:rPr>
              <w:t>13</w:t>
            </w:r>
          </w:p>
        </w:tc>
        <w:tc>
          <w:tcPr>
            <w:tcW w:w="0" w:type="auto"/>
          </w:tcPr>
          <w:p w14:paraId="31D6BD0D" w14:textId="77777777" w:rsidR="003F58C5" w:rsidRPr="003F58C5" w:rsidRDefault="003F58C5" w:rsidP="001B1D01">
            <w:pPr>
              <w:pStyle w:val="Compact"/>
              <w:jc w:val="right"/>
              <w:rPr>
                <w:sz w:val="21"/>
              </w:rPr>
            </w:pPr>
            <w:r w:rsidRPr="003F58C5">
              <w:rPr>
                <w:sz w:val="21"/>
              </w:rPr>
              <w:t>7</w:t>
            </w:r>
          </w:p>
        </w:tc>
      </w:tr>
      <w:tr w:rsidR="003F58C5" w:rsidRPr="003F58C5" w14:paraId="49137FF5" w14:textId="77777777" w:rsidTr="003F58C5">
        <w:tc>
          <w:tcPr>
            <w:tcW w:w="0" w:type="auto"/>
          </w:tcPr>
          <w:p w14:paraId="4F0DB112" w14:textId="77777777" w:rsidR="003F58C5" w:rsidRPr="003F58C5" w:rsidRDefault="003F58C5" w:rsidP="001B1D01">
            <w:pPr>
              <w:pStyle w:val="Compact"/>
              <w:rPr>
                <w:sz w:val="16"/>
              </w:rPr>
            </w:pPr>
            <w:r w:rsidRPr="003F58C5">
              <w:rPr>
                <w:sz w:val="16"/>
              </w:rPr>
              <w:t>ENSG00000054219</w:t>
            </w:r>
          </w:p>
        </w:tc>
        <w:tc>
          <w:tcPr>
            <w:tcW w:w="624" w:type="pct"/>
          </w:tcPr>
          <w:p w14:paraId="5B4EE777" w14:textId="59F22098" w:rsidR="003F58C5" w:rsidRPr="003F58C5" w:rsidRDefault="003F58C5" w:rsidP="001B1D01">
            <w:pPr>
              <w:pStyle w:val="Compact"/>
              <w:jc w:val="right"/>
              <w:rPr>
                <w:sz w:val="21"/>
              </w:rPr>
            </w:pPr>
            <w:r w:rsidRPr="00577C19">
              <w:rPr>
                <w:sz w:val="21"/>
              </w:rPr>
              <w:t>&lt;0.0001</w:t>
            </w:r>
          </w:p>
        </w:tc>
        <w:tc>
          <w:tcPr>
            <w:tcW w:w="404" w:type="pct"/>
          </w:tcPr>
          <w:p w14:paraId="7D129798" w14:textId="6EEAECD3" w:rsidR="003F58C5" w:rsidRPr="003F58C5" w:rsidRDefault="003F58C5" w:rsidP="001B1D01">
            <w:pPr>
              <w:pStyle w:val="Compact"/>
              <w:jc w:val="right"/>
              <w:rPr>
                <w:sz w:val="21"/>
              </w:rPr>
            </w:pPr>
            <w:r w:rsidRPr="00577C19">
              <w:rPr>
                <w:sz w:val="21"/>
              </w:rPr>
              <w:t>&lt;0.0001</w:t>
            </w:r>
          </w:p>
        </w:tc>
        <w:tc>
          <w:tcPr>
            <w:tcW w:w="0" w:type="auto"/>
          </w:tcPr>
          <w:p w14:paraId="4D4E9A7A" w14:textId="77777777" w:rsidR="003F58C5" w:rsidRPr="003F58C5" w:rsidRDefault="003F58C5" w:rsidP="001B1D01">
            <w:pPr>
              <w:pStyle w:val="Compact"/>
              <w:jc w:val="right"/>
              <w:rPr>
                <w:sz w:val="21"/>
              </w:rPr>
            </w:pPr>
            <w:r w:rsidRPr="003F58C5">
              <w:rPr>
                <w:sz w:val="21"/>
              </w:rPr>
              <w:t>-97.13328</w:t>
            </w:r>
          </w:p>
        </w:tc>
        <w:tc>
          <w:tcPr>
            <w:tcW w:w="0" w:type="auto"/>
          </w:tcPr>
          <w:p w14:paraId="5B8928B0" w14:textId="77777777" w:rsidR="003F58C5" w:rsidRPr="003F58C5" w:rsidRDefault="003F58C5" w:rsidP="001B1D01">
            <w:pPr>
              <w:pStyle w:val="Compact"/>
              <w:jc w:val="right"/>
              <w:rPr>
                <w:sz w:val="21"/>
              </w:rPr>
            </w:pPr>
            <w:r w:rsidRPr="003F58C5">
              <w:rPr>
                <w:sz w:val="21"/>
              </w:rPr>
              <w:t>-1144.7278</w:t>
            </w:r>
          </w:p>
        </w:tc>
        <w:tc>
          <w:tcPr>
            <w:tcW w:w="0" w:type="auto"/>
          </w:tcPr>
          <w:p w14:paraId="37EAD722" w14:textId="77777777" w:rsidR="003F58C5" w:rsidRPr="003F58C5" w:rsidRDefault="003F58C5" w:rsidP="001B1D01">
            <w:pPr>
              <w:pStyle w:val="Compact"/>
              <w:jc w:val="right"/>
              <w:rPr>
                <w:sz w:val="21"/>
              </w:rPr>
            </w:pPr>
            <w:r w:rsidRPr="003F58C5">
              <w:rPr>
                <w:sz w:val="21"/>
              </w:rPr>
              <w:t>13</w:t>
            </w:r>
          </w:p>
        </w:tc>
        <w:tc>
          <w:tcPr>
            <w:tcW w:w="0" w:type="auto"/>
          </w:tcPr>
          <w:p w14:paraId="474BFC1B" w14:textId="77777777" w:rsidR="003F58C5" w:rsidRPr="003F58C5" w:rsidRDefault="003F58C5" w:rsidP="001B1D01">
            <w:pPr>
              <w:pStyle w:val="Compact"/>
              <w:jc w:val="right"/>
              <w:rPr>
                <w:sz w:val="21"/>
              </w:rPr>
            </w:pPr>
            <w:r w:rsidRPr="003F58C5">
              <w:rPr>
                <w:sz w:val="21"/>
              </w:rPr>
              <w:t>7</w:t>
            </w:r>
          </w:p>
        </w:tc>
      </w:tr>
      <w:tr w:rsidR="003F58C5" w:rsidRPr="003F58C5" w14:paraId="152EC136" w14:textId="77777777" w:rsidTr="003F58C5">
        <w:tc>
          <w:tcPr>
            <w:tcW w:w="0" w:type="auto"/>
          </w:tcPr>
          <w:p w14:paraId="0C20C647" w14:textId="77777777" w:rsidR="003F58C5" w:rsidRPr="003F58C5" w:rsidRDefault="003F58C5" w:rsidP="001B1D01">
            <w:pPr>
              <w:pStyle w:val="Compact"/>
              <w:rPr>
                <w:sz w:val="16"/>
              </w:rPr>
            </w:pPr>
            <w:r w:rsidRPr="003F58C5">
              <w:rPr>
                <w:sz w:val="16"/>
              </w:rPr>
              <w:t>ENSG00000063601</w:t>
            </w:r>
          </w:p>
        </w:tc>
        <w:tc>
          <w:tcPr>
            <w:tcW w:w="624" w:type="pct"/>
          </w:tcPr>
          <w:p w14:paraId="60635753" w14:textId="03C9954B" w:rsidR="003F58C5" w:rsidRPr="003F58C5" w:rsidRDefault="003F58C5" w:rsidP="001B1D01">
            <w:pPr>
              <w:pStyle w:val="Compact"/>
              <w:jc w:val="right"/>
              <w:rPr>
                <w:sz w:val="21"/>
              </w:rPr>
            </w:pPr>
            <w:r w:rsidRPr="00577C19">
              <w:rPr>
                <w:sz w:val="21"/>
              </w:rPr>
              <w:t>&lt;0.0001</w:t>
            </w:r>
          </w:p>
        </w:tc>
        <w:tc>
          <w:tcPr>
            <w:tcW w:w="404" w:type="pct"/>
          </w:tcPr>
          <w:p w14:paraId="5E19FA92" w14:textId="32D728B5" w:rsidR="003F58C5" w:rsidRPr="003F58C5" w:rsidRDefault="003F58C5" w:rsidP="001B1D01">
            <w:pPr>
              <w:pStyle w:val="Compact"/>
              <w:jc w:val="right"/>
              <w:rPr>
                <w:sz w:val="21"/>
              </w:rPr>
            </w:pPr>
            <w:r w:rsidRPr="00577C19">
              <w:rPr>
                <w:sz w:val="21"/>
              </w:rPr>
              <w:t>&lt;0.0001</w:t>
            </w:r>
          </w:p>
        </w:tc>
        <w:tc>
          <w:tcPr>
            <w:tcW w:w="0" w:type="auto"/>
          </w:tcPr>
          <w:p w14:paraId="25AE90B4" w14:textId="77777777" w:rsidR="003F58C5" w:rsidRPr="003F58C5" w:rsidRDefault="003F58C5" w:rsidP="001B1D01">
            <w:pPr>
              <w:pStyle w:val="Compact"/>
              <w:jc w:val="right"/>
              <w:rPr>
                <w:sz w:val="21"/>
              </w:rPr>
            </w:pPr>
            <w:r w:rsidRPr="003F58C5">
              <w:rPr>
                <w:sz w:val="21"/>
              </w:rPr>
              <w:t>-195.24650</w:t>
            </w:r>
          </w:p>
        </w:tc>
        <w:tc>
          <w:tcPr>
            <w:tcW w:w="0" w:type="auto"/>
          </w:tcPr>
          <w:p w14:paraId="34F1FED1" w14:textId="77777777" w:rsidR="003F58C5" w:rsidRPr="003F58C5" w:rsidRDefault="003F58C5" w:rsidP="001B1D01">
            <w:pPr>
              <w:pStyle w:val="Compact"/>
              <w:jc w:val="right"/>
              <w:rPr>
                <w:sz w:val="21"/>
              </w:rPr>
            </w:pPr>
            <w:r w:rsidRPr="003F58C5">
              <w:rPr>
                <w:sz w:val="21"/>
              </w:rPr>
              <w:t>-1163.3295</w:t>
            </w:r>
          </w:p>
        </w:tc>
        <w:tc>
          <w:tcPr>
            <w:tcW w:w="0" w:type="auto"/>
          </w:tcPr>
          <w:p w14:paraId="42C95EF5" w14:textId="77777777" w:rsidR="003F58C5" w:rsidRPr="003F58C5" w:rsidRDefault="003F58C5" w:rsidP="001B1D01">
            <w:pPr>
              <w:pStyle w:val="Compact"/>
              <w:jc w:val="right"/>
              <w:rPr>
                <w:sz w:val="21"/>
              </w:rPr>
            </w:pPr>
            <w:r w:rsidRPr="003F58C5">
              <w:rPr>
                <w:sz w:val="21"/>
              </w:rPr>
              <w:t>13</w:t>
            </w:r>
          </w:p>
        </w:tc>
        <w:tc>
          <w:tcPr>
            <w:tcW w:w="0" w:type="auto"/>
          </w:tcPr>
          <w:p w14:paraId="424CBE56" w14:textId="77777777" w:rsidR="003F58C5" w:rsidRPr="003F58C5" w:rsidRDefault="003F58C5" w:rsidP="001B1D01">
            <w:pPr>
              <w:pStyle w:val="Compact"/>
              <w:jc w:val="right"/>
              <w:rPr>
                <w:sz w:val="21"/>
              </w:rPr>
            </w:pPr>
            <w:r w:rsidRPr="003F58C5">
              <w:rPr>
                <w:sz w:val="21"/>
              </w:rPr>
              <w:t>7</w:t>
            </w:r>
          </w:p>
        </w:tc>
      </w:tr>
      <w:tr w:rsidR="003F58C5" w:rsidRPr="003F58C5" w14:paraId="1F8E2594" w14:textId="77777777" w:rsidTr="003F58C5">
        <w:tc>
          <w:tcPr>
            <w:tcW w:w="0" w:type="auto"/>
          </w:tcPr>
          <w:p w14:paraId="3DB6F189" w14:textId="77777777" w:rsidR="003F58C5" w:rsidRPr="003F58C5" w:rsidRDefault="003F58C5" w:rsidP="001B1D01">
            <w:pPr>
              <w:pStyle w:val="Compact"/>
              <w:rPr>
                <w:sz w:val="16"/>
              </w:rPr>
            </w:pPr>
            <w:r w:rsidRPr="003F58C5">
              <w:rPr>
                <w:sz w:val="16"/>
              </w:rPr>
              <w:t>ENSG00000064042</w:t>
            </w:r>
          </w:p>
        </w:tc>
        <w:tc>
          <w:tcPr>
            <w:tcW w:w="624" w:type="pct"/>
          </w:tcPr>
          <w:p w14:paraId="2E5CE219" w14:textId="79D85FD2" w:rsidR="003F58C5" w:rsidRPr="003F58C5" w:rsidRDefault="003F58C5" w:rsidP="001B1D01">
            <w:pPr>
              <w:pStyle w:val="Compact"/>
              <w:jc w:val="right"/>
              <w:rPr>
                <w:sz w:val="21"/>
              </w:rPr>
            </w:pPr>
            <w:r w:rsidRPr="00577C19">
              <w:rPr>
                <w:sz w:val="21"/>
              </w:rPr>
              <w:t>&lt;0.0001</w:t>
            </w:r>
          </w:p>
        </w:tc>
        <w:tc>
          <w:tcPr>
            <w:tcW w:w="404" w:type="pct"/>
          </w:tcPr>
          <w:p w14:paraId="3C5A9DF1" w14:textId="7EF6855A" w:rsidR="003F58C5" w:rsidRPr="003F58C5" w:rsidRDefault="003F58C5" w:rsidP="001B1D01">
            <w:pPr>
              <w:pStyle w:val="Compact"/>
              <w:jc w:val="right"/>
              <w:rPr>
                <w:sz w:val="21"/>
              </w:rPr>
            </w:pPr>
            <w:r w:rsidRPr="00577C19">
              <w:rPr>
                <w:sz w:val="21"/>
              </w:rPr>
              <w:t>&lt;0.0001</w:t>
            </w:r>
          </w:p>
        </w:tc>
        <w:tc>
          <w:tcPr>
            <w:tcW w:w="0" w:type="auto"/>
          </w:tcPr>
          <w:p w14:paraId="7B69FD9D" w14:textId="77777777" w:rsidR="003F58C5" w:rsidRPr="003F58C5" w:rsidRDefault="003F58C5" w:rsidP="001B1D01">
            <w:pPr>
              <w:pStyle w:val="Compact"/>
              <w:jc w:val="right"/>
              <w:rPr>
                <w:sz w:val="21"/>
              </w:rPr>
            </w:pPr>
            <w:r w:rsidRPr="003F58C5">
              <w:rPr>
                <w:sz w:val="21"/>
              </w:rPr>
              <w:t>-210.82074</w:t>
            </w:r>
          </w:p>
        </w:tc>
        <w:tc>
          <w:tcPr>
            <w:tcW w:w="0" w:type="auto"/>
          </w:tcPr>
          <w:p w14:paraId="2C3372C9" w14:textId="77777777" w:rsidR="003F58C5" w:rsidRPr="003F58C5" w:rsidRDefault="003F58C5" w:rsidP="001B1D01">
            <w:pPr>
              <w:pStyle w:val="Compact"/>
              <w:jc w:val="right"/>
              <w:rPr>
                <w:sz w:val="21"/>
              </w:rPr>
            </w:pPr>
            <w:r w:rsidRPr="003F58C5">
              <w:rPr>
                <w:sz w:val="21"/>
              </w:rPr>
              <w:t>-1589.9976</w:t>
            </w:r>
          </w:p>
        </w:tc>
        <w:tc>
          <w:tcPr>
            <w:tcW w:w="0" w:type="auto"/>
          </w:tcPr>
          <w:p w14:paraId="4CC76182" w14:textId="77777777" w:rsidR="003F58C5" w:rsidRPr="003F58C5" w:rsidRDefault="003F58C5" w:rsidP="001B1D01">
            <w:pPr>
              <w:pStyle w:val="Compact"/>
              <w:jc w:val="right"/>
              <w:rPr>
                <w:sz w:val="21"/>
              </w:rPr>
            </w:pPr>
            <w:r w:rsidRPr="003F58C5">
              <w:rPr>
                <w:sz w:val="21"/>
              </w:rPr>
              <w:t>13</w:t>
            </w:r>
          </w:p>
        </w:tc>
        <w:tc>
          <w:tcPr>
            <w:tcW w:w="0" w:type="auto"/>
          </w:tcPr>
          <w:p w14:paraId="17F4A5ED" w14:textId="77777777" w:rsidR="003F58C5" w:rsidRPr="003F58C5" w:rsidRDefault="003F58C5" w:rsidP="001B1D01">
            <w:pPr>
              <w:pStyle w:val="Compact"/>
              <w:jc w:val="right"/>
              <w:rPr>
                <w:sz w:val="21"/>
              </w:rPr>
            </w:pPr>
            <w:r w:rsidRPr="003F58C5">
              <w:rPr>
                <w:sz w:val="21"/>
              </w:rPr>
              <w:t>7</w:t>
            </w:r>
          </w:p>
        </w:tc>
      </w:tr>
      <w:tr w:rsidR="003F58C5" w:rsidRPr="003F58C5" w14:paraId="524568F6" w14:textId="77777777" w:rsidTr="003F58C5">
        <w:tc>
          <w:tcPr>
            <w:tcW w:w="0" w:type="auto"/>
          </w:tcPr>
          <w:p w14:paraId="2B446640" w14:textId="77777777" w:rsidR="003F58C5" w:rsidRPr="003F58C5" w:rsidRDefault="003F58C5" w:rsidP="001B1D01">
            <w:pPr>
              <w:pStyle w:val="Compact"/>
              <w:rPr>
                <w:sz w:val="16"/>
              </w:rPr>
            </w:pPr>
            <w:r w:rsidRPr="003F58C5">
              <w:rPr>
                <w:sz w:val="16"/>
              </w:rPr>
              <w:t>ENSG00000071246</w:t>
            </w:r>
          </w:p>
        </w:tc>
        <w:tc>
          <w:tcPr>
            <w:tcW w:w="624" w:type="pct"/>
          </w:tcPr>
          <w:p w14:paraId="7A1363A9" w14:textId="5E286200" w:rsidR="003F58C5" w:rsidRPr="003F58C5" w:rsidRDefault="003F58C5" w:rsidP="001B1D01">
            <w:pPr>
              <w:pStyle w:val="Compact"/>
              <w:jc w:val="right"/>
              <w:rPr>
                <w:sz w:val="21"/>
              </w:rPr>
            </w:pPr>
            <w:r w:rsidRPr="00577C19">
              <w:rPr>
                <w:sz w:val="21"/>
              </w:rPr>
              <w:t>&lt;0.0001</w:t>
            </w:r>
          </w:p>
        </w:tc>
        <w:tc>
          <w:tcPr>
            <w:tcW w:w="404" w:type="pct"/>
          </w:tcPr>
          <w:p w14:paraId="54E3565C" w14:textId="4994A03B" w:rsidR="003F58C5" w:rsidRPr="003F58C5" w:rsidRDefault="003F58C5" w:rsidP="001B1D01">
            <w:pPr>
              <w:pStyle w:val="Compact"/>
              <w:jc w:val="right"/>
              <w:rPr>
                <w:sz w:val="21"/>
              </w:rPr>
            </w:pPr>
            <w:r w:rsidRPr="00577C19">
              <w:rPr>
                <w:sz w:val="21"/>
              </w:rPr>
              <w:t>&lt;0.0001</w:t>
            </w:r>
          </w:p>
        </w:tc>
        <w:tc>
          <w:tcPr>
            <w:tcW w:w="0" w:type="auto"/>
          </w:tcPr>
          <w:p w14:paraId="3074ECF3" w14:textId="77777777" w:rsidR="003F58C5" w:rsidRPr="003F58C5" w:rsidRDefault="003F58C5" w:rsidP="001B1D01">
            <w:pPr>
              <w:pStyle w:val="Compact"/>
              <w:jc w:val="right"/>
              <w:rPr>
                <w:sz w:val="21"/>
              </w:rPr>
            </w:pPr>
            <w:r w:rsidRPr="003F58C5">
              <w:rPr>
                <w:sz w:val="21"/>
              </w:rPr>
              <w:t>-117.06268</w:t>
            </w:r>
          </w:p>
        </w:tc>
        <w:tc>
          <w:tcPr>
            <w:tcW w:w="0" w:type="auto"/>
          </w:tcPr>
          <w:p w14:paraId="10B304D7" w14:textId="77777777" w:rsidR="003F58C5" w:rsidRPr="003F58C5" w:rsidRDefault="003F58C5" w:rsidP="001B1D01">
            <w:pPr>
              <w:pStyle w:val="Compact"/>
              <w:jc w:val="right"/>
              <w:rPr>
                <w:sz w:val="21"/>
              </w:rPr>
            </w:pPr>
            <w:r w:rsidRPr="003F58C5">
              <w:rPr>
                <w:sz w:val="21"/>
              </w:rPr>
              <w:t>-957.4972</w:t>
            </w:r>
          </w:p>
        </w:tc>
        <w:tc>
          <w:tcPr>
            <w:tcW w:w="0" w:type="auto"/>
          </w:tcPr>
          <w:p w14:paraId="3ECD686C" w14:textId="77777777" w:rsidR="003F58C5" w:rsidRPr="003F58C5" w:rsidRDefault="003F58C5" w:rsidP="001B1D01">
            <w:pPr>
              <w:pStyle w:val="Compact"/>
              <w:jc w:val="right"/>
              <w:rPr>
                <w:sz w:val="21"/>
              </w:rPr>
            </w:pPr>
            <w:r w:rsidRPr="003F58C5">
              <w:rPr>
                <w:sz w:val="21"/>
              </w:rPr>
              <w:t>13</w:t>
            </w:r>
          </w:p>
        </w:tc>
        <w:tc>
          <w:tcPr>
            <w:tcW w:w="0" w:type="auto"/>
          </w:tcPr>
          <w:p w14:paraId="692BD98A" w14:textId="77777777" w:rsidR="003F58C5" w:rsidRPr="003F58C5" w:rsidRDefault="003F58C5" w:rsidP="001B1D01">
            <w:pPr>
              <w:pStyle w:val="Compact"/>
              <w:jc w:val="right"/>
              <w:rPr>
                <w:sz w:val="21"/>
              </w:rPr>
            </w:pPr>
            <w:r w:rsidRPr="003F58C5">
              <w:rPr>
                <w:sz w:val="21"/>
              </w:rPr>
              <w:t>7</w:t>
            </w:r>
          </w:p>
        </w:tc>
      </w:tr>
      <w:tr w:rsidR="003F58C5" w:rsidRPr="003F58C5" w14:paraId="690944E0" w14:textId="77777777" w:rsidTr="003F58C5">
        <w:tc>
          <w:tcPr>
            <w:tcW w:w="0" w:type="auto"/>
          </w:tcPr>
          <w:p w14:paraId="4BD87970" w14:textId="77777777" w:rsidR="003F58C5" w:rsidRPr="003F58C5" w:rsidRDefault="003F58C5" w:rsidP="001B1D01">
            <w:pPr>
              <w:pStyle w:val="Compact"/>
              <w:rPr>
                <w:sz w:val="16"/>
              </w:rPr>
            </w:pPr>
            <w:r w:rsidRPr="003F58C5">
              <w:rPr>
                <w:sz w:val="16"/>
              </w:rPr>
              <w:t>ENSG00000073008</w:t>
            </w:r>
          </w:p>
        </w:tc>
        <w:tc>
          <w:tcPr>
            <w:tcW w:w="624" w:type="pct"/>
          </w:tcPr>
          <w:p w14:paraId="4AB78FE2" w14:textId="37611FA2" w:rsidR="003F58C5" w:rsidRPr="003F58C5" w:rsidRDefault="003F58C5" w:rsidP="001B1D01">
            <w:pPr>
              <w:pStyle w:val="Compact"/>
              <w:jc w:val="right"/>
              <w:rPr>
                <w:sz w:val="21"/>
              </w:rPr>
            </w:pPr>
            <w:r w:rsidRPr="00577C19">
              <w:rPr>
                <w:sz w:val="21"/>
              </w:rPr>
              <w:t>&lt;0.0001</w:t>
            </w:r>
          </w:p>
        </w:tc>
        <w:tc>
          <w:tcPr>
            <w:tcW w:w="404" w:type="pct"/>
          </w:tcPr>
          <w:p w14:paraId="7F17B4E7" w14:textId="0B9A0A63" w:rsidR="003F58C5" w:rsidRPr="003F58C5" w:rsidRDefault="003F58C5" w:rsidP="001B1D01">
            <w:pPr>
              <w:pStyle w:val="Compact"/>
              <w:jc w:val="right"/>
              <w:rPr>
                <w:sz w:val="21"/>
              </w:rPr>
            </w:pPr>
            <w:r w:rsidRPr="00577C19">
              <w:rPr>
                <w:sz w:val="21"/>
              </w:rPr>
              <w:t>&lt;0.0001</w:t>
            </w:r>
          </w:p>
        </w:tc>
        <w:tc>
          <w:tcPr>
            <w:tcW w:w="0" w:type="auto"/>
          </w:tcPr>
          <w:p w14:paraId="4B840006" w14:textId="77777777" w:rsidR="003F58C5" w:rsidRPr="003F58C5" w:rsidRDefault="003F58C5" w:rsidP="001B1D01">
            <w:pPr>
              <w:pStyle w:val="Compact"/>
              <w:jc w:val="right"/>
              <w:rPr>
                <w:sz w:val="21"/>
              </w:rPr>
            </w:pPr>
            <w:r w:rsidRPr="003F58C5">
              <w:rPr>
                <w:sz w:val="21"/>
              </w:rPr>
              <w:t>-236.47595</w:t>
            </w:r>
          </w:p>
        </w:tc>
        <w:tc>
          <w:tcPr>
            <w:tcW w:w="0" w:type="auto"/>
          </w:tcPr>
          <w:p w14:paraId="2201B4A2" w14:textId="77777777" w:rsidR="003F58C5" w:rsidRPr="003F58C5" w:rsidRDefault="003F58C5" w:rsidP="001B1D01">
            <w:pPr>
              <w:pStyle w:val="Compact"/>
              <w:jc w:val="right"/>
              <w:rPr>
                <w:sz w:val="21"/>
              </w:rPr>
            </w:pPr>
            <w:r w:rsidRPr="003F58C5">
              <w:rPr>
                <w:sz w:val="21"/>
              </w:rPr>
              <w:t>-1437.6475</w:t>
            </w:r>
          </w:p>
        </w:tc>
        <w:tc>
          <w:tcPr>
            <w:tcW w:w="0" w:type="auto"/>
          </w:tcPr>
          <w:p w14:paraId="367B6526" w14:textId="77777777" w:rsidR="003F58C5" w:rsidRPr="003F58C5" w:rsidRDefault="003F58C5" w:rsidP="001B1D01">
            <w:pPr>
              <w:pStyle w:val="Compact"/>
              <w:jc w:val="right"/>
              <w:rPr>
                <w:sz w:val="21"/>
              </w:rPr>
            </w:pPr>
            <w:r w:rsidRPr="003F58C5">
              <w:rPr>
                <w:sz w:val="21"/>
              </w:rPr>
              <w:t>13</w:t>
            </w:r>
          </w:p>
        </w:tc>
        <w:tc>
          <w:tcPr>
            <w:tcW w:w="0" w:type="auto"/>
          </w:tcPr>
          <w:p w14:paraId="36E4226B" w14:textId="77777777" w:rsidR="003F58C5" w:rsidRPr="003F58C5" w:rsidRDefault="003F58C5" w:rsidP="001B1D01">
            <w:pPr>
              <w:pStyle w:val="Compact"/>
              <w:jc w:val="right"/>
              <w:rPr>
                <w:sz w:val="21"/>
              </w:rPr>
            </w:pPr>
            <w:r w:rsidRPr="003F58C5">
              <w:rPr>
                <w:sz w:val="21"/>
              </w:rPr>
              <w:t>7</w:t>
            </w:r>
          </w:p>
        </w:tc>
      </w:tr>
      <w:tr w:rsidR="003F58C5" w:rsidRPr="003F58C5" w14:paraId="53883237" w14:textId="77777777" w:rsidTr="003F58C5">
        <w:tc>
          <w:tcPr>
            <w:tcW w:w="0" w:type="auto"/>
          </w:tcPr>
          <w:p w14:paraId="23A435B2" w14:textId="77777777" w:rsidR="003F58C5" w:rsidRPr="003F58C5" w:rsidRDefault="003F58C5" w:rsidP="001B1D01">
            <w:pPr>
              <w:pStyle w:val="Compact"/>
              <w:rPr>
                <w:sz w:val="16"/>
              </w:rPr>
            </w:pPr>
            <w:r w:rsidRPr="003F58C5">
              <w:rPr>
                <w:sz w:val="16"/>
              </w:rPr>
              <w:t>ENSG00000073849</w:t>
            </w:r>
          </w:p>
        </w:tc>
        <w:tc>
          <w:tcPr>
            <w:tcW w:w="624" w:type="pct"/>
          </w:tcPr>
          <w:p w14:paraId="6DACABDA" w14:textId="4B7F83DA" w:rsidR="003F58C5" w:rsidRPr="003F58C5" w:rsidRDefault="003F58C5" w:rsidP="001B1D01">
            <w:pPr>
              <w:pStyle w:val="Compact"/>
              <w:jc w:val="right"/>
              <w:rPr>
                <w:sz w:val="21"/>
              </w:rPr>
            </w:pPr>
            <w:r w:rsidRPr="00577C19">
              <w:rPr>
                <w:sz w:val="21"/>
              </w:rPr>
              <w:t>&lt;0.0001</w:t>
            </w:r>
          </w:p>
        </w:tc>
        <w:tc>
          <w:tcPr>
            <w:tcW w:w="404" w:type="pct"/>
          </w:tcPr>
          <w:p w14:paraId="1449C142" w14:textId="5757EDBF" w:rsidR="003F58C5" w:rsidRPr="003F58C5" w:rsidRDefault="003F58C5" w:rsidP="001B1D01">
            <w:pPr>
              <w:pStyle w:val="Compact"/>
              <w:jc w:val="right"/>
              <w:rPr>
                <w:sz w:val="21"/>
              </w:rPr>
            </w:pPr>
            <w:r w:rsidRPr="00577C19">
              <w:rPr>
                <w:sz w:val="21"/>
              </w:rPr>
              <w:t>&lt;0.0001</w:t>
            </w:r>
          </w:p>
        </w:tc>
        <w:tc>
          <w:tcPr>
            <w:tcW w:w="0" w:type="auto"/>
          </w:tcPr>
          <w:p w14:paraId="6C87CC94" w14:textId="77777777" w:rsidR="003F58C5" w:rsidRPr="003F58C5" w:rsidRDefault="003F58C5" w:rsidP="001B1D01">
            <w:pPr>
              <w:pStyle w:val="Compact"/>
              <w:jc w:val="right"/>
              <w:rPr>
                <w:sz w:val="21"/>
              </w:rPr>
            </w:pPr>
            <w:r w:rsidRPr="003F58C5">
              <w:rPr>
                <w:sz w:val="21"/>
              </w:rPr>
              <w:t>-188.22059</w:t>
            </w:r>
          </w:p>
        </w:tc>
        <w:tc>
          <w:tcPr>
            <w:tcW w:w="0" w:type="auto"/>
          </w:tcPr>
          <w:p w14:paraId="30C02E2C" w14:textId="77777777" w:rsidR="003F58C5" w:rsidRPr="003F58C5" w:rsidRDefault="003F58C5" w:rsidP="001B1D01">
            <w:pPr>
              <w:pStyle w:val="Compact"/>
              <w:jc w:val="right"/>
              <w:rPr>
                <w:sz w:val="21"/>
              </w:rPr>
            </w:pPr>
            <w:r w:rsidRPr="003F58C5">
              <w:rPr>
                <w:sz w:val="21"/>
              </w:rPr>
              <w:t>-2921.6155</w:t>
            </w:r>
          </w:p>
        </w:tc>
        <w:tc>
          <w:tcPr>
            <w:tcW w:w="0" w:type="auto"/>
          </w:tcPr>
          <w:p w14:paraId="57B810BF" w14:textId="77777777" w:rsidR="003F58C5" w:rsidRPr="003F58C5" w:rsidRDefault="003F58C5" w:rsidP="001B1D01">
            <w:pPr>
              <w:pStyle w:val="Compact"/>
              <w:jc w:val="right"/>
              <w:rPr>
                <w:sz w:val="21"/>
              </w:rPr>
            </w:pPr>
            <w:r w:rsidRPr="003F58C5">
              <w:rPr>
                <w:sz w:val="21"/>
              </w:rPr>
              <w:t>13</w:t>
            </w:r>
          </w:p>
        </w:tc>
        <w:tc>
          <w:tcPr>
            <w:tcW w:w="0" w:type="auto"/>
          </w:tcPr>
          <w:p w14:paraId="4B674328" w14:textId="77777777" w:rsidR="003F58C5" w:rsidRPr="003F58C5" w:rsidRDefault="003F58C5" w:rsidP="001B1D01">
            <w:pPr>
              <w:pStyle w:val="Compact"/>
              <w:jc w:val="right"/>
              <w:rPr>
                <w:sz w:val="21"/>
              </w:rPr>
            </w:pPr>
            <w:r w:rsidRPr="003F58C5">
              <w:rPr>
                <w:sz w:val="21"/>
              </w:rPr>
              <w:t>7</w:t>
            </w:r>
          </w:p>
        </w:tc>
      </w:tr>
      <w:tr w:rsidR="003F58C5" w:rsidRPr="003F58C5" w14:paraId="7579D37C" w14:textId="77777777" w:rsidTr="003F58C5">
        <w:tc>
          <w:tcPr>
            <w:tcW w:w="0" w:type="auto"/>
          </w:tcPr>
          <w:p w14:paraId="2AFB5C45" w14:textId="77777777" w:rsidR="003F58C5" w:rsidRPr="003F58C5" w:rsidRDefault="003F58C5" w:rsidP="001B1D01">
            <w:pPr>
              <w:pStyle w:val="Compact"/>
              <w:rPr>
                <w:sz w:val="16"/>
              </w:rPr>
            </w:pPr>
            <w:r w:rsidRPr="003F58C5">
              <w:rPr>
                <w:sz w:val="16"/>
              </w:rPr>
              <w:t>ENSG00000076344</w:t>
            </w:r>
          </w:p>
        </w:tc>
        <w:tc>
          <w:tcPr>
            <w:tcW w:w="624" w:type="pct"/>
          </w:tcPr>
          <w:p w14:paraId="080F9950" w14:textId="62BA677E" w:rsidR="003F58C5" w:rsidRPr="003F58C5" w:rsidRDefault="003F58C5" w:rsidP="001B1D01">
            <w:pPr>
              <w:pStyle w:val="Compact"/>
              <w:jc w:val="right"/>
              <w:rPr>
                <w:sz w:val="21"/>
              </w:rPr>
            </w:pPr>
            <w:r w:rsidRPr="00577C19">
              <w:rPr>
                <w:sz w:val="21"/>
              </w:rPr>
              <w:t>&lt;0.0001</w:t>
            </w:r>
          </w:p>
        </w:tc>
        <w:tc>
          <w:tcPr>
            <w:tcW w:w="404" w:type="pct"/>
          </w:tcPr>
          <w:p w14:paraId="59794829" w14:textId="7271E8FD" w:rsidR="003F58C5" w:rsidRPr="003F58C5" w:rsidRDefault="003F58C5" w:rsidP="001B1D01">
            <w:pPr>
              <w:pStyle w:val="Compact"/>
              <w:jc w:val="right"/>
              <w:rPr>
                <w:sz w:val="21"/>
              </w:rPr>
            </w:pPr>
            <w:r w:rsidRPr="00577C19">
              <w:rPr>
                <w:sz w:val="21"/>
              </w:rPr>
              <w:t>&lt;0.0001</w:t>
            </w:r>
          </w:p>
        </w:tc>
        <w:tc>
          <w:tcPr>
            <w:tcW w:w="0" w:type="auto"/>
          </w:tcPr>
          <w:p w14:paraId="1CD22C48" w14:textId="77777777" w:rsidR="003F58C5" w:rsidRPr="003F58C5" w:rsidRDefault="003F58C5" w:rsidP="001B1D01">
            <w:pPr>
              <w:pStyle w:val="Compact"/>
              <w:jc w:val="right"/>
              <w:rPr>
                <w:sz w:val="21"/>
              </w:rPr>
            </w:pPr>
            <w:r w:rsidRPr="003F58C5">
              <w:rPr>
                <w:sz w:val="21"/>
              </w:rPr>
              <w:t>-119.05949</w:t>
            </w:r>
          </w:p>
        </w:tc>
        <w:tc>
          <w:tcPr>
            <w:tcW w:w="0" w:type="auto"/>
          </w:tcPr>
          <w:p w14:paraId="45F98266" w14:textId="77777777" w:rsidR="003F58C5" w:rsidRPr="003F58C5" w:rsidRDefault="003F58C5" w:rsidP="001B1D01">
            <w:pPr>
              <w:pStyle w:val="Compact"/>
              <w:jc w:val="right"/>
              <w:rPr>
                <w:sz w:val="21"/>
              </w:rPr>
            </w:pPr>
            <w:r w:rsidRPr="003F58C5">
              <w:rPr>
                <w:sz w:val="21"/>
              </w:rPr>
              <w:t>-1531.9207</w:t>
            </w:r>
          </w:p>
        </w:tc>
        <w:tc>
          <w:tcPr>
            <w:tcW w:w="0" w:type="auto"/>
          </w:tcPr>
          <w:p w14:paraId="100C5E65" w14:textId="77777777" w:rsidR="003F58C5" w:rsidRPr="003F58C5" w:rsidRDefault="003F58C5" w:rsidP="001B1D01">
            <w:pPr>
              <w:pStyle w:val="Compact"/>
              <w:jc w:val="right"/>
              <w:rPr>
                <w:sz w:val="21"/>
              </w:rPr>
            </w:pPr>
            <w:r w:rsidRPr="003F58C5">
              <w:rPr>
                <w:sz w:val="21"/>
              </w:rPr>
              <w:t>13</w:t>
            </w:r>
          </w:p>
        </w:tc>
        <w:tc>
          <w:tcPr>
            <w:tcW w:w="0" w:type="auto"/>
          </w:tcPr>
          <w:p w14:paraId="458E0C47" w14:textId="77777777" w:rsidR="003F58C5" w:rsidRPr="003F58C5" w:rsidRDefault="003F58C5" w:rsidP="001B1D01">
            <w:pPr>
              <w:pStyle w:val="Compact"/>
              <w:jc w:val="right"/>
              <w:rPr>
                <w:sz w:val="21"/>
              </w:rPr>
            </w:pPr>
            <w:r w:rsidRPr="003F58C5">
              <w:rPr>
                <w:sz w:val="21"/>
              </w:rPr>
              <w:t>7</w:t>
            </w:r>
          </w:p>
        </w:tc>
      </w:tr>
      <w:tr w:rsidR="003F58C5" w:rsidRPr="003F58C5" w14:paraId="18E097C2" w14:textId="77777777" w:rsidTr="003F58C5">
        <w:tc>
          <w:tcPr>
            <w:tcW w:w="0" w:type="auto"/>
          </w:tcPr>
          <w:p w14:paraId="5DB33820" w14:textId="77777777" w:rsidR="003F58C5" w:rsidRPr="003F58C5" w:rsidRDefault="003F58C5" w:rsidP="001B1D01">
            <w:pPr>
              <w:pStyle w:val="Compact"/>
              <w:rPr>
                <w:sz w:val="16"/>
              </w:rPr>
            </w:pPr>
            <w:r w:rsidRPr="003F58C5">
              <w:rPr>
                <w:sz w:val="16"/>
              </w:rPr>
              <w:t>ENSG00000076706</w:t>
            </w:r>
          </w:p>
        </w:tc>
        <w:tc>
          <w:tcPr>
            <w:tcW w:w="624" w:type="pct"/>
          </w:tcPr>
          <w:p w14:paraId="3F7D1C09" w14:textId="2B177591" w:rsidR="003F58C5" w:rsidRPr="003F58C5" w:rsidRDefault="003F58C5" w:rsidP="001B1D01">
            <w:pPr>
              <w:pStyle w:val="Compact"/>
              <w:jc w:val="right"/>
              <w:rPr>
                <w:sz w:val="21"/>
              </w:rPr>
            </w:pPr>
            <w:r w:rsidRPr="00577C19">
              <w:rPr>
                <w:sz w:val="21"/>
              </w:rPr>
              <w:t>&lt;0.0001</w:t>
            </w:r>
          </w:p>
        </w:tc>
        <w:tc>
          <w:tcPr>
            <w:tcW w:w="404" w:type="pct"/>
          </w:tcPr>
          <w:p w14:paraId="3DA95B23" w14:textId="16487CC4" w:rsidR="003F58C5" w:rsidRPr="003F58C5" w:rsidRDefault="003F58C5" w:rsidP="001B1D01">
            <w:pPr>
              <w:pStyle w:val="Compact"/>
              <w:jc w:val="right"/>
              <w:rPr>
                <w:sz w:val="21"/>
              </w:rPr>
            </w:pPr>
            <w:r w:rsidRPr="00577C19">
              <w:rPr>
                <w:sz w:val="21"/>
              </w:rPr>
              <w:t>&lt;0.0001</w:t>
            </w:r>
          </w:p>
        </w:tc>
        <w:tc>
          <w:tcPr>
            <w:tcW w:w="0" w:type="auto"/>
          </w:tcPr>
          <w:p w14:paraId="251A2DB3" w14:textId="77777777" w:rsidR="003F58C5" w:rsidRPr="003F58C5" w:rsidRDefault="003F58C5" w:rsidP="001B1D01">
            <w:pPr>
              <w:pStyle w:val="Compact"/>
              <w:jc w:val="right"/>
              <w:rPr>
                <w:sz w:val="21"/>
              </w:rPr>
            </w:pPr>
            <w:r w:rsidRPr="003F58C5">
              <w:rPr>
                <w:sz w:val="21"/>
              </w:rPr>
              <w:t>-119.63017</w:t>
            </w:r>
          </w:p>
        </w:tc>
        <w:tc>
          <w:tcPr>
            <w:tcW w:w="0" w:type="auto"/>
          </w:tcPr>
          <w:p w14:paraId="7857F9A6" w14:textId="77777777" w:rsidR="003F58C5" w:rsidRPr="003F58C5" w:rsidRDefault="003F58C5" w:rsidP="001B1D01">
            <w:pPr>
              <w:pStyle w:val="Compact"/>
              <w:jc w:val="right"/>
              <w:rPr>
                <w:sz w:val="21"/>
              </w:rPr>
            </w:pPr>
            <w:r w:rsidRPr="003F58C5">
              <w:rPr>
                <w:sz w:val="21"/>
              </w:rPr>
              <w:t>-2380.9037</w:t>
            </w:r>
          </w:p>
        </w:tc>
        <w:tc>
          <w:tcPr>
            <w:tcW w:w="0" w:type="auto"/>
          </w:tcPr>
          <w:p w14:paraId="62115C66" w14:textId="77777777" w:rsidR="003F58C5" w:rsidRPr="003F58C5" w:rsidRDefault="003F58C5" w:rsidP="001B1D01">
            <w:pPr>
              <w:pStyle w:val="Compact"/>
              <w:jc w:val="right"/>
              <w:rPr>
                <w:sz w:val="21"/>
              </w:rPr>
            </w:pPr>
            <w:r w:rsidRPr="003F58C5">
              <w:rPr>
                <w:sz w:val="21"/>
              </w:rPr>
              <w:t>13</w:t>
            </w:r>
          </w:p>
        </w:tc>
        <w:tc>
          <w:tcPr>
            <w:tcW w:w="0" w:type="auto"/>
          </w:tcPr>
          <w:p w14:paraId="4F12A213" w14:textId="77777777" w:rsidR="003F58C5" w:rsidRPr="003F58C5" w:rsidRDefault="003F58C5" w:rsidP="001B1D01">
            <w:pPr>
              <w:pStyle w:val="Compact"/>
              <w:jc w:val="right"/>
              <w:rPr>
                <w:sz w:val="21"/>
              </w:rPr>
            </w:pPr>
            <w:r w:rsidRPr="003F58C5">
              <w:rPr>
                <w:sz w:val="21"/>
              </w:rPr>
              <w:t>7</w:t>
            </w:r>
          </w:p>
        </w:tc>
      </w:tr>
    </w:tbl>
    <w:p w14:paraId="20363082" w14:textId="59EFA452" w:rsidR="00DD20BF" w:rsidRPr="009A6799" w:rsidRDefault="00DD20BF" w:rsidP="00F02E62">
      <w:pPr>
        <w:spacing w:line="480" w:lineRule="auto"/>
        <w:rPr>
          <w:b/>
          <w:color w:val="000000"/>
          <w:sz w:val="28"/>
        </w:rPr>
      </w:pPr>
      <w:r w:rsidRPr="009A6799">
        <w:rPr>
          <w:b/>
          <w:color w:val="000000"/>
          <w:sz w:val="28"/>
        </w:rPr>
        <w:lastRenderedPageBreak/>
        <w:t>Discussion:</w:t>
      </w:r>
    </w:p>
    <w:p w14:paraId="4D3674B7" w14:textId="77777777" w:rsidR="002D62B7" w:rsidRDefault="00C7698F" w:rsidP="004D516B">
      <w:pPr>
        <w:spacing w:line="480" w:lineRule="auto"/>
        <w:ind w:firstLine="720"/>
      </w:pPr>
      <w:r>
        <w:rPr>
          <w:rFonts w:eastAsia="Times New Roman"/>
        </w:rPr>
        <w:tab/>
      </w:r>
      <w:r w:rsidR="004D516B">
        <w:t xml:space="preserve">The PTEN compound has large impacts on the genetic expression of </w:t>
      </w:r>
      <w:r w:rsidR="004D516B" w:rsidRPr="009A6799">
        <w:rPr>
          <w:color w:val="000000"/>
        </w:rPr>
        <w:t>human breast epithelial MCF10a cells</w:t>
      </w:r>
      <w:r w:rsidR="004D516B">
        <w:t>. Unfortunately, these results are not directly comparable to the original analysis since the original focused heavily exploring clusters of expressed genes through GO analysis.</w:t>
      </w:r>
      <w:r w:rsidR="004D516B">
        <w:t xml:space="preserve"> The impulse model should be an improvement over the DESeq2 approach for time course models since it treats time as a continuous variable. </w:t>
      </w:r>
      <w:r w:rsidR="006A068C">
        <w:t xml:space="preserve">The </w:t>
      </w:r>
      <w:r w:rsidR="00C74521">
        <w:t xml:space="preserve">method easily implemented through the ImpulseDE2 package from Bioconductor. </w:t>
      </w:r>
    </w:p>
    <w:p w14:paraId="2CD77944" w14:textId="6BB71D77" w:rsidR="002D62B7" w:rsidRDefault="003A7D0B" w:rsidP="004D516B">
      <w:pPr>
        <w:spacing w:line="480" w:lineRule="auto"/>
        <w:ind w:firstLine="720"/>
      </w:pPr>
      <w:r>
        <w:t>One improvement t</w:t>
      </w:r>
      <w:r w:rsidR="00482A8D">
        <w:t xml:space="preserve">hat could be made is adding some diagnostic or tool to aid in </w:t>
      </w:r>
      <w:r w:rsidR="00DE7880">
        <w:t xml:space="preserve">the decision to fit either a sigmoid or impulse model. The </w:t>
      </w:r>
      <w:r w:rsidR="009F0608">
        <w:t xml:space="preserve">package allows </w:t>
      </w:r>
      <w:r w:rsidR="002D62B7">
        <w:t>for both to be implemented easily, and the impulse model is not necessary when we have monotonous expression change. Figures 3 shows the expression trajectories fo</w:t>
      </w:r>
      <w:r w:rsidR="002E602F">
        <w:t>r two different genes where the impulse model seems more appropriate for the first, but a sigmoid model should suffice for the second. We wouldn’t know this unless we dug around through each gene and specified this ourselves.</w:t>
      </w:r>
    </w:p>
    <w:p w14:paraId="5A17B312" w14:textId="4233A945" w:rsidR="00296CCC" w:rsidRDefault="00296CCC" w:rsidP="00296CCC">
      <w:pPr>
        <w:spacing w:line="480" w:lineRule="auto"/>
        <w:ind w:firstLine="720"/>
      </w:pPr>
      <w:r>
        <w:t>That said, t</w:t>
      </w:r>
      <w:r>
        <w:t xml:space="preserve">he impulse model is also unintentionally appropriate for modeling expressions that are expected to experience “feedback” loops like we have in this data set. The feedback loop could create </w:t>
      </w:r>
      <w:r>
        <w:t>two separate</w:t>
      </w:r>
      <w:r w:rsidRPr="00296CCC">
        <w:t xml:space="preserve"> shifts in expression in the same direction like we see in the </w:t>
      </w:r>
      <w:r w:rsidRPr="00296CCC">
        <w:rPr>
          <w:sz w:val="22"/>
        </w:rPr>
        <w:t>gene ENSG00000026025 (right)</w:t>
      </w:r>
      <w:r>
        <w:rPr>
          <w:sz w:val="22"/>
        </w:rPr>
        <w:t xml:space="preserve"> in Figure 3</w:t>
      </w:r>
      <w:r>
        <w:t>. This could be an improvement on the sigmoid model since we are capturing the monotonous growth and the “feedback” aspect simultaneously.</w:t>
      </w:r>
      <w:bookmarkStart w:id="0" w:name="_GoBack"/>
      <w:bookmarkEnd w:id="0"/>
    </w:p>
    <w:p w14:paraId="6AC2143B" w14:textId="4372CB90" w:rsidR="002D62B7" w:rsidRDefault="00062B48" w:rsidP="004D516B">
      <w:pPr>
        <w:spacing w:line="480" w:lineRule="auto"/>
        <w:ind w:firstLine="720"/>
        <w:rPr>
          <w:i/>
          <w:sz w:val="22"/>
        </w:rPr>
      </w:pPr>
      <w:r>
        <w:rPr>
          <w:rFonts w:ascii="Helvetica" w:hAnsi="Helvetica" w:cs="Helvetica"/>
          <w:noProof/>
        </w:rPr>
        <w:lastRenderedPageBreak/>
        <w:drawing>
          <wp:anchor distT="0" distB="0" distL="114300" distR="114300" simplePos="0" relativeHeight="251666432" behindDoc="0" locked="0" layoutInCell="1" allowOverlap="1" wp14:anchorId="204CD6C1" wp14:editId="317F3BC4">
            <wp:simplePos x="0" y="0"/>
            <wp:positionH relativeFrom="column">
              <wp:posOffset>3253105</wp:posOffset>
            </wp:positionH>
            <wp:positionV relativeFrom="paragraph">
              <wp:posOffset>983615</wp:posOffset>
            </wp:positionV>
            <wp:extent cx="3020695" cy="2169795"/>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0695" cy="2169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65408" behindDoc="0" locked="0" layoutInCell="1" allowOverlap="1" wp14:anchorId="7535E596" wp14:editId="667BA33D">
            <wp:simplePos x="0" y="0"/>
            <wp:positionH relativeFrom="column">
              <wp:posOffset>-62865</wp:posOffset>
            </wp:positionH>
            <wp:positionV relativeFrom="paragraph">
              <wp:posOffset>982345</wp:posOffset>
            </wp:positionV>
            <wp:extent cx="3020695" cy="216979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0695" cy="216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2D62B7">
        <w:rPr>
          <w:i/>
          <w:sz w:val="22"/>
        </w:rPr>
        <w:t>Figu</w:t>
      </w:r>
      <w:r w:rsidR="00296CCC">
        <w:rPr>
          <w:i/>
          <w:sz w:val="22"/>
        </w:rPr>
        <w:t>re 3</w:t>
      </w:r>
      <w:r w:rsidR="002D62B7">
        <w:rPr>
          <w:i/>
          <w:sz w:val="22"/>
        </w:rPr>
        <w:t>: The trajectory of the gene ENSG00000011028 (left)</w:t>
      </w:r>
      <w:r w:rsidR="002E602F">
        <w:rPr>
          <w:i/>
          <w:sz w:val="22"/>
        </w:rPr>
        <w:t xml:space="preserve"> would require an impulse model to detect the peak and steady states in its trajectory, but the gene ENSG00000026025 (right) has a monotonous trajectory that might be better fit by a sigmoid model.</w:t>
      </w:r>
    </w:p>
    <w:p w14:paraId="52470532" w14:textId="5EBC6C11" w:rsidR="00EC5E5B" w:rsidRPr="009A6799" w:rsidRDefault="00EC5E5B"/>
    <w:p w14:paraId="14A2B48E" w14:textId="77777777" w:rsidR="00296CCC" w:rsidRDefault="00296CCC">
      <w:pPr>
        <w:rPr>
          <w:b/>
          <w:sz w:val="28"/>
        </w:rPr>
      </w:pPr>
      <w:r>
        <w:rPr>
          <w:b/>
          <w:sz w:val="28"/>
        </w:rPr>
        <w:br w:type="page"/>
      </w:r>
    </w:p>
    <w:p w14:paraId="1B40C907" w14:textId="0CB19B62" w:rsidR="00F02E62" w:rsidRPr="009A6799" w:rsidRDefault="00EC5E5B">
      <w:pPr>
        <w:rPr>
          <w:b/>
          <w:sz w:val="28"/>
        </w:rPr>
      </w:pPr>
      <w:r w:rsidRPr="009A6799">
        <w:rPr>
          <w:b/>
          <w:sz w:val="28"/>
        </w:rPr>
        <w:lastRenderedPageBreak/>
        <w:t>Reference:</w:t>
      </w:r>
    </w:p>
    <w:p w14:paraId="44E67B7A" w14:textId="77777777" w:rsidR="00EC5E5B" w:rsidRPr="009A6799" w:rsidRDefault="00EC5E5B">
      <w:pPr>
        <w:rPr>
          <w:b/>
          <w:sz w:val="28"/>
        </w:rPr>
      </w:pPr>
    </w:p>
    <w:p w14:paraId="7592546E" w14:textId="3D9E309C" w:rsidR="00EC5E5B" w:rsidRPr="009A6799" w:rsidRDefault="00EC5E5B" w:rsidP="00EC5E5B">
      <w:pPr>
        <w:pStyle w:val="ListParagraph"/>
        <w:numPr>
          <w:ilvl w:val="0"/>
          <w:numId w:val="1"/>
        </w:numPr>
        <w:rPr>
          <w:rFonts w:ascii="Times New Roman" w:eastAsia="Times New Roman" w:hAnsi="Times New Roman" w:cs="Times New Roman"/>
        </w:rPr>
      </w:pPr>
      <w:r w:rsidRPr="009A6799">
        <w:rPr>
          <w:rFonts w:ascii="Times New Roman" w:eastAsia="Times New Roman" w:hAnsi="Times New Roman" w:cs="Times New Roman"/>
          <w:color w:val="000000"/>
          <w:shd w:val="clear" w:color="auto" w:fill="FFFFFF"/>
        </w:rPr>
        <w:t>Vanhaesebroeck B., Guillermet-Guibert J., Graupera M., Bilanges B. The emerging mechanisms of isoform-specific PI3K signalling. Nat. Rev. Mol. Cell Biol. 2010;11:329–341.</w:t>
      </w:r>
    </w:p>
    <w:p w14:paraId="2F15FC5E" w14:textId="77777777" w:rsidR="00DD20BF" w:rsidRPr="009A6799" w:rsidRDefault="00DD20BF" w:rsidP="00DD20BF">
      <w:pPr>
        <w:pStyle w:val="ListParagraph"/>
        <w:numPr>
          <w:ilvl w:val="0"/>
          <w:numId w:val="1"/>
        </w:numPr>
        <w:rPr>
          <w:rFonts w:ascii="Times New Roman" w:eastAsia="Times New Roman" w:hAnsi="Times New Roman" w:cs="Times New Roman"/>
        </w:rPr>
      </w:pPr>
      <w:r w:rsidRPr="009A6799">
        <w:rPr>
          <w:rFonts w:ascii="Times New Roman" w:eastAsia="Times New Roman" w:hAnsi="Times New Roman" w:cs="Times New Roman"/>
          <w:color w:val="000000"/>
          <w:shd w:val="clear" w:color="auto" w:fill="FFFFFF"/>
        </w:rPr>
        <w:t>Manning B.D., Cantley L.C. AKT/PKB signaling: navigating downstream. Cell. 2007;129:1261–1274. </w:t>
      </w:r>
    </w:p>
    <w:p w14:paraId="1E2045FF" w14:textId="77777777" w:rsidR="00DD20BF" w:rsidRPr="009A6799" w:rsidRDefault="00DD20BF" w:rsidP="00DD20BF">
      <w:pPr>
        <w:pStyle w:val="ListParagraph"/>
        <w:numPr>
          <w:ilvl w:val="0"/>
          <w:numId w:val="1"/>
        </w:numPr>
        <w:rPr>
          <w:rFonts w:ascii="Times New Roman" w:eastAsia="Times New Roman" w:hAnsi="Times New Roman" w:cs="Times New Roman"/>
        </w:rPr>
      </w:pPr>
      <w:r w:rsidRPr="009A6799">
        <w:rPr>
          <w:rFonts w:ascii="Times New Roman" w:eastAsia="Times New Roman" w:hAnsi="Times New Roman" w:cs="Times New Roman"/>
          <w:color w:val="000000"/>
          <w:shd w:val="clear" w:color="auto" w:fill="FFFFFF"/>
        </w:rPr>
        <w:t>Schmidlin M., Lu M., Leuenberger S.A., Stoecklin G., Mallaun M., Gross B., Gherzi R., Hess D., Hemmings B.A., Moroni C. The ARE-dependent mRNA-destabilizing activity of BRF1 is regulated by protein kinase B. EMBO J. 2004;23:4760–4769. </w:t>
      </w:r>
    </w:p>
    <w:p w14:paraId="45170FD5" w14:textId="0DB7EAB7" w:rsidR="007D222A" w:rsidRPr="009A6799" w:rsidRDefault="007D222A" w:rsidP="007D222A">
      <w:pPr>
        <w:pStyle w:val="ListParagraph"/>
        <w:numPr>
          <w:ilvl w:val="0"/>
          <w:numId w:val="1"/>
        </w:numPr>
        <w:rPr>
          <w:rFonts w:ascii="Times New Roman" w:eastAsia="Times New Roman" w:hAnsi="Times New Roman" w:cs="Times New Roman"/>
        </w:rPr>
      </w:pPr>
      <w:r w:rsidRPr="009A6799">
        <w:rPr>
          <w:rFonts w:ascii="Times New Roman" w:eastAsia="Times New Roman" w:hAnsi="Times New Roman" w:cs="Times New Roman"/>
          <w:color w:val="000000"/>
          <w:shd w:val="clear" w:color="auto" w:fill="FFFFFF"/>
        </w:rPr>
        <w:t>Andrews S. FastQC: a quality control tool for high throughput sequence data. </w:t>
      </w:r>
      <w:hyperlink r:id="rId10" w:history="1">
        <w:r w:rsidRPr="009A6799">
          <w:rPr>
            <w:rFonts w:ascii="Times New Roman" w:eastAsia="Times New Roman" w:hAnsi="Times New Roman" w:cs="Times New Roman"/>
            <w:color w:val="642A8F"/>
            <w:u w:val="single"/>
            <w:shd w:val="clear" w:color="auto" w:fill="FFFFFF"/>
          </w:rPr>
          <w:t>http://www.bioinformatics.babraham.ac.uk/projects/fastqc</w:t>
        </w:r>
      </w:hyperlink>
      <w:r w:rsidRPr="009A6799">
        <w:rPr>
          <w:rFonts w:ascii="Times New Roman" w:eastAsia="Times New Roman" w:hAnsi="Times New Roman" w:cs="Times New Roman"/>
          <w:color w:val="000000"/>
          <w:shd w:val="clear" w:color="auto" w:fill="FFFFFF"/>
        </w:rPr>
        <w:t> 2010</w:t>
      </w:r>
    </w:p>
    <w:p w14:paraId="544F3E57" w14:textId="77777777" w:rsidR="00FB25DA" w:rsidRPr="009A6799" w:rsidRDefault="00FB25DA" w:rsidP="00FB25DA">
      <w:pPr>
        <w:pStyle w:val="ListParagraph"/>
        <w:numPr>
          <w:ilvl w:val="0"/>
          <w:numId w:val="1"/>
        </w:numPr>
        <w:rPr>
          <w:rFonts w:ascii="Times New Roman" w:eastAsia="Times New Roman" w:hAnsi="Times New Roman" w:cs="Times New Roman"/>
        </w:rPr>
      </w:pPr>
      <w:r w:rsidRPr="009A6799">
        <w:rPr>
          <w:rFonts w:ascii="Times New Roman" w:eastAsia="Times New Roman" w:hAnsi="Times New Roman" w:cs="Times New Roman"/>
          <w:color w:val="000000"/>
          <w:shd w:val="clear" w:color="auto" w:fill="FFFFFF"/>
        </w:rPr>
        <w:t>Love M.I., Huber W., Anders S. Moderated estimation of fold change and dispersion for RNA-seq data with DESeq2. Genome Biol. 2014;15:550–571. </w:t>
      </w:r>
    </w:p>
    <w:p w14:paraId="5FD4F672" w14:textId="7C832BD4" w:rsidR="0099235D" w:rsidRPr="009A6799" w:rsidRDefault="0099235D" w:rsidP="00643955">
      <w:pPr>
        <w:pStyle w:val="ListParagraph"/>
        <w:numPr>
          <w:ilvl w:val="0"/>
          <w:numId w:val="1"/>
        </w:numPr>
        <w:rPr>
          <w:rFonts w:ascii="Times New Roman" w:eastAsia="Times New Roman" w:hAnsi="Times New Roman" w:cs="Times New Roman"/>
          <w:color w:val="000000"/>
          <w:shd w:val="clear" w:color="auto" w:fill="FFFFFF"/>
        </w:rPr>
      </w:pPr>
      <w:r w:rsidRPr="009A6799">
        <w:rPr>
          <w:rFonts w:ascii="Times New Roman" w:eastAsia="Times New Roman" w:hAnsi="Times New Roman" w:cs="Times New Roman"/>
          <w:color w:val="000000"/>
          <w:shd w:val="clear" w:color="auto" w:fill="FFFFFF"/>
        </w:rPr>
        <w:t>Jil Sander, Joachim L Schultze, Nir Yosef; ImpulseDE: detection of differentially expressed genes in time series data using impulse models, Bioinformatics, Volume 33, Issue 5, 1 March 2017, Pages 757–759, </w:t>
      </w:r>
      <w:hyperlink r:id="rId11" w:history="1">
        <w:r w:rsidRPr="009A6799">
          <w:rPr>
            <w:rFonts w:ascii="Times New Roman" w:eastAsia="Times New Roman" w:hAnsi="Times New Roman" w:cs="Times New Roman"/>
            <w:color w:val="000000"/>
            <w:shd w:val="clear" w:color="auto" w:fill="FFFFFF"/>
          </w:rPr>
          <w:t>https://doi.org/10.1093/bioinformatics/btw665</w:t>
        </w:r>
      </w:hyperlink>
      <w:r w:rsidR="001B1336" w:rsidRPr="009A6799">
        <w:rPr>
          <w:rFonts w:ascii="Times New Roman" w:eastAsia="Times New Roman" w:hAnsi="Times New Roman" w:cs="Times New Roman"/>
          <w:color w:val="000000"/>
          <w:shd w:val="clear" w:color="auto" w:fill="FFFFFF"/>
        </w:rPr>
        <w:t>.</w:t>
      </w:r>
    </w:p>
    <w:p w14:paraId="07FF5799" w14:textId="2DC1BD2D" w:rsidR="0099235D" w:rsidRPr="009A6799" w:rsidRDefault="001B1336" w:rsidP="001B1336">
      <w:pPr>
        <w:pStyle w:val="ListParagraph"/>
        <w:numPr>
          <w:ilvl w:val="0"/>
          <w:numId w:val="1"/>
        </w:numPr>
        <w:rPr>
          <w:rFonts w:ascii="Times New Roman" w:eastAsia="Times New Roman" w:hAnsi="Times New Roman" w:cs="Times New Roman"/>
          <w:color w:val="000000"/>
          <w:shd w:val="clear" w:color="auto" w:fill="FFFFFF"/>
        </w:rPr>
      </w:pPr>
      <w:r w:rsidRPr="009A6799">
        <w:rPr>
          <w:rFonts w:ascii="Times New Roman" w:eastAsia="Times New Roman" w:hAnsi="Times New Roman" w:cs="Times New Roman"/>
          <w:color w:val="000000"/>
          <w:shd w:val="clear" w:color="auto" w:fill="FFFFFF"/>
        </w:rPr>
        <w:t>David S. Fischer, Fabian J. Theisa, and Nir Yosef; Impulse model-based di_erential expression analysis of time course sequencing data, March 3, 2017.</w:t>
      </w:r>
    </w:p>
    <w:p w14:paraId="01D20985" w14:textId="675EA547" w:rsidR="00A57DAC" w:rsidRPr="009A6799" w:rsidRDefault="00A57DAC" w:rsidP="00A57DAC">
      <w:pPr>
        <w:pStyle w:val="ListParagraph"/>
        <w:numPr>
          <w:ilvl w:val="0"/>
          <w:numId w:val="1"/>
        </w:numPr>
        <w:rPr>
          <w:rFonts w:ascii="Times New Roman" w:eastAsia="Times New Roman" w:hAnsi="Times New Roman" w:cs="Times New Roman"/>
          <w:color w:val="000000"/>
          <w:shd w:val="clear" w:color="auto" w:fill="FFFFFF"/>
        </w:rPr>
      </w:pPr>
      <w:r w:rsidRPr="009A6799">
        <w:rPr>
          <w:rFonts w:ascii="Times New Roman" w:eastAsia="Times New Roman" w:hAnsi="Times New Roman" w:cs="Times New Roman"/>
          <w:color w:val="000000"/>
          <w:shd w:val="clear" w:color="auto" w:fill="FFFFFF"/>
        </w:rPr>
        <w:t>David S Fischer (2018). ImpulseDE2: Differential expression analysis of longitudinal count data sets. R package version 1.6.0.</w:t>
      </w:r>
    </w:p>
    <w:p w14:paraId="48E82131" w14:textId="39AF4C26" w:rsidR="0005313F" w:rsidRPr="009A6799" w:rsidRDefault="0005313F" w:rsidP="0005313F">
      <w:pPr>
        <w:pStyle w:val="ListParagraph"/>
        <w:numPr>
          <w:ilvl w:val="0"/>
          <w:numId w:val="1"/>
        </w:numPr>
        <w:rPr>
          <w:rFonts w:ascii="Times New Roman" w:eastAsia="Times New Roman" w:hAnsi="Times New Roman" w:cs="Times New Roman"/>
          <w:color w:val="000000"/>
          <w:shd w:val="clear" w:color="auto" w:fill="FFFFFF"/>
        </w:rPr>
      </w:pPr>
      <w:r w:rsidRPr="009A6799">
        <w:rPr>
          <w:rFonts w:ascii="Times New Roman" w:eastAsia="Times New Roman" w:hAnsi="Times New Roman" w:cs="Times New Roman"/>
          <w:color w:val="000000"/>
          <w:shd w:val="clear" w:color="auto" w:fill="FFFFFF"/>
        </w:rPr>
        <w:t>D. Risso, K. Schwartz, G. Sherlock and S. Dudoit (2011). GC-Content Normalization for RNA-Seq Data. BMC Bioinformatics 12:480</w:t>
      </w:r>
    </w:p>
    <w:p w14:paraId="3E3A963D" w14:textId="77777777" w:rsidR="00EC5E5B" w:rsidRPr="009A6799" w:rsidRDefault="00EC5E5B" w:rsidP="00643955">
      <w:pPr>
        <w:pStyle w:val="ListParagraph"/>
        <w:rPr>
          <w:rFonts w:ascii="Times New Roman" w:eastAsia="Times New Roman" w:hAnsi="Times New Roman" w:cs="Times New Roman"/>
        </w:rPr>
      </w:pPr>
    </w:p>
    <w:p w14:paraId="591BDAE6" w14:textId="7C6AA67F" w:rsidR="00EC5E5B" w:rsidRPr="009A6799" w:rsidRDefault="00EC5E5B" w:rsidP="00EC5E5B">
      <w:pPr>
        <w:pStyle w:val="ListParagraph"/>
        <w:rPr>
          <w:rFonts w:ascii="Times New Roman" w:hAnsi="Times New Roman" w:cs="Times New Roman"/>
        </w:rPr>
      </w:pPr>
    </w:p>
    <w:sectPr w:rsidR="00EC5E5B" w:rsidRPr="009A6799" w:rsidSect="007E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17A2B"/>
    <w:multiLevelType w:val="hybridMultilevel"/>
    <w:tmpl w:val="AF34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E1FD9"/>
    <w:multiLevelType w:val="hybridMultilevel"/>
    <w:tmpl w:val="92B83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84C38"/>
    <w:multiLevelType w:val="hybridMultilevel"/>
    <w:tmpl w:val="FB04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15F2D"/>
    <w:multiLevelType w:val="hybridMultilevel"/>
    <w:tmpl w:val="AF340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B6"/>
    <w:rsid w:val="0000628A"/>
    <w:rsid w:val="00014A43"/>
    <w:rsid w:val="0001543A"/>
    <w:rsid w:val="0005313F"/>
    <w:rsid w:val="00057B68"/>
    <w:rsid w:val="00062B48"/>
    <w:rsid w:val="00087DD9"/>
    <w:rsid w:val="00096293"/>
    <w:rsid w:val="000D7735"/>
    <w:rsid w:val="000E0E43"/>
    <w:rsid w:val="000E61EE"/>
    <w:rsid w:val="000F5A84"/>
    <w:rsid w:val="001164DE"/>
    <w:rsid w:val="001400B3"/>
    <w:rsid w:val="00172CF7"/>
    <w:rsid w:val="00184D60"/>
    <w:rsid w:val="00187517"/>
    <w:rsid w:val="00193C3E"/>
    <w:rsid w:val="001B1336"/>
    <w:rsid w:val="001B1D01"/>
    <w:rsid w:val="001B7E84"/>
    <w:rsid w:val="001C6D7B"/>
    <w:rsid w:val="001D1294"/>
    <w:rsid w:val="001F1149"/>
    <w:rsid w:val="00205158"/>
    <w:rsid w:val="00213DDB"/>
    <w:rsid w:val="00250CA9"/>
    <w:rsid w:val="00260144"/>
    <w:rsid w:val="00296CCC"/>
    <w:rsid w:val="002D62B7"/>
    <w:rsid w:val="002E602F"/>
    <w:rsid w:val="002F036B"/>
    <w:rsid w:val="003432B6"/>
    <w:rsid w:val="00360B06"/>
    <w:rsid w:val="003A7D0B"/>
    <w:rsid w:val="003B6808"/>
    <w:rsid w:val="003C37AC"/>
    <w:rsid w:val="003C6A2B"/>
    <w:rsid w:val="003C76DC"/>
    <w:rsid w:val="003D7D5E"/>
    <w:rsid w:val="003F58C5"/>
    <w:rsid w:val="00477D56"/>
    <w:rsid w:val="00482A8D"/>
    <w:rsid w:val="0049207A"/>
    <w:rsid w:val="00496D1B"/>
    <w:rsid w:val="004D516B"/>
    <w:rsid w:val="004D5BFA"/>
    <w:rsid w:val="004D763E"/>
    <w:rsid w:val="004E24F8"/>
    <w:rsid w:val="00532519"/>
    <w:rsid w:val="00546733"/>
    <w:rsid w:val="00582564"/>
    <w:rsid w:val="005A0BF8"/>
    <w:rsid w:val="00620D9C"/>
    <w:rsid w:val="006337BF"/>
    <w:rsid w:val="00643955"/>
    <w:rsid w:val="00651834"/>
    <w:rsid w:val="00667D16"/>
    <w:rsid w:val="00676489"/>
    <w:rsid w:val="00676656"/>
    <w:rsid w:val="006875E9"/>
    <w:rsid w:val="006A068C"/>
    <w:rsid w:val="006D4974"/>
    <w:rsid w:val="006E74FE"/>
    <w:rsid w:val="006F4465"/>
    <w:rsid w:val="00723AE9"/>
    <w:rsid w:val="00724C9C"/>
    <w:rsid w:val="007765A8"/>
    <w:rsid w:val="007931F3"/>
    <w:rsid w:val="00796CBF"/>
    <w:rsid w:val="007C1D8A"/>
    <w:rsid w:val="007D222A"/>
    <w:rsid w:val="007E3276"/>
    <w:rsid w:val="007F3CC5"/>
    <w:rsid w:val="008020E4"/>
    <w:rsid w:val="00806BD7"/>
    <w:rsid w:val="00825C23"/>
    <w:rsid w:val="00843E7F"/>
    <w:rsid w:val="008604BB"/>
    <w:rsid w:val="0088191E"/>
    <w:rsid w:val="008A1641"/>
    <w:rsid w:val="008D2D82"/>
    <w:rsid w:val="008D54EA"/>
    <w:rsid w:val="008F2C47"/>
    <w:rsid w:val="009351BA"/>
    <w:rsid w:val="009731EB"/>
    <w:rsid w:val="009736B0"/>
    <w:rsid w:val="00975017"/>
    <w:rsid w:val="00980929"/>
    <w:rsid w:val="0099235D"/>
    <w:rsid w:val="009A01D2"/>
    <w:rsid w:val="009A6799"/>
    <w:rsid w:val="009B2384"/>
    <w:rsid w:val="009B2C22"/>
    <w:rsid w:val="009B71B3"/>
    <w:rsid w:val="009C3C40"/>
    <w:rsid w:val="009F0608"/>
    <w:rsid w:val="00A44CFB"/>
    <w:rsid w:val="00A54FDD"/>
    <w:rsid w:val="00A57DAC"/>
    <w:rsid w:val="00A76361"/>
    <w:rsid w:val="00A76A3E"/>
    <w:rsid w:val="00A841C8"/>
    <w:rsid w:val="00AA7FA6"/>
    <w:rsid w:val="00AE5D11"/>
    <w:rsid w:val="00AF5FFF"/>
    <w:rsid w:val="00B02AD3"/>
    <w:rsid w:val="00B148EA"/>
    <w:rsid w:val="00B56F09"/>
    <w:rsid w:val="00B57418"/>
    <w:rsid w:val="00B839E2"/>
    <w:rsid w:val="00B87C4D"/>
    <w:rsid w:val="00BC2573"/>
    <w:rsid w:val="00BF78DE"/>
    <w:rsid w:val="00C04464"/>
    <w:rsid w:val="00C05B54"/>
    <w:rsid w:val="00C240FE"/>
    <w:rsid w:val="00C44C31"/>
    <w:rsid w:val="00C74521"/>
    <w:rsid w:val="00C75691"/>
    <w:rsid w:val="00C7698F"/>
    <w:rsid w:val="00CF3BE3"/>
    <w:rsid w:val="00D0352C"/>
    <w:rsid w:val="00D11812"/>
    <w:rsid w:val="00D15EBC"/>
    <w:rsid w:val="00D42FE6"/>
    <w:rsid w:val="00D72081"/>
    <w:rsid w:val="00DB2B11"/>
    <w:rsid w:val="00DC4EAE"/>
    <w:rsid w:val="00DC756B"/>
    <w:rsid w:val="00DD20BF"/>
    <w:rsid w:val="00DE7880"/>
    <w:rsid w:val="00DF0C3D"/>
    <w:rsid w:val="00DF3282"/>
    <w:rsid w:val="00E01833"/>
    <w:rsid w:val="00E308B5"/>
    <w:rsid w:val="00E53476"/>
    <w:rsid w:val="00EC5E5B"/>
    <w:rsid w:val="00F02E62"/>
    <w:rsid w:val="00F63E1A"/>
    <w:rsid w:val="00FB25DA"/>
    <w:rsid w:val="00FD34E2"/>
    <w:rsid w:val="00FD786F"/>
    <w:rsid w:val="00FD7EE7"/>
    <w:rsid w:val="00FE2387"/>
    <w:rsid w:val="00FF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336"/>
    <w:rPr>
      <w:rFonts w:ascii="Times New Roman" w:hAnsi="Times New Roman" w:cs="Times New Roman"/>
    </w:rPr>
  </w:style>
  <w:style w:type="paragraph" w:styleId="Heading1">
    <w:name w:val="heading 1"/>
    <w:basedOn w:val="Normal"/>
    <w:link w:val="Heading1Char"/>
    <w:uiPriority w:val="9"/>
    <w:qFormat/>
    <w:rsid w:val="00172CF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F02E62"/>
    <w:pPr>
      <w:spacing w:before="100" w:beforeAutospacing="1" w:after="100" w:afterAutospacing="1"/>
    </w:pPr>
  </w:style>
  <w:style w:type="character" w:styleId="Hyperlink">
    <w:name w:val="Hyperlink"/>
    <w:basedOn w:val="DefaultParagraphFont"/>
    <w:uiPriority w:val="99"/>
    <w:semiHidden/>
    <w:unhideWhenUsed/>
    <w:rsid w:val="00F02E62"/>
    <w:rPr>
      <w:color w:val="0000FF"/>
      <w:u w:val="single"/>
    </w:rPr>
  </w:style>
  <w:style w:type="paragraph" w:styleId="NormalWeb">
    <w:name w:val="Normal (Web)"/>
    <w:basedOn w:val="Normal"/>
    <w:uiPriority w:val="99"/>
    <w:semiHidden/>
    <w:unhideWhenUsed/>
    <w:rsid w:val="00F02E62"/>
    <w:pPr>
      <w:spacing w:before="100" w:beforeAutospacing="1" w:after="100" w:afterAutospacing="1"/>
    </w:pPr>
  </w:style>
  <w:style w:type="paragraph" w:styleId="ListParagraph">
    <w:name w:val="List Paragraph"/>
    <w:basedOn w:val="Normal"/>
    <w:uiPriority w:val="34"/>
    <w:qFormat/>
    <w:rsid w:val="00EC5E5B"/>
    <w:pPr>
      <w:ind w:left="720"/>
      <w:contextualSpacing/>
    </w:pPr>
    <w:rPr>
      <w:rFonts w:asciiTheme="minorHAnsi" w:hAnsiTheme="minorHAnsi" w:cstheme="minorBidi"/>
    </w:rPr>
  </w:style>
  <w:style w:type="character" w:customStyle="1" w:styleId="ref-journal">
    <w:name w:val="ref-journal"/>
    <w:basedOn w:val="DefaultParagraphFont"/>
    <w:rsid w:val="00EC5E5B"/>
  </w:style>
  <w:style w:type="character" w:customStyle="1" w:styleId="ref-vol">
    <w:name w:val="ref-vol"/>
    <w:basedOn w:val="DefaultParagraphFont"/>
    <w:rsid w:val="00EC5E5B"/>
  </w:style>
  <w:style w:type="character" w:customStyle="1" w:styleId="Heading1Char">
    <w:name w:val="Heading 1 Char"/>
    <w:basedOn w:val="DefaultParagraphFont"/>
    <w:link w:val="Heading1"/>
    <w:uiPriority w:val="9"/>
    <w:rsid w:val="00172CF7"/>
    <w:rPr>
      <w:rFonts w:ascii="Times New Roman" w:hAnsi="Times New Roman" w:cs="Times New Roman"/>
      <w:b/>
      <w:bCs/>
      <w:kern w:val="36"/>
      <w:sz w:val="48"/>
      <w:szCs w:val="48"/>
    </w:rPr>
  </w:style>
  <w:style w:type="character" w:customStyle="1" w:styleId="figpopup-sensitive-area">
    <w:name w:val="figpopup-sensitive-area"/>
    <w:basedOn w:val="DefaultParagraphFont"/>
    <w:rsid w:val="009B2C22"/>
  </w:style>
  <w:style w:type="character" w:styleId="Emphasis">
    <w:name w:val="Emphasis"/>
    <w:basedOn w:val="DefaultParagraphFont"/>
    <w:uiPriority w:val="20"/>
    <w:qFormat/>
    <w:rsid w:val="0099235D"/>
    <w:rPr>
      <w:i/>
      <w:iCs/>
    </w:rPr>
  </w:style>
  <w:style w:type="character" w:styleId="PlaceholderText">
    <w:name w:val="Placeholder Text"/>
    <w:basedOn w:val="DefaultParagraphFont"/>
    <w:uiPriority w:val="99"/>
    <w:semiHidden/>
    <w:rsid w:val="00360B06"/>
    <w:rPr>
      <w:color w:val="808080"/>
    </w:rPr>
  </w:style>
  <w:style w:type="paragraph" w:customStyle="1" w:styleId="Compact">
    <w:name w:val="Compact"/>
    <w:basedOn w:val="BodyText"/>
    <w:qFormat/>
    <w:rsid w:val="001B1D01"/>
    <w:pPr>
      <w:spacing w:before="36" w:after="36"/>
    </w:pPr>
    <w:rPr>
      <w:rFonts w:asciiTheme="minorHAnsi" w:hAnsiTheme="minorHAnsi" w:cstheme="minorBidi"/>
    </w:rPr>
  </w:style>
  <w:style w:type="paragraph" w:styleId="BodyText">
    <w:name w:val="Body Text"/>
    <w:basedOn w:val="Normal"/>
    <w:link w:val="BodyTextChar"/>
    <w:uiPriority w:val="99"/>
    <w:semiHidden/>
    <w:unhideWhenUsed/>
    <w:rsid w:val="001B1D01"/>
    <w:pPr>
      <w:spacing w:after="120"/>
    </w:pPr>
  </w:style>
  <w:style w:type="character" w:customStyle="1" w:styleId="BodyTextChar">
    <w:name w:val="Body Text Char"/>
    <w:basedOn w:val="DefaultParagraphFont"/>
    <w:link w:val="BodyText"/>
    <w:uiPriority w:val="99"/>
    <w:semiHidden/>
    <w:rsid w:val="001B1D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96782">
      <w:bodyDiv w:val="1"/>
      <w:marLeft w:val="0"/>
      <w:marRight w:val="0"/>
      <w:marTop w:val="0"/>
      <w:marBottom w:val="0"/>
      <w:divBdr>
        <w:top w:val="none" w:sz="0" w:space="0" w:color="auto"/>
        <w:left w:val="none" w:sz="0" w:space="0" w:color="auto"/>
        <w:bottom w:val="none" w:sz="0" w:space="0" w:color="auto"/>
        <w:right w:val="none" w:sz="0" w:space="0" w:color="auto"/>
      </w:divBdr>
    </w:div>
    <w:div w:id="176123476">
      <w:bodyDiv w:val="1"/>
      <w:marLeft w:val="0"/>
      <w:marRight w:val="0"/>
      <w:marTop w:val="0"/>
      <w:marBottom w:val="0"/>
      <w:divBdr>
        <w:top w:val="none" w:sz="0" w:space="0" w:color="auto"/>
        <w:left w:val="none" w:sz="0" w:space="0" w:color="auto"/>
        <w:bottom w:val="none" w:sz="0" w:space="0" w:color="auto"/>
        <w:right w:val="none" w:sz="0" w:space="0" w:color="auto"/>
      </w:divBdr>
    </w:div>
    <w:div w:id="181479204">
      <w:bodyDiv w:val="1"/>
      <w:marLeft w:val="0"/>
      <w:marRight w:val="0"/>
      <w:marTop w:val="0"/>
      <w:marBottom w:val="0"/>
      <w:divBdr>
        <w:top w:val="none" w:sz="0" w:space="0" w:color="auto"/>
        <w:left w:val="none" w:sz="0" w:space="0" w:color="auto"/>
        <w:bottom w:val="none" w:sz="0" w:space="0" w:color="auto"/>
        <w:right w:val="none" w:sz="0" w:space="0" w:color="auto"/>
      </w:divBdr>
    </w:div>
    <w:div w:id="213977492">
      <w:bodyDiv w:val="1"/>
      <w:marLeft w:val="0"/>
      <w:marRight w:val="0"/>
      <w:marTop w:val="0"/>
      <w:marBottom w:val="0"/>
      <w:divBdr>
        <w:top w:val="none" w:sz="0" w:space="0" w:color="auto"/>
        <w:left w:val="none" w:sz="0" w:space="0" w:color="auto"/>
        <w:bottom w:val="none" w:sz="0" w:space="0" w:color="auto"/>
        <w:right w:val="none" w:sz="0" w:space="0" w:color="auto"/>
      </w:divBdr>
    </w:div>
    <w:div w:id="389422923">
      <w:bodyDiv w:val="1"/>
      <w:marLeft w:val="0"/>
      <w:marRight w:val="0"/>
      <w:marTop w:val="0"/>
      <w:marBottom w:val="0"/>
      <w:divBdr>
        <w:top w:val="none" w:sz="0" w:space="0" w:color="auto"/>
        <w:left w:val="none" w:sz="0" w:space="0" w:color="auto"/>
        <w:bottom w:val="none" w:sz="0" w:space="0" w:color="auto"/>
        <w:right w:val="none" w:sz="0" w:space="0" w:color="auto"/>
      </w:divBdr>
    </w:div>
    <w:div w:id="393045640">
      <w:bodyDiv w:val="1"/>
      <w:marLeft w:val="0"/>
      <w:marRight w:val="0"/>
      <w:marTop w:val="0"/>
      <w:marBottom w:val="0"/>
      <w:divBdr>
        <w:top w:val="none" w:sz="0" w:space="0" w:color="auto"/>
        <w:left w:val="none" w:sz="0" w:space="0" w:color="auto"/>
        <w:bottom w:val="none" w:sz="0" w:space="0" w:color="auto"/>
        <w:right w:val="none" w:sz="0" w:space="0" w:color="auto"/>
      </w:divBdr>
    </w:div>
    <w:div w:id="393088094">
      <w:bodyDiv w:val="1"/>
      <w:marLeft w:val="0"/>
      <w:marRight w:val="0"/>
      <w:marTop w:val="0"/>
      <w:marBottom w:val="0"/>
      <w:divBdr>
        <w:top w:val="none" w:sz="0" w:space="0" w:color="auto"/>
        <w:left w:val="none" w:sz="0" w:space="0" w:color="auto"/>
        <w:bottom w:val="none" w:sz="0" w:space="0" w:color="auto"/>
        <w:right w:val="none" w:sz="0" w:space="0" w:color="auto"/>
      </w:divBdr>
    </w:div>
    <w:div w:id="502164183">
      <w:bodyDiv w:val="1"/>
      <w:marLeft w:val="0"/>
      <w:marRight w:val="0"/>
      <w:marTop w:val="0"/>
      <w:marBottom w:val="0"/>
      <w:divBdr>
        <w:top w:val="none" w:sz="0" w:space="0" w:color="auto"/>
        <w:left w:val="none" w:sz="0" w:space="0" w:color="auto"/>
        <w:bottom w:val="none" w:sz="0" w:space="0" w:color="auto"/>
        <w:right w:val="none" w:sz="0" w:space="0" w:color="auto"/>
      </w:divBdr>
    </w:div>
    <w:div w:id="596596484">
      <w:bodyDiv w:val="1"/>
      <w:marLeft w:val="0"/>
      <w:marRight w:val="0"/>
      <w:marTop w:val="0"/>
      <w:marBottom w:val="0"/>
      <w:divBdr>
        <w:top w:val="none" w:sz="0" w:space="0" w:color="auto"/>
        <w:left w:val="none" w:sz="0" w:space="0" w:color="auto"/>
        <w:bottom w:val="none" w:sz="0" w:space="0" w:color="auto"/>
        <w:right w:val="none" w:sz="0" w:space="0" w:color="auto"/>
      </w:divBdr>
    </w:div>
    <w:div w:id="674572553">
      <w:bodyDiv w:val="1"/>
      <w:marLeft w:val="0"/>
      <w:marRight w:val="0"/>
      <w:marTop w:val="0"/>
      <w:marBottom w:val="0"/>
      <w:divBdr>
        <w:top w:val="none" w:sz="0" w:space="0" w:color="auto"/>
        <w:left w:val="none" w:sz="0" w:space="0" w:color="auto"/>
        <w:bottom w:val="none" w:sz="0" w:space="0" w:color="auto"/>
        <w:right w:val="none" w:sz="0" w:space="0" w:color="auto"/>
      </w:divBdr>
    </w:div>
    <w:div w:id="710884848">
      <w:bodyDiv w:val="1"/>
      <w:marLeft w:val="0"/>
      <w:marRight w:val="0"/>
      <w:marTop w:val="0"/>
      <w:marBottom w:val="0"/>
      <w:divBdr>
        <w:top w:val="none" w:sz="0" w:space="0" w:color="auto"/>
        <w:left w:val="none" w:sz="0" w:space="0" w:color="auto"/>
        <w:bottom w:val="none" w:sz="0" w:space="0" w:color="auto"/>
        <w:right w:val="none" w:sz="0" w:space="0" w:color="auto"/>
      </w:divBdr>
    </w:div>
    <w:div w:id="870192069">
      <w:bodyDiv w:val="1"/>
      <w:marLeft w:val="0"/>
      <w:marRight w:val="0"/>
      <w:marTop w:val="0"/>
      <w:marBottom w:val="0"/>
      <w:divBdr>
        <w:top w:val="none" w:sz="0" w:space="0" w:color="auto"/>
        <w:left w:val="none" w:sz="0" w:space="0" w:color="auto"/>
        <w:bottom w:val="none" w:sz="0" w:space="0" w:color="auto"/>
        <w:right w:val="none" w:sz="0" w:space="0" w:color="auto"/>
      </w:divBdr>
    </w:div>
    <w:div w:id="931007366">
      <w:bodyDiv w:val="1"/>
      <w:marLeft w:val="0"/>
      <w:marRight w:val="0"/>
      <w:marTop w:val="0"/>
      <w:marBottom w:val="0"/>
      <w:divBdr>
        <w:top w:val="none" w:sz="0" w:space="0" w:color="auto"/>
        <w:left w:val="none" w:sz="0" w:space="0" w:color="auto"/>
        <w:bottom w:val="none" w:sz="0" w:space="0" w:color="auto"/>
        <w:right w:val="none" w:sz="0" w:space="0" w:color="auto"/>
      </w:divBdr>
    </w:div>
    <w:div w:id="954946434">
      <w:bodyDiv w:val="1"/>
      <w:marLeft w:val="0"/>
      <w:marRight w:val="0"/>
      <w:marTop w:val="0"/>
      <w:marBottom w:val="0"/>
      <w:divBdr>
        <w:top w:val="none" w:sz="0" w:space="0" w:color="auto"/>
        <w:left w:val="none" w:sz="0" w:space="0" w:color="auto"/>
        <w:bottom w:val="none" w:sz="0" w:space="0" w:color="auto"/>
        <w:right w:val="none" w:sz="0" w:space="0" w:color="auto"/>
      </w:divBdr>
    </w:div>
    <w:div w:id="1025328737">
      <w:bodyDiv w:val="1"/>
      <w:marLeft w:val="0"/>
      <w:marRight w:val="0"/>
      <w:marTop w:val="0"/>
      <w:marBottom w:val="0"/>
      <w:divBdr>
        <w:top w:val="none" w:sz="0" w:space="0" w:color="auto"/>
        <w:left w:val="none" w:sz="0" w:space="0" w:color="auto"/>
        <w:bottom w:val="none" w:sz="0" w:space="0" w:color="auto"/>
        <w:right w:val="none" w:sz="0" w:space="0" w:color="auto"/>
      </w:divBdr>
    </w:div>
    <w:div w:id="1034113153">
      <w:bodyDiv w:val="1"/>
      <w:marLeft w:val="0"/>
      <w:marRight w:val="0"/>
      <w:marTop w:val="0"/>
      <w:marBottom w:val="0"/>
      <w:divBdr>
        <w:top w:val="none" w:sz="0" w:space="0" w:color="auto"/>
        <w:left w:val="none" w:sz="0" w:space="0" w:color="auto"/>
        <w:bottom w:val="none" w:sz="0" w:space="0" w:color="auto"/>
        <w:right w:val="none" w:sz="0" w:space="0" w:color="auto"/>
      </w:divBdr>
    </w:div>
    <w:div w:id="1172917735">
      <w:bodyDiv w:val="1"/>
      <w:marLeft w:val="0"/>
      <w:marRight w:val="0"/>
      <w:marTop w:val="0"/>
      <w:marBottom w:val="0"/>
      <w:divBdr>
        <w:top w:val="none" w:sz="0" w:space="0" w:color="auto"/>
        <w:left w:val="none" w:sz="0" w:space="0" w:color="auto"/>
        <w:bottom w:val="none" w:sz="0" w:space="0" w:color="auto"/>
        <w:right w:val="none" w:sz="0" w:space="0" w:color="auto"/>
      </w:divBdr>
    </w:div>
    <w:div w:id="1490748325">
      <w:bodyDiv w:val="1"/>
      <w:marLeft w:val="0"/>
      <w:marRight w:val="0"/>
      <w:marTop w:val="0"/>
      <w:marBottom w:val="0"/>
      <w:divBdr>
        <w:top w:val="none" w:sz="0" w:space="0" w:color="auto"/>
        <w:left w:val="none" w:sz="0" w:space="0" w:color="auto"/>
        <w:bottom w:val="none" w:sz="0" w:space="0" w:color="auto"/>
        <w:right w:val="none" w:sz="0" w:space="0" w:color="auto"/>
      </w:divBdr>
    </w:div>
    <w:div w:id="1498572310">
      <w:bodyDiv w:val="1"/>
      <w:marLeft w:val="0"/>
      <w:marRight w:val="0"/>
      <w:marTop w:val="0"/>
      <w:marBottom w:val="0"/>
      <w:divBdr>
        <w:top w:val="none" w:sz="0" w:space="0" w:color="auto"/>
        <w:left w:val="none" w:sz="0" w:space="0" w:color="auto"/>
        <w:bottom w:val="none" w:sz="0" w:space="0" w:color="auto"/>
        <w:right w:val="none" w:sz="0" w:space="0" w:color="auto"/>
      </w:divBdr>
    </w:div>
    <w:div w:id="1631202762">
      <w:bodyDiv w:val="1"/>
      <w:marLeft w:val="0"/>
      <w:marRight w:val="0"/>
      <w:marTop w:val="0"/>
      <w:marBottom w:val="0"/>
      <w:divBdr>
        <w:top w:val="none" w:sz="0" w:space="0" w:color="auto"/>
        <w:left w:val="none" w:sz="0" w:space="0" w:color="auto"/>
        <w:bottom w:val="none" w:sz="0" w:space="0" w:color="auto"/>
        <w:right w:val="none" w:sz="0" w:space="0" w:color="auto"/>
      </w:divBdr>
    </w:div>
    <w:div w:id="1672754627">
      <w:bodyDiv w:val="1"/>
      <w:marLeft w:val="0"/>
      <w:marRight w:val="0"/>
      <w:marTop w:val="0"/>
      <w:marBottom w:val="0"/>
      <w:divBdr>
        <w:top w:val="none" w:sz="0" w:space="0" w:color="auto"/>
        <w:left w:val="none" w:sz="0" w:space="0" w:color="auto"/>
        <w:bottom w:val="none" w:sz="0" w:space="0" w:color="auto"/>
        <w:right w:val="none" w:sz="0" w:space="0" w:color="auto"/>
      </w:divBdr>
    </w:div>
    <w:div w:id="1825733131">
      <w:bodyDiv w:val="1"/>
      <w:marLeft w:val="0"/>
      <w:marRight w:val="0"/>
      <w:marTop w:val="0"/>
      <w:marBottom w:val="0"/>
      <w:divBdr>
        <w:top w:val="none" w:sz="0" w:space="0" w:color="auto"/>
        <w:left w:val="none" w:sz="0" w:space="0" w:color="auto"/>
        <w:bottom w:val="none" w:sz="0" w:space="0" w:color="auto"/>
        <w:right w:val="none" w:sz="0" w:space="0" w:color="auto"/>
      </w:divBdr>
    </w:div>
    <w:div w:id="1908301037">
      <w:bodyDiv w:val="1"/>
      <w:marLeft w:val="0"/>
      <w:marRight w:val="0"/>
      <w:marTop w:val="0"/>
      <w:marBottom w:val="0"/>
      <w:divBdr>
        <w:top w:val="none" w:sz="0" w:space="0" w:color="auto"/>
        <w:left w:val="none" w:sz="0" w:space="0" w:color="auto"/>
        <w:bottom w:val="none" w:sz="0" w:space="0" w:color="auto"/>
        <w:right w:val="none" w:sz="0" w:space="0" w:color="auto"/>
      </w:divBdr>
    </w:div>
    <w:div w:id="2067407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i.org/10.1093/bioinformatics/btw66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bioinformatics.babraham.ac.uk/projects/fast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2004</Words>
  <Characters>11428</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Carpenter</dc:creator>
  <cp:keywords/>
  <dc:description/>
  <cp:lastModifiedBy>Charlie Carpenter</cp:lastModifiedBy>
  <cp:revision>91</cp:revision>
  <dcterms:created xsi:type="dcterms:W3CDTF">2018-12-10T16:15:00Z</dcterms:created>
  <dcterms:modified xsi:type="dcterms:W3CDTF">2018-12-13T20:28:00Z</dcterms:modified>
</cp:coreProperties>
</file>