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pStyle w:val="Title"/><w:jc w:val="center"/></w:pPr><w:r><w:t>Rapport comparatif énergétique</w:t></w:r></w:p><w:p><w:pPr><w:jc w:val="center"/></w:pPr><w:r><w:rPr><w:b/><w:color w:val="1F4E78"/><w:sz w:val="32"/></w:rPr><w:t xml:space="preserve">YCA - POMPAGE REDONNEL</w:t></w:r></w:p><w:p><w:pPr><w:jc w:val="center"/></w:pPr><w:r><w:rPr><w:i/><w:color w:val="666666"/><w:sz w:val="20"/></w:rPr><w:t xml:space="preserve">Rapport généré le 23/09/2026</w:t></w:r></w:p><w:p/><w:p><w:pPr><w:pStyle w:val="Heading1"/></w:pPr><w:r><w:t>Client</w:t></w:r></w:p><w:p><w:r><w:rPr><w:b/></w:rPr><w:t xml:space="preserve">Client : </w:t></w:r><w:r><w:t xml:space="preserve">SAUR</w:t></w:r></w:p><w:p><w:r><w:rPr><w:b/></w:rPr><w:t xml:space="preserve">Contact : </w:t></w:r><w:r><w:t xml:space="preserve">Mathieu COMBESCURE</w:t></w:r></w:p><w:p><w:r><w:rPr><w:b/></w:rPr><w:t xml:space="preserve">Email : </w:t></w:r><w:r><w:t xml:space="preserve">mathieu.combescure@saur.com</w:t></w:r></w:p><w:p><w:r><w:rPr><w:b/></w:rPr><w:t xml:space="preserve">Mobile : </w:t></w:r><w:r><w:t xml:space="preserve">+33 6 60 56 87 93</w:t></w:r></w:p><w:p><w:pPr><w:pStyle w:val="Heading1"/></w:pPr><w:r><w:t>Paramètres de l'étude</w:t></w:r></w:p><w:tbl><w:tblPr><w:tblStyle w:val="LightGrid-Accent1"/><w:tblW w:type="auto" w:w="0"/><w:tblLook w:firstColumn="1" w:firstRow="1" w:lastColumn="0" w:lastRow="0" w:noHBand="0" w:noVBand="1" w:val="04A0"/></w:tblPr><w:tblGrid><w:gridCol w:w="4320"/><w:gridCol w:w="4320"/></w:tblGrid><w:tr><w:tc><w:tcPr><w:tcW w:type="dxa" w:w="4320"/></w:tcPr><w:p><w:r><w:t>Coût de l'énergie</w:t></w:r></w:p></w:tc><w:t xml:space="preserve"><w:tcPr><w:tcW w:type="dxa" w:w="4320"/></w:tcPr><w:p><w:r><w:t>0,17 EUR/kWh</w:t></w:r></w:p></w:tc></w:tr><w:tr><w:tc><w:tcPr><w:tcW w:type="dxa" w:w="4320"/></w:tcPr><w:p><w:r><w:t>Augmentation annuelle de l'énergie</w:t></w:r></w:p></w:tc><w:t xml:space="preserve"><w:tcPr><w:tcW w:type="dxa" w:w="4320"/></w:tcPr><w:p><w:r><w:t>1,0 %</w:t></w:r></w:p></w:tc></w:tr><w:tr><w:tc><w:tcPr><w:tcW w:type="dxa" w:w="4320"/></w:tcPr><w:p><w:r><w:t>Perte de rendement annuelle</w:t></w:r></w:p></w:tc><w:t xml:space="preserve"><w:tcPr><w:tcW w:type="dxa" w:w="4320"/></w:tcPr><w:p><w:r><w:t>100,0 %</w:t></w:r></w:p></w:tc></w:tr><w:tr><w:tc><w:tcPr><w:tcW w:type="dxa" w:w="4320"/></w:tcPr><w:p><w:r><w:t>Durée de l'étude</w:t></w:r></w:p></w:tc><w:t xml:space="preserve"><w:tcPr><w:tcW w:type="dxa" w:w="4320"/></w:tcPr><w:p><w:r><w:t>15 ans</w:t></w:r></w:p></w:tc></w:tr></w:tbl><w:p/><w:p><w:pPr><w:pStyle w:val="Heading1"/></w:pPr><w:r><w:t>Comparatif des systèmes</w:t></w:r></w:p><w:tbl><w:tblPr><w:tblStyle w:val="LightGrid-Accent1"/><w:tblW w:type="auto" w:w="0"/><w:tblLook w:firstColumn="1" w:firstRow="1" w:lastColumn="0" w:lastRow="0" w:noHBand="0" w:noVBand="1" w:val="04A0"/></w:tblPr><w:tblGrid><w:gridCol w:w="2880"/><w:gridCol w:w="2880"/><w:gridCol w:w="2880"/></w:tblGrid><w:tr><w:tc><w:tcPr><w:tcW w:type="dxa" w:w="2880"/><w:shd w:val="clear" w:color="auto" w:fill="1F4E78"/></w:tcPr><w:p><w:pPr><w:jc w:val="center"/></w:pPr><w:r><w:rPr><w:b/><w:color w:val="FFFFFF"/><w:sz w:val="20"/></w:rPr><w:t>Caractéristique</w:t></w:r></w:p></w:tc><w:tc><w:tcPr><w:tcW w:type="dxa" w:w="2880"/><w:shd w:val="clear" w:color="auto" w:fill="1F4E78"/></w:tcPr><w:p><w:pPr><w:jc w:val="center"/></w:pPr><w:r><w:rPr><w:b/><w:color w:val="FFFFFF"/><w:sz w:val="20"/></w:rPr><w:t>Ancien système</w:t></w:r></w:p></w:tc><w:tc><w:tcPr><w:tcW w:type="dxa" w:w="2880"/><w:shd w:val="clear" w:color="auto" w:fill="1F4E78"/></w:tcPr><w:p><w:pPr><w:jc w:val="center"/></w:pPr><w:r><w:rPr><w:b/><w:color w:val="FFFFFF"/><w:sz w:val="20"/></w:rPr><w:t>Nouveau système</w:t></w:r></w:p></w:tc></w:tr><w:tr><w:tc><w:tcPr><w:tcW w:type="dxa" w:w="2880"/></w:tcPr><w:p><w:r><w:t>Nom du système</w:t></w:r></w:p></w:tc><w:t xml:space="preserve"><w:tcPr><w:tcW w:type="dxa" w:w="2880"/></w:tcPr><w:p><w:r><w:t>Ancien Système</w:t></w:r></w:p></w:tc><w:t xml:space="preserve"><w:tcPr><w:tcW w:type="dxa" w:w="2880"/></w:tcPr><w:p><w:r><w:t>Nouveau Système</w:t></w:r></w:p></w:tc></w:tr><w:tr><w:tc><w:tcPr><w:tcW w:type="dxa" w:w="2880"/></w:tcPr><w:p><w:r><w:t>Investissement</w:t></w:r></w:p></w:tc><w:t xml:space="preserve"><w:tcPr><w:tcW w:type="dxa" w:w="2880"/></w:tcPr><w:p><w:r><w:t>0,00 EUR </w:t></w:r></w:p></w:tc><w:t xml:space="preserve"><w:tcPr><w:tcW w:type="dxa" w:w="2880"/></w:tcPr><w:p><w:r><w:t>200 000,00 EUR </w:t></w:r></w:p></w:tc></w:tr><w:tr><w:tc><w:tcPr><w:tcW w:type="dxa" w:w="2880"/></w:tcPr><w:p><w:r><w:t>Marque pompe</w:t></w:r></w:p></w:tc><w:t xml:space="preserve"><w:tcPr><w:tcW w:type="dxa" w:w="2880"/></w:tcPr><w:p><w:r><w:t>NC</w:t></w:r></w:p></w:tc><w:t xml:space="preserve"><w:tcPr><w:tcW w:type="dxa" w:w="2880"/></w:tcPr><w:p><w:r><w:t>GRUNDFOS</w:t></w:r></w:p></w:tc></w:tr><w:tr><w:tc><w:tcPr><w:tcW w:type="dxa" w:w="2880"/></w:tcPr><w:p><w:r><w:t>Modèle pompe</w:t></w:r></w:p></w:tc><w:t xml:space="preserve"><w:tcPr><w:tcW w:type="dxa" w:w="2880"/></w:tcPr><w:p><w:r><w:t>NC</w:t></w:r></w:p></w:tc><w:t xml:space="preserve"><w:tcPr><w:tcW w:type="dxa" w:w="2880"/></w:tcPr><w:p><w:r><w:t>CR 215-5 A-F-A-E-HQQE 50 Hz</w:t></w:r></w:p></w:tc></w:tr><w:tr><w:tc><w:tcPr><w:tcW w:type="dxa" w:w="2880"/></w:tcPr><w:p><w:r><w:t>Puissance nominale</w:t></w:r></w:p></w:tc><w:t xml:space="preserve"><w:tcPr><w:tcW w:type="dxa" w:w="2880"/></w:tcPr><w:p><w:r><w:t>160,00 kW</w:t></w:r></w:p></w:tc><w:t xml:space="preserve"><w:tcPr><w:tcW w:type="dxa" w:w="2880"/></w:tcPr><w:p><w:r><w:t>160,00 kW</w:t></w:r></w:p></w:tc></w:tr><w:tr><w:tc><w:tcPr><w:tcW w:type="dxa" w:w="2880"/></w:tcPr><w:p><w:r><w:t>Débit</w:t></w:r></w:p></w:tc><w:t xml:space="preserve"><w:tcPr><w:tcW w:type="dxa" w:w="2880"/></w:tcPr><w:p><w:r><w:t>200,00 m³/h</w:t></w:r></w:p></w:tc><w:t xml:space="preserve"><w:tcPr><w:tcW w:type="dxa" w:w="2880"/></w:tcPr><w:p><w:r><w:t>200,00 m³/h</w:t></w:r></w:p></w:tc></w:tr><w:tr><w:tc><w:tcPr><w:tcW w:type="dxa" w:w="2880"/></w:tcPr><w:p><w:r><w:t>HMT</w:t></w:r></w:p></w:tc><w:t xml:space="preserve"><w:tcPr><w:tcW w:type="dxa" w:w="2880"/></w:tcPr><w:p><w:r><w:t>205,00 mCE</w:t></w:r></w:p></w:tc><w:t xml:space="preserve"><w:tcPr><w:tcW w:type="dxa" w:w="2880"/></w:tcPr><w:p><w:r><w:t>205,00 mCE</w:t></w:r></w:p></w:tc></w:tr><w:tr><w:tc><w:tcPr><w:tcW w:type="dxa" w:w="2880"/></w:tcPr><w:p><w:r><w:t>Rendement pompe</w:t></w:r></w:p></w:tc><w:t xml:space="preserve"><w:tcPr><w:tcW w:type="dxa" w:w="2880"/></w:tcPr><w:p><w:r><w:t>76,9 %</w:t></w:r></w:p></w:tc><w:t xml:space="preserve"><w:tcPr><w:tcW w:type="dxa" w:w="2880"/></w:tcPr><w:p><w:r><w:t>83,8 %</w:t></w:r></w:p></w:tc></w:tr><w:tr><w:tc><w:tcPr><w:tcW w:type="dxa" w:w="2880"/></w:tcPr><w:p><w:r><w:t>Rendement moteur</w:t></w:r></w:p></w:tc><w:t xml:space="preserve"><w:tcPr><w:tcW w:type="dxa" w:w="2880"/></w:tcPr><w:p><w:r><w:t>96,6 %</w:t></w:r></w:p></w:tc><w:t xml:space="preserve"><w:tcPr><w:tcW w:type="dxa" w:w="2880"/></w:tcPr><w:p><w:r><w:t>96,3 %</w:t></w:r></w:p></w:tc></w:tr><w:tr><w:tc><w:tcPr><w:tcW w:type="dxa" w:w="2880"/></w:tcPr><w:p><w:r><w:t>Année d'installation</w:t></w:r></w:p></w:tc><w:t xml:space="preserve"><w:tcPr><w:tcW w:type="dxa" w:w="2880"/></w:tcPr><w:p><w:r><w:t>2026</w:t></w:r></w:p></w:tc><w:t xml:space="preserve"><w:tcPr><w:tcW w:type="dxa" w:w="2880"/></w:tcPr><w:p><w:r><w:t>2026</w:t></w:r></w:p></w:tc></w:tr><w:tr><w:tc><w:tcPr><w:tcW w:type="dxa" w:w="2880"/></w:tcPr><w:p><w:r><w:t>Heures de fonctionnement/an</w:t></w:r></w:p></w:tc><w:t xml:space="preserve"><w:tcPr><w:tcW w:type="dxa" w:w="2880"/></w:tcPr><w:p><w:r><w:t>3 000 h</w:t></w:r></w:p></w:tc><w:t xml:space="preserve"><w:tcPr><w:tcW w:type="dxa" w:w="2880"/></w:tcPr><w:p><w:r><w:t>3 000 h</w:t></w:r></w:p></w:tc></w:tr></w:tbl><w:p/><w:p><w:pPr><w:pStyle w:val="Heading1"/></w:pPr><w:r><w:t>Résultats</w:t></w:r></w:p><w:tbl><w:tblPr><w:tblStyle w:val="LightGrid-Accent1"/><w:tblW w:type="auto" w:w="0"/><w:tblLook w:firstColumn="1" w:firstRow="1" w:lastColumn="0" w:lastRow="0" w:noHBand="0" w:noVBand="1" w:val="04A0"/></w:tblPr><w:tblGrid><w:gridCol w:w="4320"/><w:gridCol w:w="4320"/></w:tblGrid><w:tr><w:tc><w:tcPr><w:tcW w:type="dxa" w:w="4320"/></w:tcPr><w:p><w:r><w:t>Coût total ancien système</w:t></w:r></w:p></w:tc><w:t xml:space="preserve"><w:tcPr><w:tcW w:type="dxa" w:w="4320"/></w:tcPr><w:p><w:r><w:t>1 382 131,89 EUR </w:t></w:r></w:p></w:tc></w:tr><w:tr><w:tc><w:tcPr><w:tcW w:type="dxa" w:w="4320"/></w:tcPr><w:p><w:r><w:t>Coût total nouveau système</w:t></w:r></w:p></w:tc><w:t xml:space="preserve"><w:tcPr><w:tcW w:type="dxa" w:w="4320"/></w:tcPr><w:p><w:r><w:t>1 261 662,37 EUR </w:t></w:r></w:p></w:tc></w:tr><w:tr><w:tc><w:tcPr><w:tcW w:type="dxa" w:w="4320"/></w:tcPr><w:p><w:r><w:t>Économie totale</w:t></w:r></w:p></w:tc><w:t xml:space="preserve"><w:tcPr><w:tcW w:type="dxa" w:w="4320"/></w:tcPr><w:p><w:r><w:t>320 469,51 EUR </w:t></w:r></w:p></w:tc></w:tr><w:tr><w:tc><w:tcPr><w:tcW w:type="dxa" w:w="4320"/></w:tcPr><w:p><w:r><w:t>Seuil de rentabilité</w:t></w:r></w:p></w:tc><w:t xml:space="preserve"><w:tcPr><w:tcW w:type="dxa" w:w="4320"/></w:tcPr><w:p><w:r><w:t>Année 9</w:t></w:r></w:p></w:tc></w:tr><w:tr><w:tc><w:tcPr><w:tcW w:type="dxa" w:w="4320"/></w:tcPr><w:p><w:r><w:t>Taux de rentabilité</w:t></w:r></w:p></w:tc><w:t xml:space="preserve"><w:tcPr><w:tcW w:type="dxa" w:w="4320"/></w:tcPr><w:p><w:r><w:t>23,2 %</w:t></w:r></w:p></w:tc></w:tr></w:tbl><w:p/><w:p><w:pPr><w:pStyle w:val="Heading1"/></w:pPr><w:r><w:t>Détail année par année</w:t></w:r></w:p><w:p><w:r><w:rPr><w:i/></w:rPr><w:t>La ligne ci-dessous (année 1) sert de modèle : le code la duplique automatiquement pour chaque année de l'étude avant de remplacer les tags. Vous pouvez modifier ses couleurs/police/largeurs de colonnes librement, il suffit de garder les tags {{..._1}} intacts dans cette ligne.</w:t></w:r></w:p><w:tbl><w:tblPr><w:tblStyle w:val="LightGrid-Accent1"/><w:tblW w:type="auto" w:w="0"/><w:tblLook w:firstColumn="1" w:firstRow="1" w:lastColumn="0" w:lastRow="0" w:noHBand="0" w:noVBand="1" w:val="04A0"/></w:tblPr><w:tblGrid><w:gridCol w:w="1234"/><w:gridCol w:w="1234"/><w:gridCol w:w="1234"/><w:gridCol w:w="1234"/><w:gridCol w:w="1234"/><w:gridCol w:w="1234"/><w:gridCol w:w="1234"/></w:tblGrid><w:tr><w:tc><w:tcPr><w:tcW w:type="dxa" w:w="1234"/><w:shd w:val="clear" w:color="auto" w:fill="1F4E78"/></w:tcPr><w:p><w:pPr><w:jc w:val="center"/></w:pPr><w:r><w:rPr><w:b/><w:color w:val="FFFFFF"/><w:sz w:val="20"/></w:rPr><w:t>Année</w:t></w:r></w:p></w:tc><w:tc><w:tcPr><w:tcW w:type="dxa" w:w="1234"/><w:shd w:val="clear" w:color="auto" w:fill="1F4E78"/></w:tcPr><w:p><w:pPr><w:jc w:val="center"/></w:pPr><w:r><w:rPr><w:b/><w:color w:val="FFFFFF"/><w:sz w:val="20"/></w:rPr><w:t>Conso Ancien</w:t></w:r></w:p></w:tc><w:tc><w:tcPr><w:tcW w:type="dxa" w:w="1234"/><w:shd w:val="clear" w:color="auto" w:fill="1F4E78"/></w:tcPr><w:p><w:pPr><w:jc w:val="center"/></w:pPr><w:r><w:rPr><w:b/><w:color w:val="FFFFFF"/><w:sz w:val="20"/></w:rPr><w:t>Conso Nouveau</w:t></w:r></w:p></w:tc><w:tc><w:tcPr><w:tcW w:type="dxa" w:w="1234"/><w:shd w:val="clear" w:color="auto" w:fill="1F4E78"/></w:tcPr><w:p><w:pPr><w:jc w:val="center"/></w:pPr><w:r><w:rPr><w:b/><w:color w:val="FFFFFF"/><w:sz w:val="20"/></w:rPr><w:t>Coût Ancien</w:t></w:r></w:p></w:tc><w:tc><w:tcPr><w:tcW w:type="dxa" w:w="1234"/><w:shd w:val="clear" w:color="auto" w:fill="1F4E78"/></w:tcPr><w:p><w:pPr><w:jc w:val="center"/></w:pPr><w:r><w:rPr><w:b/><w:color w:val="FFFFFF"/><w:sz w:val="20"/></w:rPr><w:t>Coût Nouveau</w:t></w:r></w:p></w:tc><w:tc><w:tcPr><w:tcW w:type="dxa" w:w="1234"/><w:shd w:val="clear" w:color="auto" w:fill="1F4E78"/></w:tcPr><w:p><w:pPr><w:jc w:val="center"/></w:pPr><w:r><w:rPr><w:b/><w:color w:val="FFFFFF"/><w:sz w:val="20"/></w:rPr><w:t>Économie</w:t></w:r></w:p></w:tc><w:tc><w:tcPr><w:tcW w:type="dxa" w:w="1234"/><w:shd w:val="clear" w:color="auto" w:fill="1F4E78"/></w:tcPr><w:p><w:pPr><w:jc w:val="center"/></w:pPr><w:r><w:rPr><w:b/><w:color w:val="FFFFFF"/><w:sz w:val="20"/></w:rPr><w:t>Cumul €</w:t></w:r></w:p></w:tc></w:tr><w:t xml:space="preserve"><w:tc><w:tcPr><w:tcW w:type="dxa" w:w="1234"/></w:tcPr><w:p><w:r><w:t>2026</w:t></w:r></w:p></w:tc><w:t xml:space="preserve"><w:tcPr><w:tcW w:type="dxa" w:w="1234"/></w:tcPr><w:p><w:r><w:t>435 510 kWh</w:t></w:r></w:p></w:tc><w:t xml:space="preserve"><w:tcPr><w:tcW w:type="dxa" w:w="1234"/></w:tcPr><w:p><w:r><w:t>334 530 kWh</w:t></w:r></w:p></w:tc><w:t xml:space="preserve"><w:tcPr><w:tcW w:type="dxa" w:w="1234"/></w:tcPr><w:p><w:r><w:t>74 036,70 EUR </w:t></w:r></w:p></w:tc><w:t xml:space="preserve"><w:tcPr><w:tcW w:type="dxa" w:w="1234"/></w:tcPr><w:p><w:r><w:t>56 870,10 EUR </w:t></w:r></w:p></w:tc><w:t xml:space="preserve"><w:tcPr><w:tcW w:type="dxa" w:w="1234"/></w:tcPr><w:p><w:r><w:t>17 166,60 EUR </w:t></w:r></w:p></w:tc><w:t xml:space="preserve"><w:tcPr><w:tcW w:type="dxa" w:w="1234"/></w:tcPr><w:p><w:r><w:t>217 166,60 EUR </w:t></w:r></w:p></w:tc></w:tr><w:t xml:space="preserve"><w:tc><w:tcPr><w:tcW w:type="dxa" w:w="1234"/></w:tcPr><w:p><w:r><w:t>2027</w:t></w:r></w:p></w:tc><w:t xml:space="preserve"><w:tcPr><w:tcW w:type="dxa" w:w="1234"/></w:tcPr><w:p><w:r><w:t>444 353 kWh</w:t></w:r></w:p></w:tc><w:t xml:space="preserve"><w:tcPr><w:tcW w:type="dxa" w:w="1234"/></w:tcPr><w:p><w:r><w:t>341 322 kWh</w:t></w:r></w:p></w:tc><w:t xml:space="preserve"><w:tcPr><w:tcW w:type="dxa" w:w="1234"/></w:tcPr><w:p><w:r><w:t>76 295,34 EUR </w:t></w:r></w:p></w:tc><w:t xml:space="preserve"><w:tcPr><w:tcW w:type="dxa" w:w="1234"/></w:tcPr><w:p><w:r><w:t>58 605,04 EUR </w:t></w:r></w:p></w:tc><w:t xml:space="preserve"><w:tcPr><w:tcW w:type="dxa" w:w="1234"/></w:tcPr><w:p><w:r><w:t>17 690,30 EUR </w:t></w:r></w:p></w:tc><w:t xml:space="preserve"><w:tcPr><w:tcW w:type="dxa" w:w="1234"/></w:tcPr><w:p><w:r><w:t>234 856,90 EUR </w:t></w:r></w:p></w:tc></w:tr><w:t xml:space="preserve"><w:tc><w:tcPr><w:tcW w:type="dxa" w:w="1234"/></w:tcPr><w:p><w:r><w:t>2028</w:t></w:r></w:p></w:tc><w:t xml:space="preserve"><w:tcPr><w:tcW w:type="dxa" w:w="1234"/></w:tcPr><w:p><w:r><w:t>453 375 kWh</w:t></w:r></w:p></w:tc><w:t xml:space="preserve"><w:tcPr><w:tcW w:type="dxa" w:w="1234"/></w:tcPr><w:p><w:r><w:t>348 253 kWh</w:t></w:r></w:p></w:tc><w:t xml:space="preserve"><w:tcPr><w:tcW w:type="dxa" w:w="1234"/></w:tcPr><w:p><w:r><w:t>78 622,89 EUR </w:t></w:r></w:p></w:tc><w:t xml:space="preserve"><w:tcPr><w:tcW w:type="dxa" w:w="1234"/></w:tcPr><w:p><w:r><w:t>60 392,91 EUR </w:t></w:r></w:p></w:tc><w:t xml:space="preserve"><w:tcPr><w:tcW w:type="dxa" w:w="1234"/></w:tcPr><w:p><w:r><w:t>18 229,98 EUR </w:t></w:r></w:p></w:tc><w:t xml:space="preserve"><w:tcPr><w:tcW w:type="dxa" w:w="1234"/></w:tcPr><w:p><w:r><w:t>253 086,89 EUR </w:t></w:r></w:p></w:tc></w:tr><w:t xml:space="preserve"><w:tc><w:tcPr><w:tcW w:type="dxa" w:w="1234"/></w:tcPr><w:p><w:r><w:t>2029</w:t></w:r></w:p></w:tc><w:t xml:space="preserve"><w:tcPr><w:tcW w:type="dxa" w:w="1234"/></w:tcPr><w:p><w:r><w:t>462 580 kWh</w:t></w:r></w:p></w:tc><w:t xml:space="preserve"><w:tcPr><w:tcW w:type="dxa" w:w="1234"/></w:tcPr><w:p><w:r><w:t>355 323 kWh</w:t></w:r></w:p></w:tc><w:t xml:space="preserve"><w:tcPr><w:tcW w:type="dxa" w:w="1234"/></w:tcPr><w:p><w:r><w:t>81 021,45 EUR </w:t></w:r></w:p></w:tc><w:t xml:space="preserve"><w:tcPr><w:tcW w:type="dxa" w:w="1234"/></w:tcPr><w:p><w:r><w:t>62 235,32 EUR </w:t></w:r></w:p></w:tc><w:t xml:space="preserve"><w:tcPr><w:tcW w:type="dxa" w:w="1234"/></w:tcPr><w:p><w:r><w:t>18 786,13 EUR </w:t></w:r></w:p></w:tc><w:t xml:space="preserve"><w:tcPr><w:tcW w:type="dxa" w:w="1234"/></w:tcPr><w:p><w:r><w:t>271 873,01 EUR </w:t></w:r></w:p></w:tc></w:tr><w:t xml:space="preserve"><w:tc><w:tcPr><w:tcW w:type="dxa" w:w="1234"/></w:tcPr><w:p><w:r><w:t>2030</w:t></w:r></w:p></w:tc><w:t xml:space="preserve"><w:tcPr><w:tcW w:type="dxa" w:w="1234"/></w:tcPr><w:p><w:r><w:t>471 972 kWh</w:t></w:r></w:p></w:tc><w:t xml:space="preserve"><w:tcPr><w:tcW w:type="dxa" w:w="1234"/></w:tcPr><w:p><w:r><w:t>362 538 kWh</w:t></w:r></w:p></w:tc><w:t xml:space="preserve"><w:tcPr><w:tcW w:type="dxa" w:w="1234"/></w:tcPr><w:p><w:r><w:t>83 493,18 EUR </w:t></w:r></w:p></w:tc><w:t xml:space="preserve"><w:tcPr><w:tcW w:type="dxa" w:w="1234"/></w:tcPr><w:p><w:r><w:t>64 133,94 EUR </w:t></w:r></w:p></w:tc><w:t xml:space="preserve"><w:tcPr><w:tcW w:type="dxa" w:w="1234"/></w:tcPr><w:p><w:r><w:t>19 359,24 EUR </w:t></w:r></w:p></w:tc><w:t xml:space="preserve"><w:tcPr><w:tcW w:type="dxa" w:w="1234"/></w:tcPr><w:p><w:r><w:t>291 232,25 EUR </w:t></w:r></w:p></w:tc></w:tr><w:t xml:space="preserve"><w:tc><w:tcPr><w:tcW w:type="dxa" w:w="1234"/></w:tcPr><w:p><w:r><w:t>2031</w:t></w:r></w:p></w:tc><w:t xml:space="preserve"><w:tcPr><w:tcW w:type="dxa" w:w="1234"/></w:tcPr><w:p><w:r><w:t>481 555 kWh</w:t></w:r></w:p></w:tc><w:t xml:space="preserve"><w:tcPr><w:tcW w:type="dxa" w:w="1234"/></w:tcPr><w:p><w:r><w:t>369 899 kWh</w:t></w:r></w:p></w:tc><w:t xml:space="preserve"><w:tcPr><w:tcW w:type="dxa" w:w="1234"/></w:tcPr><w:p><w:r><w:t>86 040,31 EUR </w:t></w:r></w:p></w:tc><w:t xml:space="preserve"><w:tcPr><w:tcW w:type="dxa" w:w="1234"/></w:tcPr><w:p><w:r><w:t>66 090,48 EUR </w:t></w:r></w:p></w:tc><w:t xml:space="preserve"><w:tcPr><w:tcW w:type="dxa" w:w="1234"/></w:tcPr><w:p><w:r><w:t>19 949,83 EUR </w:t></w:r></w:p></w:tc><w:t xml:space="preserve"><w:tcPr><w:tcW w:type="dxa" w:w="1234"/></w:tcPr><w:p><w:r><w:t>311 182,08 EUR </w:t></w:r></w:p></w:tc></w:tr><w:t xml:space="preserve"><w:tc><w:tcPr><w:tcW w:type="dxa" w:w="1234"/></w:tcPr><w:p><w:r><w:t>2032</w:t></w:r></w:p></w:tc><w:t xml:space="preserve"><w:tcPr><w:tcW w:type="dxa" w:w="1234"/></w:tcPr><w:p><w:r><w:t>491 333 kWh</w:t></w:r></w:p></w:tc><w:t xml:space="preserve"><w:tcPr><w:tcW w:type="dxa" w:w="1234"/></w:tcPr><w:p><w:r><w:t>377 409 kWh</w:t></w:r></w:p></w:tc><w:t xml:space="preserve"><w:tcPr><w:tcW w:type="dxa" w:w="1234"/></w:tcPr><w:p><w:r><w:t>88 665,15 EUR </w:t></w:r></w:p></w:tc><w:t xml:space="preserve"><w:tcPr><w:tcW w:type="dxa" w:w="1234"/></w:tcPr><w:p><w:r><w:t>68 106,71 EUR </w:t></w:r></w:p></w:tc><w:t xml:space="preserve"><w:tcPr><w:tcW w:type="dxa" w:w="1234"/></w:tcPr><w:p><w:r><w:t>20 558,44 EUR </w:t></w:r></w:p></w:tc><w:t xml:space="preserve"><w:tcPr><w:tcW w:type="dxa" w:w="1234"/></w:tcPr><w:p><w:r><w:t>331 740,52 EUR </w:t></w:r></w:p></w:tc></w:tr><w:t xml:space="preserve"><w:tc><w:tcPr><w:tcW w:type="dxa" w:w="1234"/></w:tcPr><w:p><w:r><w:t>2033</w:t></w:r></w:p></w:tc><w:t xml:space="preserve"><w:tcPr><w:tcW w:type="dxa" w:w="1234"/></w:tcPr><w:p><w:r><w:t>501 309 kWh</w:t></w:r></w:p></w:tc><w:t xml:space="preserve"><w:tcPr><w:tcW w:type="dxa" w:w="1234"/></w:tcPr><w:p><w:r><w:t>385 072 kWh</w:t></w:r></w:p></w:tc><w:t xml:space="preserve"><w:tcPr><w:tcW w:type="dxa" w:w="1234"/></w:tcPr><w:p><w:r><w:t>91 370,07 EUR </w:t></w:r></w:p></w:tc><w:t xml:space="preserve"><w:tcPr><w:tcW w:type="dxa" w:w="1234"/></w:tcPr><w:p><w:r><w:t>70 184,45 EUR </w:t></w:r></w:p></w:tc><w:t xml:space="preserve"><w:tcPr><w:tcW w:type="dxa" w:w="1234"/></w:tcPr><w:p><w:r><w:t>21 185,62 EUR </w:t></w:r></w:p></w:tc><w:t xml:space="preserve"><w:tcPr><w:tcW w:type="dxa" w:w="1234"/></w:tcPr><w:p><w:r><w:t>352 926,14 EUR </w:t></w:r></w:p></w:tc></w:tr><w:t xml:space="preserve"><w:tc><w:tcPr><w:tcW w:type="dxa" w:w="1234"/></w:tcPr><w:p><w:r><w:t>2034</w:t></w:r></w:p></w:tc><w:t xml:space="preserve"><w:tcPr><w:tcW w:type="dxa" w:w="1234"/></w:tcPr><w:p><w:r><w:t>511 487 kWh</w:t></w:r></w:p></w:tc><w:t xml:space="preserve"><w:tcPr><w:tcW w:type="dxa" w:w="1234"/></w:tcPr><w:p><w:r><w:t>392 891 kWh</w:t></w:r></w:p></w:tc><w:t xml:space="preserve"><w:tcPr><w:tcW w:type="dxa" w:w="1234"/></w:tcPr><w:p><w:r><w:t>94 157,50 EUR </w:t></w:r></w:p></w:tc><w:t xml:space="preserve"><w:tcPr><w:tcW w:type="dxa" w:w="1234"/></w:tcPr><w:p><w:r><w:t>72 325,57 EUR </w:t></w:r></w:p></w:tc><w:t xml:space="preserve"><w:tcPr><w:tcW w:type="dxa" w:w="1234"/></w:tcPr><w:p><w:r><w:t>21 831,93 EUR </w:t></w:r></w:p></w:tc><w:t xml:space="preserve"><w:tcPr><w:tcW w:type="dxa" w:w="1234"/></w:tcPr><w:p><w:r><w:t>374 758,07 EUR </w:t></w:r></w:p></w:tc></w:tr><w:t xml:space="preserve"><w:tc><w:tcPr><w:tcW w:type="dxa" w:w="1234"/></w:tcPr><w:p><w:r><w:t>2035</w:t></w:r></w:p></w:tc><w:t xml:space="preserve"><w:tcPr><w:tcW w:type="dxa" w:w="1234"/></w:tcPr><w:p><w:r><w:t>521 873 kWh</w:t></w:r></w:p></w:tc><w:t xml:space="preserve"><w:tcPr><w:tcW w:type="dxa" w:w="1234"/></w:tcPr><w:p><w:r><w:t>400 868 kWh</w:t></w:r></w:p></w:tc><w:t xml:space="preserve"><w:tcPr><w:tcW w:type="dxa" w:w="1234"/></w:tcPr><w:p><w:r><w:t>97 029,97 EUR </w:t></w:r></w:p></w:tc><w:t xml:space="preserve"><w:tcPr><w:tcW w:type="dxa" w:w="1234"/></w:tcPr><w:p><w:r><w:t>74 532,01 EUR </w:t></w:r></w:p></w:tc><w:t xml:space="preserve"><w:tcPr><w:tcW w:type="dxa" w:w="1234"/></w:tcPr><w:p><w:r><w:t>22 497,96 EUR </w:t></w:r></w:p></w:tc><w:t xml:space="preserve"><w:tcPr><w:tcW w:type="dxa" w:w="1234"/></w:tcPr><w:p><w:r><w:t>397 256,03 EUR </w:t></w:r></w:p></w:tc></w:tr><w:t xml:space="preserve"><w:tc><w:tcPr><w:tcW w:type="dxa" w:w="1234"/></w:tcPr><w:p><w:r><w:t>2036</w:t></w:r></w:p></w:tc><w:t xml:space="preserve"><w:tcPr><w:tcW w:type="dxa" w:w="1234"/></w:tcPr><w:p><w:r><w:t>532 469 kWh</w:t></w:r></w:p></w:tc><w:t xml:space="preserve"><w:tcPr><w:tcW w:type="dxa" w:w="1234"/></w:tcPr><w:p><w:r><w:t>409 007 kWh</w:t></w:r></w:p></w:tc><w:t xml:space="preserve"><w:tcPr><w:tcW w:type="dxa" w:w="1234"/></w:tcPr><w:p><w:r><w:t>99 990,08 EUR </w:t></w:r></w:p></w:tc><w:t xml:space="preserve"><w:tcPr><w:tcW w:type="dxa" w:w="1234"/></w:tcPr><w:p><w:r><w:t>76 805,77 EUR </w:t></w:r></w:p></w:tc><w:t xml:space="preserve"><w:tcPr><w:tcW w:type="dxa" w:w="1234"/></w:tcPr><w:p><w:r><w:t>23 184,31 EUR </w:t></w:r></w:p></w:tc><w:t xml:space="preserve"><w:tcPr><w:tcW w:type="dxa" w:w="1234"/></w:tcPr><w:p><w:r><w:t>420 440,34 EUR </w:t></w:r></w:p></w:tc></w:tr><w:t xml:space="preserve"><w:tc><w:tcPr><w:tcW w:type="dxa" w:w="1234"/></w:tcPr><w:p><w:r><w:t>2037</w:t></w:r></w:p></w:tc><w:t xml:space="preserve"><w:tcPr><w:tcW w:type="dxa" w:w="1234"/></w:tcPr><w:p><w:r><w:t>543 280 kWh</w:t></w:r></w:p></w:tc><w:t xml:space="preserve"><w:tcPr><w:tcW w:type="dxa" w:w="1234"/></w:tcPr><w:p><w:r><w:t>417 312 kWh</w:t></w:r></w:p></w:tc><w:t xml:space="preserve"><w:tcPr><w:tcW w:type="dxa" w:w="1234"/></w:tcPr><w:p><w:r><w:t>103 040,48 EUR </w:t></w:r></w:p></w:tc><w:t xml:space="preserve"><w:tcPr><w:tcW w:type="dxa" w:w="1234"/></w:tcPr><w:p><w:r><w:t>79 148,89 EUR </w:t></w:r></w:p></w:tc><w:t xml:space="preserve"><w:tcPr><w:tcW w:type="dxa" w:w="1234"/></w:tcPr><w:p><w:r><w:t>23 891,59 EUR </w:t></w:r></w:p></w:tc><w:t xml:space="preserve"><w:tcPr><w:tcW w:type="dxa" w:w="1234"/></w:tcPr><w:p><w:r><w:t>444 331,93 EUR </w:t></w:r></w:p></w:tc></w:tr><w:t xml:space="preserve"><w:tc><w:tcPr><w:tcW w:type="dxa" w:w="1234"/></w:tcPr><w:p><w:r><w:t>2038</w:t></w:r></w:p></w:tc><w:t xml:space="preserve"><w:tcPr><w:tcW w:type="dxa" w:w="1234"/></w:tcPr><w:p><w:r><w:t>554 311 kWh</w:t></w:r></w:p></w:tc><w:t xml:space="preserve"><w:tcPr><w:tcW w:type="dxa" w:w="1234"/></w:tcPr><w:p><w:r><w:t>425 785 kWh</w:t></w:r></w:p></w:tc><w:t xml:space="preserve"><w:tcPr><w:tcW w:type="dxa" w:w="1234"/></w:tcPr><w:p><w:r><w:t>106 183,95 EUR </w:t></w:r></w:p></w:tc><w:t xml:space="preserve"><w:tcPr><w:tcW w:type="dxa" w:w="1234"/></w:tcPr><w:p><w:r><w:t>81 563,49 EUR </w:t></w:r></w:p></w:tc><w:t xml:space="preserve"><w:tcPr><w:tcW w:type="dxa" w:w="1234"/></w:tcPr><w:p><w:r><w:t>24 620,46 EUR </w:t></w:r></w:p></w:tc><w:t xml:space="preserve"><w:tcPr><w:tcW w:type="dxa" w:w="1234"/></w:tcPr><w:p><w:r><w:t>468 952,39 EUR </w:t></w:r></w:p></w:tc></w:tr><w:t xml:space="preserve"><w:tc><w:tcPr><w:tcW w:type="dxa" w:w="1234"/></w:tcPr><w:p><w:r><w:t>2039</w:t></w:r></w:p></w:tc><w:t xml:space="preserve"><w:tcPr><w:tcW w:type="dxa" w:w="1234"/></w:tcPr><w:p><w:r><w:t>565 566 kWh</w:t></w:r></w:p></w:tc><w:t xml:space="preserve"><w:tcPr><w:tcW w:type="dxa" w:w="1234"/></w:tcPr><w:p><w:r><w:t>434 430 kWh</w:t></w:r></w:p></w:tc><w:t xml:space="preserve"><w:tcPr><w:tcW w:type="dxa" w:w="1234"/></w:tcPr><w:p><w:r><w:t>109 423,31 EUR </w:t></w:r></w:p></w:tc><w:t xml:space="preserve"><w:tcPr><w:tcW w:type="dxa" w:w="1234"/></w:tcPr><w:p><w:r><w:t>84 051,76 EUR </w:t></w:r></w:p></w:tc><w:t xml:space="preserve"><w:tcPr><w:tcW w:type="dxa" w:w="1234"/></w:tcPr><w:p><w:r><w:t>25 371,56 EUR </w:t></w:r></w:p></w:tc><w:t xml:space="preserve"><w:tcPr><w:tcW w:type="dxa" w:w="1234"/></w:tcPr><w:p><w:r><w:t>494 323,95 EUR </w:t></w:r></w:p></w:tc></w:tr><w:t xml:space="preserve"><w:tc><w:tcPr><w:tcW w:type="dxa" w:w="1234"/></w:tcPr><w:p><w:r><w:t>2040</w:t></w:r></w:p></w:tc><w:t xml:space="preserve"><w:tcPr><w:tcW w:type="dxa" w:w="1234"/></w:tcPr><w:p><w:r><w:t>577 049 kWh</w:t></w:r></w:p></w:tc><w:t xml:space="preserve"><w:tcPr><w:tcW w:type="dxa" w:w="1234"/></w:tcPr><w:p><w:r><w:t>443 251 kWh</w:t></w:r></w:p></w:tc><w:t xml:space="preserve"><w:tcPr><w:tcW w:type="dxa" w:w="1234"/></w:tcPr><w:p><w:r><w:t>112 761,50 EUR </w:t></w:r></w:p></w:tc><w:t xml:space="preserve"><w:tcPr><w:tcW w:type="dxa" w:w="1234"/></w:tcPr><w:p><w:r><w:t>86 615,93 EUR </w:t></w:r></w:p></w:tc><w:t xml:space="preserve"><w:tcPr><w:tcW w:type="dxa" w:w="1234"/></w:tcPr><w:p><w:r><w:t>26 145,57 EUR </w:t></w:r></w:p></w:tc><w:t xml:space="preserve"><w:tcPr><w:tcW w:type="dxa" w:w="1234"/></w:tcPr><w:p><w:r><w:t>520 469,51 EUR </w:t></w:r></w:p></w:tc></w:tr></w:tbl><w:p/><w:p><w:r><w:rPr><w:i/><w:color w:val="888888"/><w:sz w:val="18"/></w:rPr><w:t>Ce document a été généré à partir d'un gabarit modifiable : vous pouvez changer la police, les couleurs, la mise en page, l'ordre des sections... Seuls les tags entre doubles-accolades {{...}} doivent rester identifiables pour être remplacés.</w:t></w:r></w:p><w:sectPr w:rsidR="00FC693F" w:rsidRPr="0006063C" w:rsidSect="00034616"><w:pgSz w:w="12240" w:h="15840"/><w:pgMar w:top="1440" w:right="1800" w:bottom="1440" w:left="1800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