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80"/>
        <w:jc w:val="center"/>
      </w:pPr>
      <w:r>
        <w:rPr>
          <w:rFonts w:ascii="Arial" w:cs="Arial" w:eastAsia="Arial" w:hAnsi="Arial"/>
          <w:b/>
          <w:bCs/>
          <w:color w:val="004A94"/>
          <w:sz w:val="36"/>
          <w:szCs w:val="36"/>
        </w:rPr>
        <w:t xml:space="preserve">PROYECTO PUMABICIS</w:t>
      </w:r>
    </w:p>
    <w:p>
      <w:pPr>
        <w:spacing w:after="80" w:before="0"/>
        <w:jc w:val="center"/>
      </w:pPr>
      <w:r>
        <w:rPr>
          <w:rFonts w:ascii="Arial" w:cs="Arial" w:eastAsia="Arial" w:hAnsi="Arial"/>
          <w:b/>
          <w:bCs/>
          <w:color w:val="1A5E9A"/>
          <w:sz w:val="28"/>
          <w:szCs w:val="28"/>
        </w:rPr>
        <w:t xml:space="preserve">Línea Base de Parámetros Observados</w:t>
      </w:r>
    </w:p>
    <w:p>
      <w:pPr>
        <w:spacing w:after="480" w:before="0"/>
        <w:jc w:val="center"/>
      </w:pPr>
      <w:r>
        <w:rPr>
          <w:rFonts w:ascii="Arial" w:cs="Arial" w:eastAsia="Arial" w:hAnsi="Arial"/>
          <w:color w:val="5A5A5A"/>
          <w:sz w:val="22"/>
          <w:szCs w:val="22"/>
        </w:rPr>
        <w:t xml:space="preserve">Simulación de Teoría de Colas con SimPy · UNAM Facultad de Ingeniería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4A94" w:sz="12"/>
              <w:left w:val="single" w:color="004A94" w:sz="12"/>
              <w:bottom w:val="single" w:color="004A94" w:sz="12"/>
              <w:right w:val="single" w:color="004A94" w:sz="12"/>
            </w:tcBorders>
            <w:shd w:fill="D5E8F4" w:val="clear"/>
            <w:tcMar>
              <w:top w:type="dxa" w:w="160"/>
              <w:left w:type="dxa" w:w="300"/>
              <w:bottom w:type="dxa" w:w="160"/>
              <w:right w:type="dxa" w:w="300"/>
            </w:tcMar>
          </w:tcPr>
          <w:p>
            <w:r>
              <w:rPr>
                <w:rFonts w:ascii="Arial" w:cs="Arial" w:eastAsia="Arial" w:hAnsi="Arial"/>
                <w:b/>
                <w:bCs/>
                <w:sz w:val="22"/>
                <w:szCs w:val="22"/>
              </w:rPr>
              <w:t xml:space="preserve">Facultad: </w:t>
            </w:r>
            <w:r>
              <w:rPr>
                <w:rFonts w:ascii="Arial" w:cs="Arial" w:eastAsia="Arial" w:hAnsi="Arial"/>
                <w:sz w:val="22"/>
                <w:szCs w:val="22"/>
              </w:rPr>
              <w:t xml:space="preserve">Ingeniería · UNAM</w:t>
            </w:r>
          </w:p>
          <w:p>
            <w:r>
              <w:rPr>
                <w:rFonts w:ascii="Arial" w:cs="Arial" w:eastAsia="Arial" w:hAnsi="Arial"/>
                <w:b/>
                <w:bCs/>
                <w:sz w:val="22"/>
                <w:szCs w:val="22"/>
              </w:rPr>
              <w:t xml:space="preserve">Asignatura: </w:t>
            </w:r>
            <w:r>
              <w:rPr>
                <w:rFonts w:ascii="Arial" w:cs="Arial" w:eastAsia="Arial" w:hAnsi="Arial"/>
                <w:sz w:val="22"/>
                <w:szCs w:val="22"/>
              </w:rPr>
              <w:t xml:space="preserve">Teoría de Colas — Simulación de sistemas</w:t>
            </w:r>
          </w:p>
          <w:p>
            <w:r>
              <w:rPr>
                <w:rFonts w:ascii="Arial" w:cs="Arial" w:eastAsia="Arial" w:hAnsi="Arial"/>
                <w:b/>
                <w:bCs/>
                <w:sz w:val="22"/>
                <w:szCs w:val="22"/>
              </w:rPr>
              <w:t xml:space="preserve">Sistema objetivo: </w:t>
            </w:r>
            <w:r>
              <w:rPr>
                <w:rFonts w:ascii="Arial" w:cs="Arial" w:eastAsia="Arial" w:hAnsi="Arial"/>
                <w:sz w:val="22"/>
                <w:szCs w:val="22"/>
              </w:rPr>
              <w:t xml:space="preserve">Pumabicis — Préstamo de bicicletas universitarias</w:t>
            </w:r>
          </w:p>
          <w:p>
            <w:r>
              <w:rPr>
                <w:rFonts w:ascii="Arial" w:cs="Arial" w:eastAsia="Arial" w:hAnsi="Arial"/>
                <w:b/>
                <w:bCs/>
                <w:sz w:val="22"/>
                <w:szCs w:val="22"/>
              </w:rPr>
              <w:t xml:space="preserve">Periodo de observación: </w:t>
            </w:r>
            <w:r>
              <w:rPr>
                <w:rFonts w:ascii="Arial" w:cs="Arial" w:eastAsia="Arial" w:hAnsi="Arial"/>
                <w:sz w:val="22"/>
                <w:szCs w:val="22"/>
              </w:rPr>
              <w:t xml:space="preserve">Horas pico matutinas — 05:45 a 07:45 hrs</w:t>
            </w:r>
          </w:p>
          <w:p>
            <w:r>
              <w:rPr>
                <w:rFonts w:ascii="Arial" w:cs="Arial" w:eastAsia="Arial" w:hAnsi="Arial"/>
                <w:b/>
                <w:bCs/>
                <w:sz w:val="22"/>
                <w:szCs w:val="22"/>
              </w:rPr>
              <w:t xml:space="preserve">Rama activa: </w:t>
            </w:r>
            <w:r>
              <w:rPr>
                <w:rFonts w:ascii="Arial" w:cs="Arial" w:eastAsia="Arial" w:hAnsi="Arial"/>
                <w:sz w:val="22"/>
                <w:szCs w:val="22"/>
              </w:rPr>
              <w:t xml:space="preserve">main (documento de trabajo)</w:t>
            </w:r>
          </w:p>
          <w:p>
            <w:r>
              <w:rPr>
                <w:rFonts w:ascii="Arial" w:cs="Arial" w:eastAsia="Arial" w:hAnsi="Arial"/>
                <w:b/>
                <w:bCs/>
                <w:sz w:val="22"/>
                <w:szCs w:val="22"/>
              </w:rPr>
              <w:t xml:space="preserve">Herramientas: </w:t>
            </w:r>
            <w:r>
              <w:rPr>
                <w:rFonts w:ascii="Arial" w:cs="Arial" w:eastAsia="Arial" w:hAnsi="Arial"/>
                <w:sz w:val="22"/>
                <w:szCs w:val="22"/>
              </w:rPr>
              <w:t xml:space="preserve">Python 3 · SimPy · SciPy · Matplotlib · Git / GitHub</w:t>
            </w:r>
          </w:p>
        </w:tc>
      </w:tr>
    </w:tbl>
    <w:p>
      <w:pPr>
        <w:spacing w:after="0" w:before="400"/>
      </w:pPr>
    </w:p>
    <w:p>
      <w:pPr>
        <w:pStyle w:val="Heading1"/>
        <w:pBdr>
          <w:bottom w:val="single" w:color="004A94" w:sz="8" w:space="4"/>
        </w:pBdr>
        <w:spacing w:after="160" w:before="320"/>
      </w:pPr>
      <w:r>
        <w:rPr>
          <w:rFonts w:ascii="Arial" w:cs="Arial" w:eastAsia="Arial" w:hAnsi="Arial"/>
          <w:b/>
          <w:bCs/>
          <w:color w:val="004A94"/>
          <w:sz w:val="28"/>
          <w:szCs w:val="28"/>
        </w:rPr>
        <w:t xml:space="preserve">1. Contexto del problema</w:t>
      </w:r>
    </w:p>
    <w:p>
      <w:r>
        <w:rPr>
          <w:rFonts w:ascii="Arial" w:cs="Arial" w:eastAsia="Arial" w:hAnsi="Arial"/>
          <w:sz w:val="22"/>
          <w:szCs w:val="22"/>
        </w:rPr>
        <w:t xml:space="preserve">El sistema de préstamo de bicicletas Pumabicis de la UNAM presenta cuellos de botella críticos durante las horas pico de la mañana. La llegada masiva de usuarios desde el metro genera patrones de arribo en ráfaga que el modelo actual, con un solo servidor manual, no puede absorber sin producir filas extensas y tasas de abandono elevadas.</w:t>
      </w:r>
    </w:p>
    <w:p>
      <w:pPr>
        <w:spacing w:after="0" w:before="120"/>
      </w:pPr>
    </w:p>
    <w:p>
      <w:pPr>
        <w:pStyle w:val="Heading2"/>
        <w:spacing w:after="100" w:before="240"/>
      </w:pPr>
      <w:r>
        <w:rPr>
          <w:rFonts w:ascii="Arial" w:cs="Arial" w:eastAsia="Arial" w:hAnsi="Arial"/>
          <w:b/>
          <w:bCs/>
          <w:color w:val="1A5E9A"/>
          <w:sz w:val="24"/>
          <w:szCs w:val="24"/>
        </w:rPr>
        <w:t xml:space="preserve">1.1 Fenómeno observado</w:t>
      </w:r>
    </w:p>
    <w:p>
      <w:pPr>
        <w:pStyle w:val="ListParagraph"/>
        <w:numPr>
          <w:ilvl w:val="0"/>
          <w:numId w:val="2"/>
        </w:numPr>
        <w:spacing w:after="60" w:before="60"/>
      </w:pPr>
      <w:r>
        <w:rPr>
          <w:rFonts w:ascii="Arial" w:cs="Arial" w:eastAsia="Arial" w:hAnsi="Arial"/>
          <w:sz w:val="22"/>
          <w:szCs w:val="22"/>
        </w:rPr>
        <w:t xml:space="preserve">El transporte masivo (metro) descarga pasajeros en eventos discretos, generando lotes de 1 a 8 personas de forma prácticamente simultánea.</w:t>
      </w:r>
    </w:p>
    <w:p>
      <w:pPr>
        <w:pStyle w:val="ListParagraph"/>
        <w:numPr>
          <w:ilvl w:val="0"/>
          <w:numId w:val="2"/>
        </w:numPr>
        <w:spacing w:after="60" w:before="60"/>
      </w:pPr>
      <w:r>
        <w:rPr>
          <w:rFonts w:ascii="Arial" w:cs="Arial" w:eastAsia="Arial" w:hAnsi="Arial"/>
          <w:sz w:val="22"/>
          <w:szCs w:val="22"/>
        </w:rPr>
        <w:t xml:space="preserve">Cada lote arriba con un intervalo de 3 a 10 minutos entre eventos, dependiendo de la frecuencia del metro.</w:t>
      </w:r>
    </w:p>
    <w:p>
      <w:pPr>
        <w:pStyle w:val="ListParagraph"/>
        <w:numPr>
          <w:ilvl w:val="0"/>
          <w:numId w:val="2"/>
        </w:numPr>
        <w:spacing w:after="60" w:before="60"/>
      </w:pPr>
      <w:r>
        <w:rPr>
          <w:rFonts w:ascii="Arial" w:cs="Arial" w:eastAsia="Arial" w:hAnsi="Arial"/>
          <w:sz w:val="22"/>
          <w:szCs w:val="22"/>
        </w:rPr>
        <w:t xml:space="preserve">Un solo trabajador atiende manualmente verificando NIP, resello de credencial, entrega de casco y registro del código de barras de la bicicleta.</w:t>
      </w:r>
    </w:p>
    <w:p>
      <w:pPr>
        <w:pStyle w:val="ListParagraph"/>
        <w:numPr>
          <w:ilvl w:val="0"/>
          <w:numId w:val="2"/>
        </w:numPr>
        <w:spacing w:after="60" w:before="60"/>
      </w:pPr>
      <w:r>
        <w:rPr>
          <w:rFonts w:ascii="Arial" w:cs="Arial" w:eastAsia="Arial" w:hAnsi="Arial"/>
          <w:sz w:val="22"/>
          <w:szCs w:val="22"/>
        </w:rPr>
        <w:t xml:space="preserve">El tiempo de servicio observado oscila entre 30 y 90 segundos por persona, con alta varianza.</w:t>
      </w:r>
    </w:p>
    <w:p>
      <w:pPr>
        <w:pStyle w:val="ListParagraph"/>
        <w:numPr>
          <w:ilvl w:val="0"/>
          <w:numId w:val="2"/>
        </w:numPr>
        <w:spacing w:after="60" w:before="60"/>
      </w:pPr>
      <w:r>
        <w:rPr>
          <w:rFonts w:ascii="Arial" w:cs="Arial" w:eastAsia="Arial" w:hAnsi="Arial"/>
          <w:sz w:val="22"/>
          <w:szCs w:val="22"/>
        </w:rPr>
        <w:t xml:space="preserve">Los usuarios con poca paciencia abandonan la cola antes de ser atendidos, perdiendo el servicio.</w:t>
      </w:r>
    </w:p>
    <w:p>
      <w:pPr>
        <w:spacing w:after="0" w:before="120"/>
      </w:pPr>
    </w:p>
    <w:p>
      <w:pPr>
        <w:pStyle w:val="Heading2"/>
        <w:spacing w:after="100" w:before="240"/>
      </w:pPr>
      <w:r>
        <w:rPr>
          <w:rFonts w:ascii="Arial" w:cs="Arial" w:eastAsia="Arial" w:hAnsi="Arial"/>
          <w:b/>
          <w:bCs/>
          <w:color w:val="1A5E9A"/>
          <w:sz w:val="24"/>
          <w:szCs w:val="24"/>
        </w:rPr>
        <w:t xml:space="preserve">1.2 Ventana de observación</w:t>
      </w:r>
    </w:p>
    <w:p>
      <w:r>
        <w:rPr>
          <w:rFonts w:ascii="Arial" w:cs="Arial" w:eastAsia="Arial" w:hAnsi="Arial"/>
          <w:sz w:val="22"/>
          <w:szCs w:val="22"/>
        </w:rPr>
        <w:t xml:space="preserve">Las mediciones se realizaron en la franja horaria de máxima demanda: </w:t>
      </w:r>
      <w:r>
        <w:rPr>
          <w:rFonts w:ascii="Arial" w:cs="Arial" w:eastAsia="Arial" w:hAnsi="Arial"/>
          <w:b/>
          <w:bCs/>
          <w:sz w:val="22"/>
          <w:szCs w:val="22"/>
        </w:rPr>
        <w:t xml:space="preserve">05:45 a 07:45 hrs</w:t>
      </w:r>
      <w:r>
        <w:rPr>
          <w:rFonts w:ascii="Arial" w:cs="Arial" w:eastAsia="Arial" w:hAnsi="Arial"/>
          <w:sz w:val="22"/>
          <w:szCs w:val="22"/>
        </w:rPr>
        <w:t xml:space="preserve">, con duración total de 2 horas (7,200 segundos), que corresponde directamente al tiempo de simulación base del modelo.</w:t>
      </w:r>
    </w:p>
    <w:p>
      <w:pPr>
        <w:spacing w:after="0" w:before="200"/>
      </w:pPr>
    </w:p>
    <w:p>
      <w:pPr>
        <w:pStyle w:val="Heading1"/>
        <w:pBdr>
          <w:bottom w:val="single" w:color="004A94" w:sz="8" w:space="4"/>
        </w:pBdr>
        <w:spacing w:after="160" w:before="320"/>
      </w:pPr>
      <w:r>
        <w:rPr>
          <w:rFonts w:ascii="Arial" w:cs="Arial" w:eastAsia="Arial" w:hAnsi="Arial"/>
          <w:b/>
          <w:bCs/>
          <w:color w:val="004A94"/>
          <w:sz w:val="28"/>
          <w:szCs w:val="28"/>
        </w:rPr>
        <w:t xml:space="preserve">2. Parámetros observados y distribuciones sugeridas</w:t>
      </w:r>
    </w:p>
    <w:p>
      <w:r>
        <w:rPr>
          <w:rFonts w:ascii="Arial" w:cs="Arial" w:eastAsia="Arial" w:hAnsi="Arial"/>
          <w:sz w:val="22"/>
          <w:szCs w:val="22"/>
        </w:rPr>
        <w:t xml:space="preserve">La siguiente tabla consolida los parámetros medidos en campo y las distribuciones estadísticas recomendadas para cada fenómeno. Las distribuciones se calibrarán con datos reales mediante prueba de bondad de ajuste (Kolmogorov-Smirnov).</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c>
          <w:tcPr>
            <w:tcBorders>
              <w:top w:val="single" w:color="BBCFDE" w:sz="4"/>
              <w:left w:val="single" w:color="BBCFDE" w:sz="4"/>
              <w:bottom w:val="single" w:color="BBCFDE" w:sz="4"/>
              <w:right w:val="single" w:color="BBCFDE" w:sz="4"/>
            </w:tcBorders>
            <w:shd w:fill="004A9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Parámetro</w:t>
            </w:r>
          </w:p>
        </w:tc>
        <w:tc>
          <w:tcPr>
            <w:tcBorders>
              <w:top w:val="single" w:color="BBCFDE" w:sz="4"/>
              <w:left w:val="single" w:color="BBCFDE" w:sz="4"/>
              <w:bottom w:val="single" w:color="BBCFDE" w:sz="4"/>
              <w:right w:val="single" w:color="BBCFDE" w:sz="4"/>
            </w:tcBorders>
            <w:shd w:fill="004A9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Descripción</w:t>
            </w:r>
          </w:p>
        </w:tc>
        <w:tc>
          <w:tcPr>
            <w:tcBorders>
              <w:top w:val="single" w:color="BBCFDE" w:sz="4"/>
              <w:left w:val="single" w:color="BBCFDE" w:sz="4"/>
              <w:bottom w:val="single" w:color="BBCFDE" w:sz="4"/>
              <w:right w:val="single" w:color="BBCFDE" w:sz="4"/>
            </w:tcBorders>
            <w:shd w:fill="004A9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Rango observado</w:t>
            </w:r>
          </w:p>
        </w:tc>
        <w:tc>
          <w:tcPr>
            <w:tcBorders>
              <w:top w:val="single" w:color="BBCFDE" w:sz="4"/>
              <w:left w:val="single" w:color="BBCFDE" w:sz="4"/>
              <w:bottom w:val="single" w:color="BBCFDE" w:sz="4"/>
              <w:right w:val="single" w:color="BBCFDE" w:sz="4"/>
            </w:tcBorders>
            <w:shd w:fill="004A9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Distribución sugerida</w:t>
            </w:r>
          </w:p>
        </w:tc>
      </w:tr>
      <w:tr>
        <w:tc>
          <w:tcPr>
            <w:tcBorders>
              <w:top w:val="single" w:color="BBCFDE" w:sz="4"/>
              <w:left w:val="single" w:color="BBCFDE" w:sz="4"/>
              <w:bottom w:val="single" w:color="BBCFDE" w:sz="4"/>
              <w:right w:val="single" w:color="BBCFDE" w:sz="4"/>
            </w:tcBorders>
            <w:shd w:fill="F0F4F8" w:val="clear"/>
            <w:tcMar>
              <w:top w:type="dxa" w:w="80"/>
              <w:left w:type="dxa" w:w="140"/>
              <w:bottom w:type="dxa" w:w="80"/>
              <w:right w:type="dxa" w:w="140"/>
            </w:tcMar>
            <w:vAlign w:val="center"/>
          </w:tcPr>
          <w:p>
            <w:pPr>
              <w:jc w:val="center"/>
            </w:pPr>
            <w:r>
              <w:rPr>
                <w:rFonts w:ascii="Arial" w:cs="Arial" w:eastAsia="Arial" w:hAnsi="Arial"/>
                <w:b/>
                <w:bCs/>
                <w:color w:val="000000"/>
                <w:sz w:val="21"/>
                <w:szCs w:val="21"/>
              </w:rPr>
              <w:t xml:space="preserve">λ (llegadas)</w:t>
            </w:r>
          </w:p>
        </w:tc>
        <w:tc>
          <w:tcPr>
            <w:tcBorders>
              <w:top w:val="single" w:color="BBCFDE" w:sz="4"/>
              <w:left w:val="single" w:color="BBCFDE" w:sz="4"/>
              <w:bottom w:val="single" w:color="BBCFDE" w:sz="4"/>
              <w:right w:val="single" w:color="BBCFDE" w:sz="4"/>
            </w:tcBorders>
            <w:shd w:fill="F0F4F8"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1"/>
                <w:szCs w:val="21"/>
              </w:rPr>
              <w:t xml:space="preserve">Ráfagas del metro (Pumabicis)</w:t>
            </w:r>
          </w:p>
        </w:tc>
        <w:tc>
          <w:tcPr>
            <w:tcBorders>
              <w:top w:val="single" w:color="BBCFDE" w:sz="4"/>
              <w:left w:val="single" w:color="BBCFDE" w:sz="4"/>
              <w:bottom w:val="single" w:color="BBCFDE" w:sz="4"/>
              <w:right w:val="single" w:color="BBCFDE" w:sz="4"/>
            </w:tcBorders>
            <w:shd w:fill="F0F4F8" w:val="clear"/>
            <w:tcMar>
              <w:top w:type="dxa" w:w="80"/>
              <w:left w:type="dxa" w:w="140"/>
              <w:bottom w:type="dxa" w:w="80"/>
              <w:right w:type="dxa" w:w="140"/>
            </w:tcMar>
            <w:vAlign w:val="center"/>
          </w:tcPr>
          <w:p>
            <w:pPr>
              <w:jc w:val="center"/>
            </w:pPr>
            <w:r>
              <w:rPr>
                <w:rFonts w:ascii="Arial" w:cs="Arial" w:eastAsia="Arial" w:hAnsi="Arial"/>
                <w:b/>
                <w:bCs/>
                <w:color w:val="1A5E9A"/>
                <w:sz w:val="21"/>
                <w:szCs w:val="21"/>
              </w:rPr>
              <w:t xml:space="preserve">1 llegada cada 3–10 min</w:t>
            </w:r>
          </w:p>
        </w:tc>
        <w:tc>
          <w:tcPr>
            <w:tcBorders>
              <w:top w:val="single" w:color="BBCFDE" w:sz="4"/>
              <w:left w:val="single" w:color="BBCFDE" w:sz="4"/>
              <w:bottom w:val="single" w:color="BBCFDE" w:sz="4"/>
              <w:right w:val="single" w:color="BBCFDE" w:sz="4"/>
            </w:tcBorders>
            <w:shd w:fill="F0F4F8"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1"/>
                <w:szCs w:val="21"/>
              </w:rPr>
              <w:t xml:space="preserve">Poisson compuesto</w:t>
            </w:r>
          </w:p>
        </w:tc>
      </w:tr>
      <w:tr>
        <w:tc>
          <w:tcPr>
            <w:tcBorders>
              <w:top w:val="single" w:color="BBCFDE" w:sz="4"/>
              <w:left w:val="single" w:color="BBCFDE" w:sz="4"/>
              <w:bottom w:val="single" w:color="BBCFDE" w:sz="4"/>
              <w:right w:val="single" w:color="BBCFDE" w:sz="4"/>
            </w:tcBorders>
            <w:shd w:fill="FFFFFF" w:val="clear"/>
            <w:tcMar>
              <w:top w:type="dxa" w:w="80"/>
              <w:left w:type="dxa" w:w="140"/>
              <w:bottom w:type="dxa" w:w="80"/>
              <w:right w:type="dxa" w:w="140"/>
            </w:tcMar>
            <w:vAlign w:val="center"/>
          </w:tcPr>
          <w:p>
            <w:pPr>
              <w:jc w:val="center"/>
            </w:pPr>
            <w:r>
              <w:rPr>
                <w:rFonts w:ascii="Arial" w:cs="Arial" w:eastAsia="Arial" w:hAnsi="Arial"/>
                <w:b/>
                <w:bCs/>
                <w:color w:val="000000"/>
                <w:sz w:val="21"/>
                <w:szCs w:val="21"/>
              </w:rPr>
              <w:t xml:space="preserve">Tamaño de lote</w:t>
            </w:r>
          </w:p>
        </w:tc>
        <w:tc>
          <w:tcPr>
            <w:tcBorders>
              <w:top w:val="single" w:color="BBCFDE" w:sz="4"/>
              <w:left w:val="single" w:color="BBCFDE" w:sz="4"/>
              <w:bottom w:val="single" w:color="BBCFDE" w:sz="4"/>
              <w:right w:val="single" w:color="BBCF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1"/>
                <w:szCs w:val="21"/>
              </w:rPr>
              <w:t xml:space="preserve">Personas por ráfaga</w:t>
            </w:r>
          </w:p>
        </w:tc>
        <w:tc>
          <w:tcPr>
            <w:tcBorders>
              <w:top w:val="single" w:color="BBCFDE" w:sz="4"/>
              <w:left w:val="single" w:color="BBCFDE" w:sz="4"/>
              <w:bottom w:val="single" w:color="BBCFDE" w:sz="4"/>
              <w:right w:val="single" w:color="BBCFDE" w:sz="4"/>
            </w:tcBorders>
            <w:shd w:fill="FFFFFF" w:val="clear"/>
            <w:tcMar>
              <w:top w:type="dxa" w:w="80"/>
              <w:left w:type="dxa" w:w="140"/>
              <w:bottom w:type="dxa" w:w="80"/>
              <w:right w:type="dxa" w:w="140"/>
            </w:tcMar>
            <w:vAlign w:val="center"/>
          </w:tcPr>
          <w:p>
            <w:pPr>
              <w:jc w:val="center"/>
            </w:pPr>
            <w:r>
              <w:rPr>
                <w:rFonts w:ascii="Arial" w:cs="Arial" w:eastAsia="Arial" w:hAnsi="Arial"/>
                <w:b/>
                <w:bCs/>
                <w:color w:val="1A5E9A"/>
                <w:sz w:val="21"/>
                <w:szCs w:val="21"/>
              </w:rPr>
              <w:t xml:space="preserve">1–8 personas</w:t>
            </w:r>
          </w:p>
        </w:tc>
        <w:tc>
          <w:tcPr>
            <w:tcBorders>
              <w:top w:val="single" w:color="BBCFDE" w:sz="4"/>
              <w:left w:val="single" w:color="BBCFDE" w:sz="4"/>
              <w:bottom w:val="single" w:color="BBCFDE" w:sz="4"/>
              <w:right w:val="single" w:color="BBCF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1"/>
                <w:szCs w:val="21"/>
              </w:rPr>
              <w:t xml:space="preserve">Uniforme discreta / Geométrica</w:t>
            </w:r>
          </w:p>
        </w:tc>
      </w:tr>
      <w:tr>
        <w:tc>
          <w:tcPr>
            <w:tcBorders>
              <w:top w:val="single" w:color="BBCFDE" w:sz="4"/>
              <w:left w:val="single" w:color="BBCFDE" w:sz="4"/>
              <w:bottom w:val="single" w:color="BBCFDE" w:sz="4"/>
              <w:right w:val="single" w:color="BBCFDE" w:sz="4"/>
            </w:tcBorders>
            <w:shd w:fill="F0F4F8" w:val="clear"/>
            <w:tcMar>
              <w:top w:type="dxa" w:w="80"/>
              <w:left w:type="dxa" w:w="140"/>
              <w:bottom w:type="dxa" w:w="80"/>
              <w:right w:type="dxa" w:w="140"/>
            </w:tcMar>
            <w:vAlign w:val="center"/>
          </w:tcPr>
          <w:p>
            <w:pPr>
              <w:jc w:val="center"/>
            </w:pPr>
            <w:r>
              <w:rPr>
                <w:rFonts w:ascii="Arial" w:cs="Arial" w:eastAsia="Arial" w:hAnsi="Arial"/>
                <w:b/>
                <w:bCs/>
                <w:color w:val="000000"/>
                <w:sz w:val="21"/>
                <w:szCs w:val="21"/>
              </w:rPr>
              <w:t xml:space="preserve">μ (servicio manual)</w:t>
            </w:r>
          </w:p>
        </w:tc>
        <w:tc>
          <w:tcPr>
            <w:tcBorders>
              <w:top w:val="single" w:color="BBCFDE" w:sz="4"/>
              <w:left w:val="single" w:color="BBCFDE" w:sz="4"/>
              <w:bottom w:val="single" w:color="BBCFDE" w:sz="4"/>
              <w:right w:val="single" w:color="BBCFDE" w:sz="4"/>
            </w:tcBorders>
            <w:shd w:fill="F0F4F8"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1"/>
                <w:szCs w:val="21"/>
              </w:rPr>
              <w:t xml:space="preserve">NIP + resello + casco + código</w:t>
            </w:r>
          </w:p>
        </w:tc>
        <w:tc>
          <w:tcPr>
            <w:tcBorders>
              <w:top w:val="single" w:color="BBCFDE" w:sz="4"/>
              <w:left w:val="single" w:color="BBCFDE" w:sz="4"/>
              <w:bottom w:val="single" w:color="BBCFDE" w:sz="4"/>
              <w:right w:val="single" w:color="BBCFDE" w:sz="4"/>
            </w:tcBorders>
            <w:shd w:fill="F0F4F8" w:val="clear"/>
            <w:tcMar>
              <w:top w:type="dxa" w:w="80"/>
              <w:left w:type="dxa" w:w="140"/>
              <w:bottom w:type="dxa" w:w="80"/>
              <w:right w:type="dxa" w:w="140"/>
            </w:tcMar>
            <w:vAlign w:val="center"/>
          </w:tcPr>
          <w:p>
            <w:pPr>
              <w:jc w:val="center"/>
            </w:pPr>
            <w:r>
              <w:rPr>
                <w:rFonts w:ascii="Arial" w:cs="Arial" w:eastAsia="Arial" w:hAnsi="Arial"/>
                <w:b/>
                <w:bCs/>
                <w:color w:val="E06C00"/>
                <w:sz w:val="21"/>
                <w:szCs w:val="21"/>
              </w:rPr>
              <w:t xml:space="preserve">30–90 s / persona</w:t>
            </w:r>
          </w:p>
        </w:tc>
        <w:tc>
          <w:tcPr>
            <w:tcBorders>
              <w:top w:val="single" w:color="BBCFDE" w:sz="4"/>
              <w:left w:val="single" w:color="BBCFDE" w:sz="4"/>
              <w:bottom w:val="single" w:color="BBCFDE" w:sz="4"/>
              <w:right w:val="single" w:color="BBCFDE" w:sz="4"/>
            </w:tcBorders>
            <w:shd w:fill="F0F4F8"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1"/>
                <w:szCs w:val="21"/>
              </w:rPr>
              <w:t xml:space="preserve">Erlang(k=4)</w:t>
            </w:r>
          </w:p>
        </w:tc>
      </w:tr>
      <w:tr>
        <w:tc>
          <w:tcPr>
            <w:tcBorders>
              <w:top w:val="single" w:color="BBCFDE" w:sz="4"/>
              <w:left w:val="single" w:color="BBCFDE" w:sz="4"/>
              <w:bottom w:val="single" w:color="BBCFDE" w:sz="4"/>
              <w:right w:val="single" w:color="BBCFDE" w:sz="4"/>
            </w:tcBorders>
            <w:shd w:fill="FFFFFF" w:val="clear"/>
            <w:tcMar>
              <w:top w:type="dxa" w:w="80"/>
              <w:left w:type="dxa" w:w="140"/>
              <w:bottom w:type="dxa" w:w="80"/>
              <w:right w:type="dxa" w:w="140"/>
            </w:tcMar>
            <w:vAlign w:val="center"/>
          </w:tcPr>
          <w:p>
            <w:pPr>
              <w:jc w:val="center"/>
            </w:pPr>
            <w:r>
              <w:rPr>
                <w:rFonts w:ascii="Arial" w:cs="Arial" w:eastAsia="Arial" w:hAnsi="Arial"/>
                <w:b/>
                <w:bCs/>
                <w:color w:val="000000"/>
                <w:sz w:val="21"/>
                <w:szCs w:val="21"/>
              </w:rPr>
              <w:t xml:space="preserve">Impaciencia</w:t>
            </w:r>
          </w:p>
        </w:tc>
        <w:tc>
          <w:tcPr>
            <w:tcBorders>
              <w:top w:val="single" w:color="BBCFDE" w:sz="4"/>
              <w:left w:val="single" w:color="BBCFDE" w:sz="4"/>
              <w:bottom w:val="single" w:color="BBCFDE" w:sz="4"/>
              <w:right w:val="single" w:color="BBCF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1"/>
                <w:szCs w:val="21"/>
              </w:rPr>
              <w:t xml:space="preserve">Tiempo máx. de espera</w:t>
            </w:r>
          </w:p>
        </w:tc>
        <w:tc>
          <w:tcPr>
            <w:tcBorders>
              <w:top w:val="single" w:color="BBCFDE" w:sz="4"/>
              <w:left w:val="single" w:color="BBCFDE" w:sz="4"/>
              <w:bottom w:val="single" w:color="BBCFDE" w:sz="4"/>
              <w:right w:val="single" w:color="BBCFDE" w:sz="4"/>
            </w:tcBorders>
            <w:shd w:fill="FFFFFF" w:val="clear"/>
            <w:tcMar>
              <w:top w:type="dxa" w:w="80"/>
              <w:left w:type="dxa" w:w="140"/>
              <w:bottom w:type="dxa" w:w="80"/>
              <w:right w:type="dxa" w:w="140"/>
            </w:tcMar>
            <w:vAlign w:val="center"/>
          </w:tcPr>
          <w:p>
            <w:pPr>
              <w:jc w:val="center"/>
            </w:pPr>
            <w:r>
              <w:rPr>
                <w:rFonts w:ascii="Arial" w:cs="Arial" w:eastAsia="Arial" w:hAnsi="Arial"/>
                <w:b/>
                <w:bCs/>
                <w:color w:val="E06C00"/>
                <w:sz w:val="21"/>
                <w:szCs w:val="21"/>
              </w:rPr>
              <w:t xml:space="preserve">Variable</w:t>
            </w:r>
          </w:p>
        </w:tc>
        <w:tc>
          <w:tcPr>
            <w:tcBorders>
              <w:top w:val="single" w:color="BBCFDE" w:sz="4"/>
              <w:left w:val="single" w:color="BBCFDE" w:sz="4"/>
              <w:bottom w:val="single" w:color="BBCFDE" w:sz="4"/>
              <w:right w:val="single" w:color="BBCF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1"/>
                <w:szCs w:val="21"/>
              </w:rPr>
              <w:t xml:space="preserve">Exponencial</w:t>
            </w:r>
          </w:p>
        </w:tc>
      </w:tr>
      <w:tr>
        <w:tc>
          <w:tcPr>
            <w:tcBorders>
              <w:top w:val="single" w:color="BBCFDE" w:sz="4"/>
              <w:left w:val="single" w:color="BBCFDE" w:sz="4"/>
              <w:bottom w:val="single" w:color="BBCFDE" w:sz="4"/>
              <w:right w:val="single" w:color="BBCFDE" w:sz="4"/>
            </w:tcBorders>
            <w:shd w:fill="F0F4F8" w:val="clear"/>
            <w:tcMar>
              <w:top w:type="dxa" w:w="80"/>
              <w:left w:type="dxa" w:w="140"/>
              <w:bottom w:type="dxa" w:w="80"/>
              <w:right w:type="dxa" w:w="140"/>
            </w:tcMar>
            <w:vAlign w:val="center"/>
          </w:tcPr>
          <w:p>
            <w:pPr>
              <w:jc w:val="center"/>
            </w:pPr>
            <w:r>
              <w:rPr>
                <w:rFonts w:ascii="Arial" w:cs="Arial" w:eastAsia="Arial" w:hAnsi="Arial"/>
                <w:b/>
                <w:bCs/>
                <w:color w:val="000000"/>
                <w:sz w:val="21"/>
                <w:szCs w:val="21"/>
              </w:rPr>
              <w:t xml:space="preserve">μ kiosco RFID/QR</w:t>
            </w:r>
          </w:p>
        </w:tc>
        <w:tc>
          <w:tcPr>
            <w:tcBorders>
              <w:top w:val="single" w:color="BBCFDE" w:sz="4"/>
              <w:left w:val="single" w:color="BBCFDE" w:sz="4"/>
              <w:bottom w:val="single" w:color="BBCFDE" w:sz="4"/>
              <w:right w:val="single" w:color="BBCFDE" w:sz="4"/>
            </w:tcBorders>
            <w:shd w:fill="F0F4F8"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1"/>
                <w:szCs w:val="21"/>
              </w:rPr>
              <w:t xml:space="preserve">Tiempo de servicio autónomo</w:t>
            </w:r>
          </w:p>
        </w:tc>
        <w:tc>
          <w:tcPr>
            <w:tcBorders>
              <w:top w:val="single" w:color="BBCFDE" w:sz="4"/>
              <w:left w:val="single" w:color="BBCFDE" w:sz="4"/>
              <w:bottom w:val="single" w:color="BBCFDE" w:sz="4"/>
              <w:right w:val="single" w:color="BBCFDE" w:sz="4"/>
            </w:tcBorders>
            <w:shd w:fill="F0F4F8" w:val="clear"/>
            <w:tcMar>
              <w:top w:type="dxa" w:w="80"/>
              <w:left w:type="dxa" w:w="140"/>
              <w:bottom w:type="dxa" w:w="80"/>
              <w:right w:type="dxa" w:w="140"/>
            </w:tcMar>
            <w:vAlign w:val="center"/>
          </w:tcPr>
          <w:p>
            <w:pPr>
              <w:jc w:val="center"/>
            </w:pPr>
            <w:r>
              <w:rPr>
                <w:rFonts w:ascii="Arial" w:cs="Arial" w:eastAsia="Arial" w:hAnsi="Arial"/>
                <w:b/>
                <w:bCs/>
                <w:color w:val="1E7A4A"/>
                <w:sz w:val="21"/>
                <w:szCs w:val="21"/>
              </w:rPr>
              <w:t xml:space="preserve">10–20 s / persona</w:t>
            </w:r>
          </w:p>
        </w:tc>
        <w:tc>
          <w:tcPr>
            <w:tcBorders>
              <w:top w:val="single" w:color="BBCFDE" w:sz="4"/>
              <w:left w:val="single" w:color="BBCFDE" w:sz="4"/>
              <w:bottom w:val="single" w:color="BBCFDE" w:sz="4"/>
              <w:right w:val="single" w:color="BBCFDE" w:sz="4"/>
            </w:tcBorders>
            <w:shd w:fill="F0F4F8"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1"/>
                <w:szCs w:val="21"/>
              </w:rPr>
              <w:t xml:space="preserve">Weibull(c=2.5)</w:t>
            </w:r>
          </w:p>
        </w:tc>
      </w:tr>
      <w:tr>
        <w:tc>
          <w:tcPr>
            <w:tcBorders>
              <w:top w:val="single" w:color="BBCFDE" w:sz="4"/>
              <w:left w:val="single" w:color="BBCFDE" w:sz="4"/>
              <w:bottom w:val="single" w:color="BBCFDE" w:sz="4"/>
              <w:right w:val="single" w:color="BBCFDE" w:sz="4"/>
            </w:tcBorders>
            <w:shd w:fill="FFFFFF" w:val="clear"/>
            <w:tcMar>
              <w:top w:type="dxa" w:w="80"/>
              <w:left w:type="dxa" w:w="140"/>
              <w:bottom w:type="dxa" w:w="80"/>
              <w:right w:type="dxa" w:w="140"/>
            </w:tcMar>
            <w:vAlign w:val="center"/>
          </w:tcPr>
          <w:p>
            <w:pPr>
              <w:jc w:val="center"/>
            </w:pPr>
            <w:r>
              <w:rPr>
                <w:rFonts w:ascii="Arial" w:cs="Arial" w:eastAsia="Arial" w:hAnsi="Arial"/>
                <w:b/>
                <w:bCs/>
                <w:color w:val="000000"/>
                <w:sz w:val="21"/>
                <w:szCs w:val="21"/>
              </w:rPr>
              <w:t xml:space="preserve">P_excepción</w:t>
            </w:r>
          </w:p>
        </w:tc>
        <w:tc>
          <w:tcPr>
            <w:tcBorders>
              <w:top w:val="single" w:color="BBCFDE" w:sz="4"/>
              <w:left w:val="single" w:color="BBCFDE" w:sz="4"/>
              <w:bottom w:val="single" w:color="BBCFDE" w:sz="4"/>
              <w:right w:val="single" w:color="BBCF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1"/>
                <w:szCs w:val="21"/>
              </w:rPr>
              <w:t xml:space="preserve">Fallo de validación en kiosco</w:t>
            </w:r>
          </w:p>
        </w:tc>
        <w:tc>
          <w:tcPr>
            <w:tcBorders>
              <w:top w:val="single" w:color="BBCFDE" w:sz="4"/>
              <w:left w:val="single" w:color="BBCFDE" w:sz="4"/>
              <w:bottom w:val="single" w:color="BBCFDE" w:sz="4"/>
              <w:right w:val="single" w:color="BBCFDE" w:sz="4"/>
            </w:tcBorders>
            <w:shd w:fill="FFFFFF" w:val="clear"/>
            <w:tcMar>
              <w:top w:type="dxa" w:w="80"/>
              <w:left w:type="dxa" w:w="140"/>
              <w:bottom w:type="dxa" w:w="80"/>
              <w:right w:type="dxa" w:w="140"/>
            </w:tcMar>
            <w:vAlign w:val="center"/>
          </w:tcPr>
          <w:p>
            <w:pPr>
              <w:jc w:val="center"/>
            </w:pPr>
            <w:r>
              <w:rPr>
                <w:rFonts w:ascii="Arial" w:cs="Arial" w:eastAsia="Arial" w:hAnsi="Arial"/>
                <w:b/>
                <w:bCs/>
                <w:color w:val="E06C00"/>
                <w:sz w:val="21"/>
                <w:szCs w:val="21"/>
              </w:rPr>
              <w:t xml:space="preserve">~5–15%</w:t>
            </w:r>
          </w:p>
        </w:tc>
        <w:tc>
          <w:tcPr>
            <w:tcBorders>
              <w:top w:val="single" w:color="BBCFDE" w:sz="4"/>
              <w:left w:val="single" w:color="BBCFDE" w:sz="4"/>
              <w:bottom w:val="single" w:color="BBCFDE" w:sz="4"/>
              <w:right w:val="single" w:color="BBCFDE"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1"/>
                <w:szCs w:val="21"/>
              </w:rPr>
              <w:t xml:space="preserve">Bernoulli(p)</w:t>
            </w:r>
          </w:p>
        </w:tc>
      </w:tr>
    </w:tbl>
    <w:p>
      <w:pPr>
        <w:spacing w:after="0" w:before="120"/>
      </w:pPr>
    </w:p>
    <w:p>
      <w:pPr>
        <w:spacing w:after="80" w:before="80"/>
        <w:ind w:left="720"/>
      </w:pPr>
      <w:r>
        <w:rPr>
          <w:rFonts w:ascii="Arial" w:cs="Arial" w:eastAsia="Arial" w:hAnsi="Arial"/>
          <w:i/>
          <w:iCs/>
          <w:color w:val="5A5A5A"/>
          <w:sz w:val="20"/>
          <w:szCs w:val="20"/>
        </w:rPr>
        <w:t xml:space="preserve">📋  Para calibrar las distribuciones con datos reales, usar fit_distributions() en pumabicis_simulation.py, que prueba Erlang, LogNormal, Weibull, Exponencial y Gamma, y devuelve el mejor ajuste por estadístico KS.</w:t>
      </w:r>
    </w:p>
    <w:p>
      <w:pPr>
        <w:spacing w:after="0" w:before="240"/>
      </w:pPr>
    </w:p>
    <w:p>
      <w:pPr>
        <w:pStyle w:val="Heading1"/>
        <w:pBdr>
          <w:bottom w:val="single" w:color="004A94" w:sz="8" w:space="4"/>
        </w:pBdr>
        <w:spacing w:after="160" w:before="320"/>
      </w:pPr>
      <w:r>
        <w:rPr>
          <w:rFonts w:ascii="Arial" w:cs="Arial" w:eastAsia="Arial" w:hAnsi="Arial"/>
          <w:b/>
          <w:bCs/>
          <w:color w:val="004A94"/>
          <w:sz w:val="28"/>
          <w:szCs w:val="28"/>
        </w:rPr>
        <w:t xml:space="preserve">3. Clasificación formal — Notación de Kendall</w:t>
      </w:r>
    </w:p>
    <w:p>
      <w:r>
        <w:rPr>
          <w:rFonts w:ascii="Arial" w:cs="Arial" w:eastAsia="Arial" w:hAnsi="Arial"/>
          <w:sz w:val="22"/>
          <w:szCs w:val="22"/>
        </w:rPr>
        <w:t xml:space="preserve">Cada escenario se clasifica formalmente bajo la notación estándar A/B/c/K+disciplina, donde A es la distribución de llegadas, B la de servicio, c el número de servidores, K la capacidad del sistema y la disciplina de cola.</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80"/>
        <w:gridCol w:w="2580"/>
      </w:tblGrid>
      <w:tr>
        <w:tc>
          <w:tcPr>
            <w:tcBorders>
              <w:top w:val="single" w:color="BBCFDE" w:sz="4"/>
              <w:left w:val="single" w:color="BBCFDE" w:sz="4"/>
              <w:bottom w:val="single" w:color="BBCFDE" w:sz="4"/>
              <w:right w:val="single" w:color="BBCFDE" w:sz="4"/>
            </w:tcBorders>
            <w:shd w:fill="1A5E9A"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Escenario</w:t>
            </w:r>
          </w:p>
        </w:tc>
        <w:tc>
          <w:tcPr>
            <w:tcBorders>
              <w:top w:val="single" w:color="BBCFDE" w:sz="4"/>
              <w:left w:val="single" w:color="BBCFDE" w:sz="4"/>
              <w:bottom w:val="single" w:color="BBCFDE" w:sz="4"/>
              <w:right w:val="single" w:color="BBCFDE" w:sz="4"/>
            </w:tcBorders>
            <w:shd w:fill="1A5E9A"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Notación Kendall</w:t>
            </w:r>
          </w:p>
        </w:tc>
        <w:tc>
          <w:tcPr>
            <w:tcBorders>
              <w:top w:val="single" w:color="BBCFDE" w:sz="4"/>
              <w:left w:val="single" w:color="BBCFDE" w:sz="4"/>
              <w:bottom w:val="single" w:color="BBCFDE" w:sz="4"/>
              <w:right w:val="single" w:color="BBCFDE" w:sz="4"/>
            </w:tcBorders>
            <w:shd w:fill="1A5E9A"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Supuesto de llegada</w:t>
            </w:r>
          </w:p>
        </w:tc>
        <w:tc>
          <w:tcPr>
            <w:tcBorders>
              <w:top w:val="single" w:color="BBCFDE" w:sz="4"/>
              <w:left w:val="single" w:color="BBCFDE" w:sz="4"/>
              <w:bottom w:val="single" w:color="BBCFDE" w:sz="4"/>
              <w:right w:val="single" w:color="BBCFDE" w:sz="4"/>
            </w:tcBorders>
            <w:shd w:fill="1A5E9A"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Distribución servicio</w:t>
            </w:r>
          </w:p>
        </w:tc>
      </w:tr>
      <w:tr>
        <w:tc>
          <w:tcPr>
            <w:tcBorders>
              <w:top w:val="single" w:color="BBCFDE" w:sz="4"/>
              <w:left w:val="single" w:color="BBCFDE" w:sz="4"/>
              <w:bottom w:val="single" w:color="BBCFDE" w:sz="4"/>
              <w:right w:val="single" w:color="BBCFDE" w:sz="4"/>
            </w:tcBorders>
            <w:shd w:fill="F0F4F8" w:val="clear"/>
            <w:tcMar>
              <w:top w:type="dxa" w:w="80"/>
              <w:left w:type="dxa" w:w="140"/>
              <w:bottom w:type="dxa" w:w="80"/>
              <w:right w:type="dxa" w:w="140"/>
            </w:tcMar>
          </w:tcPr>
          <w:p>
            <w:r>
              <w:rPr>
                <w:rFonts w:ascii="Arial" w:cs="Arial" w:eastAsia="Arial" w:hAnsi="Arial"/>
                <w:sz w:val="20"/>
                <w:szCs w:val="20"/>
              </w:rPr>
              <w:t xml:space="preserve">1 — Manual</w:t>
            </w:r>
          </w:p>
        </w:tc>
        <w:tc>
          <w:tcPr>
            <w:tcBorders>
              <w:top w:val="single" w:color="BBCFDE" w:sz="4"/>
              <w:left w:val="single" w:color="BBCFDE" w:sz="4"/>
              <w:bottom w:val="single" w:color="BBCFDE" w:sz="4"/>
              <w:right w:val="single" w:color="BBCFDE" w:sz="4"/>
            </w:tcBorders>
            <w:shd w:fill="F0F4F8" w:val="clear"/>
            <w:tcMar>
              <w:top w:type="dxa" w:w="80"/>
              <w:left w:type="dxa" w:w="140"/>
              <w:bottom w:type="dxa" w:w="80"/>
              <w:right w:type="dxa" w:w="140"/>
            </w:tcMar>
          </w:tcPr>
          <w:p>
            <w:r>
              <w:rPr>
                <w:rFonts w:ascii="Arial" w:cs="Arial" w:eastAsia="Arial" w:hAnsi="Arial"/>
                <w:sz w:val="20"/>
                <w:szCs w:val="20"/>
              </w:rPr>
              <w:t xml:space="preserve">M[X]/E₄/1/K+RENEGING</w:t>
            </w:r>
          </w:p>
        </w:tc>
        <w:tc>
          <w:tcPr>
            <w:tcBorders>
              <w:top w:val="single" w:color="BBCFDE" w:sz="4"/>
              <w:left w:val="single" w:color="BBCFDE" w:sz="4"/>
              <w:bottom w:val="single" w:color="BBCFDE" w:sz="4"/>
              <w:right w:val="single" w:color="BBCFDE" w:sz="4"/>
            </w:tcBorders>
            <w:shd w:fill="F0F4F8" w:val="clear"/>
            <w:tcMar>
              <w:top w:type="dxa" w:w="80"/>
              <w:left w:type="dxa" w:w="140"/>
              <w:bottom w:type="dxa" w:w="80"/>
              <w:right w:type="dxa" w:w="140"/>
            </w:tcMar>
          </w:tcPr>
          <w:p>
            <w:r>
              <w:rPr>
                <w:rFonts w:ascii="Arial" w:cs="Arial" w:eastAsia="Arial" w:hAnsi="Arial"/>
                <w:sz w:val="20"/>
                <w:szCs w:val="20"/>
              </w:rPr>
              <w:t xml:space="preserve">Poisson compuesto</w:t>
            </w:r>
          </w:p>
        </w:tc>
        <w:tc>
          <w:tcPr>
            <w:tcBorders>
              <w:top w:val="single" w:color="BBCFDE" w:sz="4"/>
              <w:left w:val="single" w:color="BBCFDE" w:sz="4"/>
              <w:bottom w:val="single" w:color="BBCFDE" w:sz="4"/>
              <w:right w:val="single" w:color="BBCFDE" w:sz="4"/>
            </w:tcBorders>
            <w:shd w:fill="F0F4F8" w:val="clear"/>
            <w:tcMar>
              <w:top w:type="dxa" w:w="80"/>
              <w:left w:type="dxa" w:w="140"/>
              <w:bottom w:type="dxa" w:w="80"/>
              <w:right w:type="dxa" w:w="140"/>
            </w:tcMar>
          </w:tcPr>
          <w:p>
            <w:r>
              <w:rPr>
                <w:rFonts w:ascii="Arial" w:cs="Arial" w:eastAsia="Arial" w:hAnsi="Arial"/>
                <w:sz w:val="20"/>
                <w:szCs w:val="20"/>
              </w:rPr>
              <w:t xml:space="preserve">Erlang(k=4)</w:t>
            </w:r>
          </w:p>
        </w:tc>
      </w:tr>
      <w:tr>
        <w:tc>
          <w:tcPr>
            <w:tcBorders>
              <w:top w:val="single" w:color="BBCFDE" w:sz="4"/>
              <w:left w:val="single" w:color="BBCFDE" w:sz="4"/>
              <w:bottom w:val="single" w:color="BBCFDE" w:sz="4"/>
              <w:right w:val="single" w:color="BBCFDE" w:sz="4"/>
            </w:tcBorders>
            <w:shd w:fill="FFFFFF" w:val="clear"/>
            <w:tcMar>
              <w:top w:type="dxa" w:w="80"/>
              <w:left w:type="dxa" w:w="140"/>
              <w:bottom w:type="dxa" w:w="80"/>
              <w:right w:type="dxa" w:w="140"/>
            </w:tcMar>
          </w:tcPr>
          <w:p>
            <w:r>
              <w:rPr>
                <w:rFonts w:ascii="Arial" w:cs="Arial" w:eastAsia="Arial" w:hAnsi="Arial"/>
                <w:sz w:val="20"/>
                <w:szCs w:val="20"/>
              </w:rPr>
              <w:t xml:space="preserve">2 — Autónomo</w:t>
            </w:r>
          </w:p>
        </w:tc>
        <w:tc>
          <w:tcPr>
            <w:tcBorders>
              <w:top w:val="single" w:color="BBCFDE" w:sz="4"/>
              <w:left w:val="single" w:color="BBCFDE" w:sz="4"/>
              <w:bottom w:val="single" w:color="BBCFDE" w:sz="4"/>
              <w:right w:val="single" w:color="BBCFDE" w:sz="4"/>
            </w:tcBorders>
            <w:shd w:fill="FFFFFF" w:val="clear"/>
            <w:tcMar>
              <w:top w:type="dxa" w:w="80"/>
              <w:left w:type="dxa" w:w="140"/>
              <w:bottom w:type="dxa" w:w="80"/>
              <w:right w:type="dxa" w:w="140"/>
            </w:tcMar>
          </w:tcPr>
          <w:p>
            <w:r>
              <w:rPr>
                <w:rFonts w:ascii="Arial" w:cs="Arial" w:eastAsia="Arial" w:hAnsi="Arial"/>
                <w:sz w:val="20"/>
                <w:szCs w:val="20"/>
              </w:rPr>
              <w:t xml:space="preserve">M[X]/W/N/K</w:t>
            </w:r>
          </w:p>
        </w:tc>
        <w:tc>
          <w:tcPr>
            <w:tcBorders>
              <w:top w:val="single" w:color="BBCFDE" w:sz="4"/>
              <w:left w:val="single" w:color="BBCFDE" w:sz="4"/>
              <w:bottom w:val="single" w:color="BBCFDE" w:sz="4"/>
              <w:right w:val="single" w:color="BBCFDE" w:sz="4"/>
            </w:tcBorders>
            <w:shd w:fill="FFFFFF" w:val="clear"/>
            <w:tcMar>
              <w:top w:type="dxa" w:w="80"/>
              <w:left w:type="dxa" w:w="140"/>
              <w:bottom w:type="dxa" w:w="80"/>
              <w:right w:type="dxa" w:w="140"/>
            </w:tcMar>
          </w:tcPr>
          <w:p>
            <w:r>
              <w:rPr>
                <w:rFonts w:ascii="Arial" w:cs="Arial" w:eastAsia="Arial" w:hAnsi="Arial"/>
                <w:sz w:val="20"/>
                <w:szCs w:val="20"/>
              </w:rPr>
              <w:t xml:space="preserve">Poisson compuesto</w:t>
            </w:r>
          </w:p>
        </w:tc>
        <w:tc>
          <w:tcPr>
            <w:tcBorders>
              <w:top w:val="single" w:color="BBCFDE" w:sz="4"/>
              <w:left w:val="single" w:color="BBCFDE" w:sz="4"/>
              <w:bottom w:val="single" w:color="BBCFDE" w:sz="4"/>
              <w:right w:val="single" w:color="BBCFDE" w:sz="4"/>
            </w:tcBorders>
            <w:shd w:fill="FFFFFF" w:val="clear"/>
            <w:tcMar>
              <w:top w:type="dxa" w:w="80"/>
              <w:left w:type="dxa" w:w="140"/>
              <w:bottom w:type="dxa" w:w="80"/>
              <w:right w:type="dxa" w:w="140"/>
            </w:tcMar>
          </w:tcPr>
          <w:p>
            <w:r>
              <w:rPr>
                <w:rFonts w:ascii="Arial" w:cs="Arial" w:eastAsia="Arial" w:hAnsi="Arial"/>
                <w:sz w:val="20"/>
                <w:szCs w:val="20"/>
              </w:rPr>
              <w:t xml:space="preserve">Weibull(c=2.5)</w:t>
            </w:r>
          </w:p>
        </w:tc>
      </w:tr>
      <w:tr>
        <w:tc>
          <w:tcPr>
            <w:tcBorders>
              <w:top w:val="single" w:color="BBCFDE" w:sz="4"/>
              <w:left w:val="single" w:color="BBCFDE" w:sz="4"/>
              <w:bottom w:val="single" w:color="BBCFDE" w:sz="4"/>
              <w:right w:val="single" w:color="BBCFDE" w:sz="4"/>
            </w:tcBorders>
            <w:shd w:fill="F0F4F8" w:val="clear"/>
            <w:tcMar>
              <w:top w:type="dxa" w:w="80"/>
              <w:left w:type="dxa" w:w="140"/>
              <w:bottom w:type="dxa" w:w="80"/>
              <w:right w:type="dxa" w:w="140"/>
            </w:tcMar>
          </w:tcPr>
          <w:p>
            <w:r>
              <w:rPr>
                <w:rFonts w:ascii="Arial" w:cs="Arial" w:eastAsia="Arial" w:hAnsi="Arial"/>
                <w:sz w:val="20"/>
                <w:szCs w:val="20"/>
              </w:rPr>
              <w:t xml:space="preserve">3 — Híbrido</w:t>
            </w:r>
          </w:p>
        </w:tc>
        <w:tc>
          <w:tcPr>
            <w:tcBorders>
              <w:top w:val="single" w:color="BBCFDE" w:sz="4"/>
              <w:left w:val="single" w:color="BBCFDE" w:sz="4"/>
              <w:bottom w:val="single" w:color="BBCFDE" w:sz="4"/>
              <w:right w:val="single" w:color="BBCFDE" w:sz="4"/>
            </w:tcBorders>
            <w:shd w:fill="F0F4F8" w:val="clear"/>
            <w:tcMar>
              <w:top w:type="dxa" w:w="80"/>
              <w:left w:type="dxa" w:w="140"/>
              <w:bottom w:type="dxa" w:w="80"/>
              <w:right w:type="dxa" w:w="140"/>
            </w:tcMar>
          </w:tcPr>
          <w:p>
            <w:r>
              <w:rPr>
                <w:rFonts w:ascii="Arial" w:cs="Arial" w:eastAsia="Arial" w:hAnsi="Arial"/>
                <w:sz w:val="20"/>
                <w:szCs w:val="20"/>
              </w:rPr>
              <w:t xml:space="preserve">M[X]/W/N/K + M/M/1 (exc.)</w:t>
            </w:r>
          </w:p>
        </w:tc>
        <w:tc>
          <w:tcPr>
            <w:tcBorders>
              <w:top w:val="single" w:color="BBCFDE" w:sz="4"/>
              <w:left w:val="single" w:color="BBCFDE" w:sz="4"/>
              <w:bottom w:val="single" w:color="BBCFDE" w:sz="4"/>
              <w:right w:val="single" w:color="BBCFDE" w:sz="4"/>
            </w:tcBorders>
            <w:shd w:fill="F0F4F8" w:val="clear"/>
            <w:tcMar>
              <w:top w:type="dxa" w:w="80"/>
              <w:left w:type="dxa" w:w="140"/>
              <w:bottom w:type="dxa" w:w="80"/>
              <w:right w:type="dxa" w:w="140"/>
            </w:tcMar>
          </w:tcPr>
          <w:p>
            <w:r>
              <w:rPr>
                <w:rFonts w:ascii="Arial" w:cs="Arial" w:eastAsia="Arial" w:hAnsi="Arial"/>
                <w:sz w:val="20"/>
                <w:szCs w:val="20"/>
              </w:rPr>
              <w:t xml:space="preserve">Poisson compuesto</w:t>
            </w:r>
          </w:p>
        </w:tc>
        <w:tc>
          <w:tcPr>
            <w:tcBorders>
              <w:top w:val="single" w:color="BBCFDE" w:sz="4"/>
              <w:left w:val="single" w:color="BBCFDE" w:sz="4"/>
              <w:bottom w:val="single" w:color="BBCFDE" w:sz="4"/>
              <w:right w:val="single" w:color="BBCFDE" w:sz="4"/>
            </w:tcBorders>
            <w:shd w:fill="F0F4F8" w:val="clear"/>
            <w:tcMar>
              <w:top w:type="dxa" w:w="80"/>
              <w:left w:type="dxa" w:w="140"/>
              <w:bottom w:type="dxa" w:w="80"/>
              <w:right w:type="dxa" w:w="140"/>
            </w:tcMar>
          </w:tcPr>
          <w:p>
            <w:r>
              <w:rPr>
                <w:rFonts w:ascii="Arial" w:cs="Arial" w:eastAsia="Arial" w:hAnsi="Arial"/>
                <w:sz w:val="20"/>
                <w:szCs w:val="20"/>
              </w:rPr>
              <w:t xml:space="preserve">Weibull + Exp (exc.)</w:t>
            </w:r>
          </w:p>
        </w:tc>
      </w:tr>
    </w:tbl>
    <w:p>
      <w:pPr>
        <w:spacing w:after="0" w:before="120"/>
      </w:pPr>
    </w:p>
    <w:p>
      <w:pPr>
        <w:spacing w:after="80" w:before="80"/>
        <w:ind w:left="720"/>
      </w:pPr>
      <w:r>
        <w:rPr>
          <w:rFonts w:ascii="Arial" w:cs="Arial" w:eastAsia="Arial" w:hAnsi="Arial"/>
          <w:i/>
          <w:iCs/>
          <w:color w:val="5A5A5A"/>
          <w:sz w:val="20"/>
          <w:szCs w:val="20"/>
        </w:rPr>
        <w:t xml:space="preserve">📋  M[X] denota proceso de Poisson con arribo en ráfaga (batch Poisson). RENEGING indica abandono por impaciencia. La notación exacta puede variar según la referencia bibliográfica utilizada (Kleinrock, Gross &amp; Harris).</w:t>
      </w:r>
    </w:p>
    <w:p>
      <w:pPr>
        <w:spacing w:after="0" w:before="240"/>
      </w:pPr>
    </w:p>
    <w:p>
      <w:pPr>
        <w:pStyle w:val="Heading1"/>
        <w:pBdr>
          <w:bottom w:val="single" w:color="004A94" w:sz="8" w:space="4"/>
        </w:pBdr>
        <w:spacing w:after="160" w:before="320"/>
      </w:pPr>
      <w:r>
        <w:rPr>
          <w:rFonts w:ascii="Arial" w:cs="Arial" w:eastAsia="Arial" w:hAnsi="Arial"/>
          <w:b/>
          <w:bCs/>
          <w:color w:val="004A94"/>
          <w:sz w:val="28"/>
          <w:szCs w:val="28"/>
        </w:rPr>
        <w:t xml:space="preserve">4. Descripción de los tres escenarios a simular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2453"/>
        <w:gridCol w:w="2454"/>
      </w:tblGrid>
      <w:tr>
        <w:tc>
          <w:tcPr>
            <w:tcBorders>
              <w:top w:val="single" w:color="BBCFDE" w:sz="4"/>
              <w:left w:val="single" w:color="BBCFDE" w:sz="4"/>
              <w:bottom w:val="single" w:color="BBCFDE" w:sz="4"/>
              <w:right w:val="single" w:color="BBCFDE" w:sz="4"/>
            </w:tcBorders>
            <w:shd w:fill="004A9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Métrica</w:t>
            </w:r>
          </w:p>
        </w:tc>
        <w:tc>
          <w:tcPr>
            <w:tcBorders>
              <w:top w:val="single" w:color="BBCFDE" w:sz="4"/>
              <w:left w:val="single" w:color="BBCFDE" w:sz="4"/>
              <w:bottom w:val="single" w:color="BBCFDE" w:sz="4"/>
              <w:right w:val="single" w:color="BBCFDE" w:sz="4"/>
            </w:tcBorders>
            <w:shd w:fill="004A9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Escenario 1
Manual</w:t>
            </w:r>
          </w:p>
        </w:tc>
        <w:tc>
          <w:tcPr>
            <w:tcBorders>
              <w:top w:val="single" w:color="BBCFDE" w:sz="4"/>
              <w:left w:val="single" w:color="BBCFDE" w:sz="4"/>
              <w:bottom w:val="single" w:color="BBCFDE" w:sz="4"/>
              <w:right w:val="single" w:color="BBCFDE" w:sz="4"/>
            </w:tcBorders>
            <w:shd w:fill="004A9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Escenario 2
Autónomo</w:t>
            </w:r>
          </w:p>
        </w:tc>
        <w:tc>
          <w:tcPr>
            <w:tcBorders>
              <w:top w:val="single" w:color="BBCFDE" w:sz="4"/>
              <w:left w:val="single" w:color="BBCFDE" w:sz="4"/>
              <w:bottom w:val="single" w:color="BBCFDE" w:sz="4"/>
              <w:right w:val="single" w:color="BBCFDE" w:sz="4"/>
            </w:tcBorders>
            <w:shd w:fill="004A9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Escenario 3
Híbrido</w:t>
            </w:r>
          </w:p>
        </w:tc>
      </w:tr>
      <w:tr>
        <w:tc>
          <w:tcPr>
            <w:tcBorders>
              <w:top w:val="single" w:color="BBCFDE" w:sz="4"/>
              <w:left w:val="single" w:color="BBCFDE" w:sz="4"/>
              <w:bottom w:val="single" w:color="BBCFDE" w:sz="4"/>
              <w:right w:val="single" w:color="BBCFDE" w:sz="4"/>
            </w:tcBorders>
            <w:shd w:fill="F0F4F8" w:val="clear"/>
            <w:tcMar>
              <w:top w:type="dxa" w:w="80"/>
              <w:left w:type="dxa" w:w="140"/>
              <w:bottom w:type="dxa" w:w="80"/>
              <w:right w:type="dxa" w:w="140"/>
            </w:tcMar>
          </w:tcPr>
          <w:p>
            <w:pPr>
              <w:jc w:val="center"/>
            </w:pPr>
            <w:r>
              <w:rPr>
                <w:rFonts w:ascii="Arial" w:cs="Arial" w:eastAsia="Arial" w:hAnsi="Arial"/>
                <w:sz w:val="20"/>
                <w:szCs w:val="20"/>
              </w:rPr>
              <w:t xml:space="preserve">Servidores</w:t>
            </w:r>
          </w:p>
        </w:tc>
        <w:tc>
          <w:tcPr>
            <w:tcBorders>
              <w:top w:val="single" w:color="BBCFDE" w:sz="4"/>
              <w:left w:val="single" w:color="BBCFDE" w:sz="4"/>
              <w:bottom w:val="single" w:color="BBCFDE" w:sz="4"/>
              <w:right w:val="single" w:color="BBCFDE" w:sz="4"/>
            </w:tcBorders>
            <w:shd w:fill="F0F4F8" w:val="clear"/>
            <w:tcMar>
              <w:top w:type="dxa" w:w="80"/>
              <w:left w:type="dxa" w:w="140"/>
              <w:bottom w:type="dxa" w:w="80"/>
              <w:right w:type="dxa" w:w="140"/>
            </w:tcMar>
          </w:tcPr>
          <w:p>
            <w:pPr>
              <w:jc w:val="center"/>
            </w:pPr>
            <w:r>
              <w:rPr>
                <w:rFonts w:ascii="Arial" w:cs="Arial" w:eastAsia="Arial" w:hAnsi="Arial"/>
                <w:sz w:val="20"/>
                <w:szCs w:val="20"/>
              </w:rPr>
              <w:t xml:space="preserve">1 trabajador</w:t>
            </w:r>
          </w:p>
        </w:tc>
        <w:tc>
          <w:tcPr>
            <w:tcBorders>
              <w:top w:val="single" w:color="BBCFDE" w:sz="4"/>
              <w:left w:val="single" w:color="BBCFDE" w:sz="4"/>
              <w:bottom w:val="single" w:color="BBCFDE" w:sz="4"/>
              <w:right w:val="single" w:color="BBCFDE" w:sz="4"/>
            </w:tcBorders>
            <w:shd w:fill="F0F4F8" w:val="clear"/>
            <w:tcMar>
              <w:top w:type="dxa" w:w="80"/>
              <w:left w:type="dxa" w:w="140"/>
              <w:bottom w:type="dxa" w:w="80"/>
              <w:right w:type="dxa" w:w="140"/>
            </w:tcMar>
          </w:tcPr>
          <w:p>
            <w:pPr>
              <w:jc w:val="center"/>
            </w:pPr>
            <w:r>
              <w:rPr>
                <w:rFonts w:ascii="Arial" w:cs="Arial" w:eastAsia="Arial" w:hAnsi="Arial"/>
                <w:sz w:val="20"/>
                <w:szCs w:val="20"/>
              </w:rPr>
              <w:t xml:space="preserve">N kioscos</w:t>
            </w:r>
          </w:p>
        </w:tc>
        <w:tc>
          <w:tcPr>
            <w:tcBorders>
              <w:top w:val="single" w:color="BBCFDE" w:sz="4"/>
              <w:left w:val="single" w:color="BBCFDE" w:sz="4"/>
              <w:bottom w:val="single" w:color="BBCFDE" w:sz="4"/>
              <w:right w:val="single" w:color="BBCFDE" w:sz="4"/>
            </w:tcBorders>
            <w:shd w:fill="F0F4F8" w:val="clear"/>
            <w:tcMar>
              <w:top w:type="dxa" w:w="80"/>
              <w:left w:type="dxa" w:w="140"/>
              <w:bottom w:type="dxa" w:w="80"/>
              <w:right w:type="dxa" w:w="140"/>
            </w:tcMar>
          </w:tcPr>
          <w:p>
            <w:pPr>
              <w:jc w:val="center"/>
            </w:pPr>
            <w:r>
              <w:rPr>
                <w:rFonts w:ascii="Arial" w:cs="Arial" w:eastAsia="Arial" w:hAnsi="Arial"/>
                <w:sz w:val="20"/>
                <w:szCs w:val="20"/>
              </w:rPr>
              <w:t xml:space="preserve">N kioscos + 1 exc.</w:t>
            </w:r>
          </w:p>
        </w:tc>
      </w:tr>
      <w:tr>
        <w:tc>
          <w:tcPr>
            <w:tcBorders>
              <w:top w:val="single" w:color="BBCFDE" w:sz="4"/>
              <w:left w:val="single" w:color="BBCFDE" w:sz="4"/>
              <w:bottom w:val="single" w:color="BBCFDE" w:sz="4"/>
              <w:right w:val="single" w:color="BBCFDE" w:sz="4"/>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Tiempo servicio</w:t>
            </w:r>
          </w:p>
        </w:tc>
        <w:tc>
          <w:tcPr>
            <w:tcBorders>
              <w:top w:val="single" w:color="BBCFDE" w:sz="4"/>
              <w:left w:val="single" w:color="BBCFDE" w:sz="4"/>
              <w:bottom w:val="single" w:color="BBCFDE" w:sz="4"/>
              <w:right w:val="single" w:color="BBCFDE" w:sz="4"/>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30–90 s</w:t>
            </w:r>
          </w:p>
        </w:tc>
        <w:tc>
          <w:tcPr>
            <w:tcBorders>
              <w:top w:val="single" w:color="BBCFDE" w:sz="4"/>
              <w:left w:val="single" w:color="BBCFDE" w:sz="4"/>
              <w:bottom w:val="single" w:color="BBCFDE" w:sz="4"/>
              <w:right w:val="single" w:color="BBCFDE" w:sz="4"/>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10–20 s</w:t>
            </w:r>
          </w:p>
        </w:tc>
        <w:tc>
          <w:tcPr>
            <w:tcBorders>
              <w:top w:val="single" w:color="BBCFDE" w:sz="4"/>
              <w:left w:val="single" w:color="BBCFDE" w:sz="4"/>
              <w:bottom w:val="single" w:color="BBCFDE" w:sz="4"/>
              <w:right w:val="single" w:color="BBCFDE" w:sz="4"/>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10–20 s + 45 s exc.</w:t>
            </w:r>
          </w:p>
        </w:tc>
      </w:tr>
      <w:tr>
        <w:tc>
          <w:tcPr>
            <w:tcBorders>
              <w:top w:val="single" w:color="BBCFDE" w:sz="4"/>
              <w:left w:val="single" w:color="BBCFDE" w:sz="4"/>
              <w:bottom w:val="single" w:color="BBCFDE" w:sz="4"/>
              <w:right w:val="single" w:color="BBCFDE" w:sz="4"/>
            </w:tcBorders>
            <w:shd w:fill="F0F4F8" w:val="clear"/>
            <w:tcMar>
              <w:top w:type="dxa" w:w="80"/>
              <w:left w:type="dxa" w:w="140"/>
              <w:bottom w:type="dxa" w:w="80"/>
              <w:right w:type="dxa" w:w="140"/>
            </w:tcMar>
          </w:tcPr>
          <w:p>
            <w:pPr>
              <w:jc w:val="center"/>
            </w:pPr>
            <w:r>
              <w:rPr>
                <w:rFonts w:ascii="Arial" w:cs="Arial" w:eastAsia="Arial" w:hAnsi="Arial"/>
                <w:sz w:val="20"/>
                <w:szCs w:val="20"/>
              </w:rPr>
              <w:t xml:space="preserve">Soporte excepciones</w:t>
            </w:r>
          </w:p>
        </w:tc>
        <w:tc>
          <w:tcPr>
            <w:tcBorders>
              <w:top w:val="single" w:color="BBCFDE" w:sz="4"/>
              <w:left w:val="single" w:color="BBCFDE" w:sz="4"/>
              <w:bottom w:val="single" w:color="BBCFDE" w:sz="4"/>
              <w:right w:val="single" w:color="BBCFDE" w:sz="4"/>
            </w:tcBorders>
            <w:shd w:fill="F0F4F8" w:val="clear"/>
            <w:tcMar>
              <w:top w:type="dxa" w:w="80"/>
              <w:left w:type="dxa" w:w="140"/>
              <w:bottom w:type="dxa" w:w="80"/>
              <w:right w:type="dxa" w:w="140"/>
            </w:tcMar>
          </w:tcPr>
          <w:p>
            <w:pPr>
              <w:jc w:val="center"/>
            </w:pPr>
            <w:r>
              <w:rPr>
                <w:rFonts w:ascii="Arial" w:cs="Arial" w:eastAsia="Arial" w:hAnsi="Arial"/>
                <w:sz w:val="20"/>
                <w:szCs w:val="20"/>
              </w:rPr>
              <w:t xml:space="preserve">Sí (lento)</w:t>
            </w:r>
          </w:p>
        </w:tc>
        <w:tc>
          <w:tcPr>
            <w:tcBorders>
              <w:top w:val="single" w:color="BBCFDE" w:sz="4"/>
              <w:left w:val="single" w:color="BBCFDE" w:sz="4"/>
              <w:bottom w:val="single" w:color="BBCFDE" w:sz="4"/>
              <w:right w:val="single" w:color="BBCFDE" w:sz="4"/>
            </w:tcBorders>
            <w:shd w:fill="F0F4F8" w:val="clear"/>
            <w:tcMar>
              <w:top w:type="dxa" w:w="80"/>
              <w:left w:type="dxa" w:w="140"/>
              <w:bottom w:type="dxa" w:w="80"/>
              <w:right w:type="dxa" w:w="140"/>
            </w:tcMar>
          </w:tcPr>
          <w:p>
            <w:pPr>
              <w:jc w:val="center"/>
            </w:pPr>
            <w:r>
              <w:rPr>
                <w:rFonts w:ascii="Arial" w:cs="Arial" w:eastAsia="Arial" w:hAnsi="Arial"/>
                <w:sz w:val="20"/>
                <w:szCs w:val="20"/>
              </w:rPr>
              <w:t xml:space="preserve">No (abandono)</w:t>
            </w:r>
          </w:p>
        </w:tc>
        <w:tc>
          <w:tcPr>
            <w:tcBorders>
              <w:top w:val="single" w:color="BBCFDE" w:sz="4"/>
              <w:left w:val="single" w:color="BBCFDE" w:sz="4"/>
              <w:bottom w:val="single" w:color="BBCFDE" w:sz="4"/>
              <w:right w:val="single" w:color="BBCFDE" w:sz="4"/>
            </w:tcBorders>
            <w:shd w:fill="F0F4F8" w:val="clear"/>
            <w:tcMar>
              <w:top w:type="dxa" w:w="80"/>
              <w:left w:type="dxa" w:w="140"/>
              <w:bottom w:type="dxa" w:w="80"/>
              <w:right w:type="dxa" w:w="140"/>
            </w:tcMar>
          </w:tcPr>
          <w:p>
            <w:pPr>
              <w:jc w:val="center"/>
            </w:pPr>
            <w:r>
              <w:rPr>
                <w:rFonts w:ascii="Arial" w:cs="Arial" w:eastAsia="Arial" w:hAnsi="Arial"/>
                <w:sz w:val="20"/>
                <w:szCs w:val="20"/>
              </w:rPr>
              <w:t xml:space="preserve">Sí (trabajador dedicado)</w:t>
            </w:r>
          </w:p>
        </w:tc>
      </w:tr>
      <w:tr>
        <w:tc>
          <w:tcPr>
            <w:tcBorders>
              <w:top w:val="single" w:color="BBCFDE" w:sz="4"/>
              <w:left w:val="single" w:color="BBCFDE" w:sz="4"/>
              <w:bottom w:val="single" w:color="BBCFDE" w:sz="4"/>
              <w:right w:val="single" w:color="BBCFDE" w:sz="4"/>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Falla de hardware</w:t>
            </w:r>
          </w:p>
        </w:tc>
        <w:tc>
          <w:tcPr>
            <w:tcBorders>
              <w:top w:val="single" w:color="BBCFDE" w:sz="4"/>
              <w:left w:val="single" w:color="BBCFDE" w:sz="4"/>
              <w:bottom w:val="single" w:color="BBCFDE" w:sz="4"/>
              <w:right w:val="single" w:color="BBCFDE" w:sz="4"/>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N/A</w:t>
            </w:r>
          </w:p>
        </w:tc>
        <w:tc>
          <w:tcPr>
            <w:tcBorders>
              <w:top w:val="single" w:color="BBCFDE" w:sz="4"/>
              <w:left w:val="single" w:color="BBCFDE" w:sz="4"/>
              <w:bottom w:val="single" w:color="BBCFDE" w:sz="4"/>
              <w:right w:val="single" w:color="BBCFDE" w:sz="4"/>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Bloquea cola principal</w:t>
            </w:r>
          </w:p>
        </w:tc>
        <w:tc>
          <w:tcPr>
            <w:tcBorders>
              <w:top w:val="single" w:color="BBCFDE" w:sz="4"/>
              <w:left w:val="single" w:color="BBCFDE" w:sz="4"/>
              <w:bottom w:val="single" w:color="BBCFDE" w:sz="4"/>
              <w:right w:val="single" w:color="BBCFDE" w:sz="4"/>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Trabajador resuelve</w:t>
            </w:r>
          </w:p>
        </w:tc>
      </w:tr>
      <w:tr>
        <w:tc>
          <w:tcPr>
            <w:tcBorders>
              <w:top w:val="single" w:color="BBCFDE" w:sz="4"/>
              <w:left w:val="single" w:color="BBCFDE" w:sz="4"/>
              <w:bottom w:val="single" w:color="BBCFDE" w:sz="4"/>
              <w:right w:val="single" w:color="BBCFDE" w:sz="4"/>
            </w:tcBorders>
            <w:shd w:fill="F0F4F8" w:val="clear"/>
            <w:tcMar>
              <w:top w:type="dxa" w:w="80"/>
              <w:left w:type="dxa" w:w="140"/>
              <w:bottom w:type="dxa" w:w="80"/>
              <w:right w:type="dxa" w:w="140"/>
            </w:tcMar>
          </w:tcPr>
          <w:p>
            <w:pPr>
              <w:jc w:val="center"/>
            </w:pPr>
            <w:r>
              <w:rPr>
                <w:rFonts w:ascii="Arial" w:cs="Arial" w:eastAsia="Arial" w:hAnsi="Arial"/>
                <w:sz w:val="20"/>
                <w:szCs w:val="20"/>
              </w:rPr>
              <w:t xml:space="preserve">Throughput esperado</w:t>
            </w:r>
          </w:p>
        </w:tc>
        <w:tc>
          <w:tcPr>
            <w:tcBorders>
              <w:top w:val="single" w:color="BBCFDE" w:sz="4"/>
              <w:left w:val="single" w:color="BBCFDE" w:sz="4"/>
              <w:bottom w:val="single" w:color="BBCFDE" w:sz="4"/>
              <w:right w:val="single" w:color="BBCFDE" w:sz="4"/>
            </w:tcBorders>
            <w:shd w:fill="F0F4F8" w:val="clear"/>
            <w:tcMar>
              <w:top w:type="dxa" w:w="80"/>
              <w:left w:type="dxa" w:w="140"/>
              <w:bottom w:type="dxa" w:w="80"/>
              <w:right w:type="dxa" w:w="140"/>
            </w:tcMar>
          </w:tcPr>
          <w:p>
            <w:pPr>
              <w:jc w:val="center"/>
            </w:pPr>
            <w:r>
              <w:rPr>
                <w:rFonts w:ascii="Arial" w:cs="Arial" w:eastAsia="Arial" w:hAnsi="Arial"/>
                <w:sz w:val="20"/>
                <w:szCs w:val="20"/>
              </w:rPr>
              <w:t xml:space="preserve">Bajo</w:t>
            </w:r>
          </w:p>
        </w:tc>
        <w:tc>
          <w:tcPr>
            <w:tcBorders>
              <w:top w:val="single" w:color="BBCFDE" w:sz="4"/>
              <w:left w:val="single" w:color="BBCFDE" w:sz="4"/>
              <w:bottom w:val="single" w:color="BBCFDE" w:sz="4"/>
              <w:right w:val="single" w:color="BBCFDE" w:sz="4"/>
            </w:tcBorders>
            <w:shd w:fill="F0F4F8" w:val="clear"/>
            <w:tcMar>
              <w:top w:type="dxa" w:w="80"/>
              <w:left w:type="dxa" w:w="140"/>
              <w:bottom w:type="dxa" w:w="80"/>
              <w:right w:type="dxa" w:w="140"/>
            </w:tcMar>
          </w:tcPr>
          <w:p>
            <w:pPr>
              <w:jc w:val="center"/>
            </w:pPr>
            <w:r>
              <w:rPr>
                <w:rFonts w:ascii="Arial" w:cs="Arial" w:eastAsia="Arial" w:hAnsi="Arial"/>
                <w:sz w:val="20"/>
                <w:szCs w:val="20"/>
              </w:rPr>
              <w:t xml:space="preserve">Alto (sin excepciones)</w:t>
            </w:r>
          </w:p>
        </w:tc>
        <w:tc>
          <w:tcPr>
            <w:tcBorders>
              <w:top w:val="single" w:color="BBCFDE" w:sz="4"/>
              <w:left w:val="single" w:color="BBCFDE" w:sz="4"/>
              <w:bottom w:val="single" w:color="BBCFDE" w:sz="4"/>
              <w:right w:val="single" w:color="BBCFDE" w:sz="4"/>
            </w:tcBorders>
            <w:shd w:fill="F0F4F8" w:val="clear"/>
            <w:tcMar>
              <w:top w:type="dxa" w:w="80"/>
              <w:left w:type="dxa" w:w="140"/>
              <w:bottom w:type="dxa" w:w="80"/>
              <w:right w:type="dxa" w:w="140"/>
            </w:tcMar>
          </w:tcPr>
          <w:p>
            <w:pPr>
              <w:jc w:val="center"/>
            </w:pPr>
            <w:r>
              <w:rPr>
                <w:rFonts w:ascii="Arial" w:cs="Arial" w:eastAsia="Arial" w:hAnsi="Arial"/>
                <w:sz w:val="20"/>
                <w:szCs w:val="20"/>
              </w:rPr>
              <w:t xml:space="preserve">Alto y robusto</w:t>
            </w:r>
          </w:p>
        </w:tc>
      </w:tr>
      <w:tr>
        <w:tc>
          <w:tcPr>
            <w:tcBorders>
              <w:top w:val="single" w:color="BBCFDE" w:sz="4"/>
              <w:left w:val="single" w:color="BBCFDE" w:sz="4"/>
              <w:bottom w:val="single" w:color="BBCFDE" w:sz="4"/>
              <w:right w:val="single" w:color="BBCFDE" w:sz="4"/>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Rama Git</w:t>
            </w:r>
          </w:p>
        </w:tc>
        <w:tc>
          <w:tcPr>
            <w:tcBorders>
              <w:top w:val="single" w:color="BBCFDE" w:sz="4"/>
              <w:left w:val="single" w:color="BBCFDE" w:sz="4"/>
              <w:bottom w:val="single" w:color="BBCFDE" w:sz="4"/>
              <w:right w:val="single" w:color="BBCFDE" w:sz="4"/>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scen-1-manual</w:t>
            </w:r>
          </w:p>
        </w:tc>
        <w:tc>
          <w:tcPr>
            <w:tcBorders>
              <w:top w:val="single" w:color="BBCFDE" w:sz="4"/>
              <w:left w:val="single" w:color="BBCFDE" w:sz="4"/>
              <w:bottom w:val="single" w:color="BBCFDE" w:sz="4"/>
              <w:right w:val="single" w:color="BBCFDE" w:sz="4"/>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scen-2-autonomo</w:t>
            </w:r>
          </w:p>
        </w:tc>
        <w:tc>
          <w:tcPr>
            <w:tcBorders>
              <w:top w:val="single" w:color="BBCFDE" w:sz="4"/>
              <w:left w:val="single" w:color="BBCFDE" w:sz="4"/>
              <w:bottom w:val="single" w:color="BBCFDE" w:sz="4"/>
              <w:right w:val="single" w:color="BBCFDE" w:sz="4"/>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main</w:t>
            </w:r>
          </w:p>
        </w:tc>
      </w:tr>
    </w:tbl>
    <w:p>
      <w:pPr>
        <w:spacing w:after="0" w:before="200"/>
      </w:pPr>
    </w:p>
    <w:p>
      <w:pPr>
        <w:pStyle w:val="Heading2"/>
        <w:spacing w:after="100" w:before="240"/>
      </w:pPr>
      <w:r>
        <w:rPr>
          <w:rFonts w:ascii="Arial" w:cs="Arial" w:eastAsia="Arial" w:hAnsi="Arial"/>
          <w:b/>
          <w:bCs/>
          <w:color w:val="1A5E9A"/>
          <w:sz w:val="24"/>
          <w:szCs w:val="24"/>
        </w:rPr>
        <w:t xml:space="preserve">4.1 Escenario 1 — Sistema actual (rama scen-1-manual)</w:t>
      </w:r>
    </w:p>
    <w:p>
      <w:pPr>
        <w:pStyle w:val="ListParagraph"/>
        <w:numPr>
          <w:ilvl w:val="0"/>
          <w:numId w:val="2"/>
        </w:numPr>
        <w:spacing w:after="60" w:before="60"/>
      </w:pPr>
      <w:r>
        <w:rPr>
          <w:rFonts w:ascii="Arial" w:cs="Arial" w:eastAsia="Arial" w:hAnsi="Arial"/>
          <w:b/>
          <w:bCs/>
          <w:sz w:val="22"/>
          <w:szCs w:val="22"/>
        </w:rPr>
        <w:t xml:space="preserve">Servidor: </w:t>
      </w:r>
      <w:r>
        <w:rPr>
          <w:rFonts w:ascii="Arial" w:cs="Arial" w:eastAsia="Arial" w:hAnsi="Arial"/>
          <w:sz w:val="22"/>
          <w:szCs w:val="22"/>
        </w:rPr>
        <w:t xml:space="preserve">Un solo servidor manual con servicio Erlang(k=4) modelando las 4 fases secuenciales.</w:t>
      </w:r>
    </w:p>
    <w:p>
      <w:pPr>
        <w:pStyle w:val="ListParagraph"/>
        <w:numPr>
          <w:ilvl w:val="0"/>
          <w:numId w:val="2"/>
        </w:numPr>
        <w:spacing w:after="60" w:before="60"/>
      </w:pPr>
      <w:r>
        <w:rPr>
          <w:rFonts w:ascii="Arial" w:cs="Arial" w:eastAsia="Arial" w:hAnsi="Arial"/>
          <w:b/>
          <w:bCs/>
          <w:sz w:val="22"/>
          <w:szCs w:val="22"/>
        </w:rPr>
        <w:t xml:space="preserve">Cola: </w:t>
      </w:r>
      <w:r>
        <w:rPr>
          <w:rFonts w:ascii="Arial" w:cs="Arial" w:eastAsia="Arial" w:hAnsi="Arial"/>
          <w:sz w:val="22"/>
          <w:szCs w:val="22"/>
        </w:rPr>
        <w:t xml:space="preserve">Los usuarios esperan en cola FIFO; abandonan según distribución exponencial de impaciencia.</w:t>
      </w:r>
    </w:p>
    <w:p>
      <w:pPr>
        <w:pStyle w:val="ListParagraph"/>
        <w:numPr>
          <w:ilvl w:val="0"/>
          <w:numId w:val="2"/>
        </w:numPr>
        <w:spacing w:after="60" w:before="60"/>
      </w:pPr>
      <w:r>
        <w:rPr>
          <w:rFonts w:ascii="Arial" w:cs="Arial" w:eastAsia="Arial" w:hAnsi="Arial"/>
          <w:b/>
          <w:bCs/>
          <w:sz w:val="22"/>
          <w:szCs w:val="22"/>
        </w:rPr>
        <w:t xml:space="preserve">Resultado esperado: </w:t>
      </w:r>
      <w:r>
        <w:rPr>
          <w:rFonts w:ascii="Arial" w:cs="Arial" w:eastAsia="Arial" w:hAnsi="Arial"/>
          <w:sz w:val="22"/>
          <w:szCs w:val="22"/>
        </w:rPr>
        <w:t xml:space="preserve">Métrica objetivo: P_abandono esperada alta (&gt;40%) y throughput limitado.</w:t>
      </w:r>
    </w:p>
    <w:p>
      <w:pPr>
        <w:spacing w:after="0" w:before="100"/>
      </w:pPr>
    </w:p>
    <w:p>
      <w:pPr>
        <w:pStyle w:val="Heading2"/>
        <w:spacing w:after="100" w:before="240"/>
      </w:pPr>
      <w:r>
        <w:rPr>
          <w:rFonts w:ascii="Arial" w:cs="Arial" w:eastAsia="Arial" w:hAnsi="Arial"/>
          <w:b/>
          <w:bCs/>
          <w:color w:val="1A5E9A"/>
          <w:sz w:val="24"/>
          <w:szCs w:val="24"/>
        </w:rPr>
        <w:t xml:space="preserve">4.2 Escenario 2 — Sistema autónomo (rama scen-2-autonomo)</w:t>
      </w:r>
    </w:p>
    <w:p>
      <w:pPr>
        <w:pStyle w:val="ListParagraph"/>
        <w:numPr>
          <w:ilvl w:val="0"/>
          <w:numId w:val="2"/>
        </w:numPr>
        <w:spacing w:after="60" w:before="60"/>
      </w:pPr>
      <w:r>
        <w:rPr>
          <w:rFonts w:ascii="Arial" w:cs="Arial" w:eastAsia="Arial" w:hAnsi="Arial"/>
          <w:b/>
          <w:bCs/>
          <w:sz w:val="22"/>
          <w:szCs w:val="22"/>
        </w:rPr>
        <w:t xml:space="preserve">Servidores: </w:t>
      </w:r>
      <w:r>
        <w:rPr>
          <w:rFonts w:ascii="Arial" w:cs="Arial" w:eastAsia="Arial" w:hAnsi="Arial"/>
          <w:sz w:val="22"/>
          <w:szCs w:val="22"/>
        </w:rPr>
        <w:t xml:space="preserve">N kioscos RFID/QR con tiempo de servicio Weibull, sin soporte humano.</w:t>
      </w:r>
    </w:p>
    <w:p>
      <w:pPr>
        <w:pStyle w:val="ListParagraph"/>
        <w:numPr>
          <w:ilvl w:val="0"/>
          <w:numId w:val="2"/>
        </w:numPr>
        <w:spacing w:after="60" w:before="60"/>
      </w:pPr>
      <w:r>
        <w:rPr>
          <w:rFonts w:ascii="Arial" w:cs="Arial" w:eastAsia="Arial" w:hAnsi="Arial"/>
          <w:b/>
          <w:bCs/>
          <w:sz w:val="22"/>
          <w:szCs w:val="22"/>
        </w:rPr>
        <w:t xml:space="preserve">Vulnerabilidad: </w:t>
      </w:r>
      <w:r>
        <w:rPr>
          <w:rFonts w:ascii="Arial" w:cs="Arial" w:eastAsia="Arial" w:hAnsi="Arial"/>
          <w:sz w:val="22"/>
          <w:szCs w:val="22"/>
        </w:rPr>
        <w:t xml:space="preserve">Excepciones de usuario (NIP incorrecto, credencial vencida) y fallas de hardware generan abandonos directos.</w:t>
      </w:r>
    </w:p>
    <w:p>
      <w:pPr>
        <w:pStyle w:val="ListParagraph"/>
        <w:numPr>
          <w:ilvl w:val="0"/>
          <w:numId w:val="2"/>
        </w:numPr>
        <w:spacing w:after="60" w:before="60"/>
      </w:pPr>
      <w:r>
        <w:rPr>
          <w:rFonts w:ascii="Arial" w:cs="Arial" w:eastAsia="Arial" w:hAnsi="Arial"/>
          <w:b/>
          <w:bCs/>
          <w:sz w:val="22"/>
          <w:szCs w:val="22"/>
        </w:rPr>
        <w:t xml:space="preserve">Análisis: </w:t>
      </w:r>
      <w:r>
        <w:rPr>
          <w:rFonts w:ascii="Arial" w:cs="Arial" w:eastAsia="Arial" w:hAnsi="Arial"/>
          <w:sz w:val="22"/>
          <w:szCs w:val="22"/>
        </w:rPr>
        <w:t xml:space="preserve">El análisis de sensibilidad barre P_excepción de 1% a 30% para mostrar la degradación del throughput.</w:t>
      </w:r>
    </w:p>
    <w:p>
      <w:pPr>
        <w:spacing w:after="0" w:before="100"/>
      </w:pPr>
    </w:p>
    <w:p>
      <w:pPr>
        <w:pStyle w:val="Heading2"/>
        <w:spacing w:after="100" w:before="240"/>
      </w:pPr>
      <w:r>
        <w:rPr>
          <w:rFonts w:ascii="Arial" w:cs="Arial" w:eastAsia="Arial" w:hAnsi="Arial"/>
          <w:b/>
          <w:bCs/>
          <w:color w:val="1A5E9A"/>
          <w:sz w:val="24"/>
          <w:szCs w:val="24"/>
        </w:rPr>
        <w:t xml:space="preserve">4.3 Escenario 3 — Sistema híbrido (rama main) — Propuesta central</w:t>
      </w:r>
    </w:p>
    <w:p>
      <w:r>
        <w:rPr>
          <w:rFonts w:ascii="Arial" w:cs="Arial" w:eastAsia="Arial" w:hAnsi="Arial"/>
          <w:b/>
          <w:bCs/>
          <w:color w:val="004A94"/>
          <w:sz w:val="22"/>
          <w:szCs w:val="22"/>
        </w:rPr>
        <w:t xml:space="preserve">Argumento técnico clave: </w:t>
      </w:r>
      <w:r>
        <w:rPr>
          <w:rFonts w:ascii="Arial" w:cs="Arial" w:eastAsia="Arial" w:hAnsi="Arial"/>
          <w:sz w:val="22"/>
          <w:szCs w:val="22"/>
        </w:rPr>
        <w:t xml:space="preserve">el kiosco detecta la excepción en ~5 s y libera el recurso inmediatamente. El cliente pasa a la cola secundaria del trabajador de excepciones sin bloquear la cola principal. Esto maximiza el throughput y mantiene la capacidad de atención humana donde realmente se necesita.</w:t>
      </w:r>
    </w:p>
    <w:p>
      <w:pPr>
        <w:spacing w:after="0" w:before="100"/>
      </w:pPr>
    </w:p>
    <w:p>
      <w:pPr>
        <w:pStyle w:val="ListParagraph"/>
        <w:numPr>
          <w:ilvl w:val="0"/>
          <w:numId w:val="2"/>
        </w:numPr>
        <w:spacing w:after="60" w:before="60"/>
      </w:pPr>
      <w:r>
        <w:rPr>
          <w:rFonts w:ascii="Arial" w:cs="Arial" w:eastAsia="Arial" w:hAnsi="Arial"/>
          <w:b/>
          <w:bCs/>
          <w:sz w:val="22"/>
          <w:szCs w:val="22"/>
        </w:rPr>
        <w:t xml:space="preserve">Configuración: </w:t>
      </w:r>
      <w:r>
        <w:rPr>
          <w:rFonts w:ascii="Arial" w:cs="Arial" w:eastAsia="Arial" w:hAnsi="Arial"/>
          <w:sz w:val="22"/>
          <w:szCs w:val="22"/>
        </w:rPr>
        <w:t xml:space="preserve">N kioscos para el flujo general + 1 trabajador dedicado a excepciones.</w:t>
      </w:r>
    </w:p>
    <w:p>
      <w:pPr>
        <w:pStyle w:val="ListParagraph"/>
        <w:numPr>
          <w:ilvl w:val="0"/>
          <w:numId w:val="2"/>
        </w:numPr>
        <w:spacing w:after="60" w:before="60"/>
      </w:pPr>
      <w:r>
        <w:rPr>
          <w:rFonts w:ascii="Arial" w:cs="Arial" w:eastAsia="Arial" w:hAnsi="Arial"/>
          <w:b/>
          <w:bCs/>
          <w:sz w:val="22"/>
          <w:szCs w:val="22"/>
        </w:rPr>
        <w:t xml:space="preserve">Diseño SimPy: </w:t>
      </w:r>
      <w:r>
        <w:rPr>
          <w:rFonts w:ascii="Arial" w:cs="Arial" w:eastAsia="Arial" w:hAnsi="Arial"/>
          <w:sz w:val="22"/>
          <w:szCs w:val="22"/>
        </w:rPr>
        <w:t xml:space="preserve">La cola principal (kioscos) y la cola secundaria (excepciones) son independientes en SimPy.</w:t>
      </w:r>
    </w:p>
    <w:p>
      <w:pPr>
        <w:pStyle w:val="ListParagraph"/>
        <w:numPr>
          <w:ilvl w:val="0"/>
          <w:numId w:val="2"/>
        </w:numPr>
        <w:spacing w:after="60" w:before="60"/>
      </w:pPr>
      <w:r>
        <w:rPr>
          <w:rFonts w:ascii="Arial" w:cs="Arial" w:eastAsia="Arial" w:hAnsi="Arial"/>
          <w:b/>
          <w:bCs/>
          <w:sz w:val="22"/>
          <w:szCs w:val="22"/>
        </w:rPr>
        <w:t xml:space="preserve">Resultado esperado: </w:t>
      </w:r>
      <w:r>
        <w:rPr>
          <w:rFonts w:ascii="Arial" w:cs="Arial" w:eastAsia="Arial" w:hAnsi="Arial"/>
          <w:sz w:val="22"/>
          <w:szCs w:val="22"/>
        </w:rPr>
        <w:t xml:space="preserve">Throughput alto y robusto ante variaciones de P_excepción — es el resultado central a demostrar.</w:t>
      </w:r>
    </w:p>
    <w:p>
      <w:pPr>
        <w:spacing w:after="0" w:before="240"/>
      </w:pPr>
    </w:p>
    <w:p>
      <w:pPr>
        <w:pStyle w:val="Heading1"/>
        <w:pBdr>
          <w:bottom w:val="single" w:color="004A94" w:sz="8" w:space="4"/>
        </w:pBdr>
        <w:spacing w:after="160" w:before="320"/>
      </w:pPr>
      <w:r>
        <w:rPr>
          <w:rFonts w:ascii="Arial" w:cs="Arial" w:eastAsia="Arial" w:hAnsi="Arial"/>
          <w:b/>
          <w:bCs/>
          <w:color w:val="004A94"/>
          <w:sz w:val="28"/>
          <w:szCs w:val="28"/>
        </w:rPr>
        <w:t xml:space="preserve">5. Arquitectura de ramas Git</w:t>
      </w:r>
    </w:p>
    <w:p>
      <w:r>
        <w:rPr>
          <w:rFonts w:ascii="Arial" w:cs="Arial" w:eastAsia="Arial" w:hAnsi="Arial"/>
          <w:sz w:val="22"/>
          <w:szCs w:val="22"/>
        </w:rPr>
        <w:t xml:space="preserve">El proyecto se gestiona con tres ramas independientes. Cada rama contiene el código completo de un escenario y su análisis. La rama </w:t>
      </w:r>
      <w:r>
        <w:rPr>
          <w:rFonts w:ascii="Courier New" w:cs="Courier New" w:eastAsia="Courier New" w:hAnsi="Courier New"/>
          <w:b/>
          <w:bCs/>
          <w:color w:val="1A5E9A"/>
          <w:sz w:val="22"/>
          <w:szCs w:val="22"/>
        </w:rPr>
        <w:t xml:space="preserve">main</w:t>
      </w:r>
      <w:r>
        <w:rPr>
          <w:rFonts w:ascii="Arial" w:cs="Arial" w:eastAsia="Arial" w:hAnsi="Arial"/>
          <w:sz w:val="22"/>
          <w:szCs w:val="22"/>
        </w:rPr>
        <w:t xml:space="preserve"> aloja además este documento de línea base y el script de análisis comparativo.</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00"/>
        <w:gridCol w:w="3520"/>
      </w:tblGrid>
      <w:tr>
        <w:tc>
          <w:tcPr>
            <w:tcBorders>
              <w:top w:val="single" w:color="BBCFDE" w:sz="4"/>
              <w:left w:val="single" w:color="BBCFDE" w:sz="4"/>
              <w:bottom w:val="single" w:color="BBCFDE" w:sz="4"/>
              <w:right w:val="single" w:color="BBCFDE" w:sz="4"/>
            </w:tcBorders>
            <w:shd w:fill="1A5E9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Rama</w:t>
            </w:r>
          </w:p>
        </w:tc>
        <w:tc>
          <w:tcPr>
            <w:tcBorders>
              <w:top w:val="single" w:color="BBCFDE" w:sz="4"/>
              <w:left w:val="single" w:color="BBCFDE" w:sz="4"/>
              <w:bottom w:val="single" w:color="BBCFDE" w:sz="4"/>
              <w:right w:val="single" w:color="BBCFDE" w:sz="4"/>
            </w:tcBorders>
            <w:shd w:fill="1A5E9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Propósito</w:t>
            </w:r>
          </w:p>
        </w:tc>
        <w:tc>
          <w:tcPr>
            <w:tcBorders>
              <w:top w:val="single" w:color="BBCFDE" w:sz="4"/>
              <w:left w:val="single" w:color="BBCFDE" w:sz="4"/>
              <w:bottom w:val="single" w:color="BBCFDE" w:sz="4"/>
              <w:right w:val="single" w:color="BBCFDE" w:sz="4"/>
            </w:tcBorders>
            <w:shd w:fill="1A5E9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Comando para crear</w:t>
            </w:r>
          </w:p>
        </w:tc>
      </w:tr>
      <w:tr>
        <w:tc>
          <w:tcPr>
            <w:tcBorders>
              <w:top w:val="single" w:color="BBCFDE" w:sz="4"/>
              <w:left w:val="single" w:color="BBCFDE" w:sz="4"/>
              <w:bottom w:val="single" w:color="BBCFDE" w:sz="4"/>
              <w:right w:val="single" w:color="BBCFDE" w:sz="4"/>
            </w:tcBorders>
            <w:shd w:fill="F0F4F8" w:val="clear"/>
            <w:tcMar>
              <w:top w:type="dxa" w:w="80"/>
              <w:left w:type="dxa" w:w="140"/>
              <w:bottom w:type="dxa" w:w="80"/>
              <w:right w:type="dxa" w:w="140"/>
            </w:tcMar>
          </w:tcPr>
          <w:p>
            <w:r>
              <w:rPr>
                <w:rFonts w:ascii="Courier New" w:cs="Courier New" w:eastAsia="Courier New" w:hAnsi="Courier New"/>
                <w:color w:val="000000"/>
                <w:sz w:val="19"/>
                <w:szCs w:val="19"/>
              </w:rPr>
              <w:t xml:space="preserve">main</w:t>
            </w:r>
          </w:p>
        </w:tc>
        <w:tc>
          <w:tcPr>
            <w:tcBorders>
              <w:top w:val="single" w:color="BBCFDE" w:sz="4"/>
              <w:left w:val="single" w:color="BBCFDE" w:sz="4"/>
              <w:bottom w:val="single" w:color="BBCFDE" w:sz="4"/>
              <w:right w:val="single" w:color="BBCFDE" w:sz="4"/>
            </w:tcBorders>
            <w:shd w:fill="F0F4F8" w:val="clear"/>
            <w:tcMar>
              <w:top w:type="dxa" w:w="80"/>
              <w:left w:type="dxa" w:w="140"/>
              <w:bottom w:type="dxa" w:w="80"/>
              <w:right w:type="dxa" w:w="140"/>
            </w:tcMar>
          </w:tcPr>
          <w:p>
            <w:r>
              <w:rPr>
                <w:rFonts w:ascii="Courier New" w:cs="Courier New" w:eastAsia="Courier New" w:hAnsi="Courier New"/>
                <w:color w:val="000000"/>
                <w:sz w:val="19"/>
                <w:szCs w:val="19"/>
              </w:rPr>
              <w:t xml:space="preserve">Solución híbrida + docs</w:t>
            </w:r>
          </w:p>
        </w:tc>
        <w:tc>
          <w:tcPr>
            <w:tcBorders>
              <w:top w:val="single" w:color="BBCFDE" w:sz="4"/>
              <w:left w:val="single" w:color="BBCFDE" w:sz="4"/>
              <w:bottom w:val="single" w:color="BBCFDE" w:sz="4"/>
              <w:right w:val="single" w:color="BBCFDE" w:sz="4"/>
            </w:tcBorders>
            <w:shd w:fill="F0F4F8" w:val="clear"/>
            <w:tcMar>
              <w:top w:type="dxa" w:w="80"/>
              <w:left w:type="dxa" w:w="140"/>
              <w:bottom w:type="dxa" w:w="80"/>
              <w:right w:type="dxa" w:w="140"/>
            </w:tcMar>
          </w:tcPr>
          <w:p>
            <w:r>
              <w:rPr>
                <w:rFonts w:ascii="Courier New" w:cs="Courier New" w:eastAsia="Courier New" w:hAnsi="Courier New"/>
                <w:color w:val="000000"/>
                <w:sz w:val="19"/>
                <w:szCs w:val="19"/>
              </w:rPr>
              <w:t xml:space="preserve">git checkout main</w:t>
            </w:r>
          </w:p>
        </w:tc>
      </w:tr>
      <w:tr>
        <w:tc>
          <w:tcPr>
            <w:tcBorders>
              <w:top w:val="single" w:color="BBCFDE" w:sz="4"/>
              <w:left w:val="single" w:color="BBCFDE" w:sz="4"/>
              <w:bottom w:val="single" w:color="BBCFDE" w:sz="4"/>
              <w:right w:val="single" w:color="BBCFDE" w:sz="4"/>
            </w:tcBorders>
            <w:shd w:fill="FFFFFF" w:val="clear"/>
            <w:tcMar>
              <w:top w:type="dxa" w:w="80"/>
              <w:left w:type="dxa" w:w="140"/>
              <w:bottom w:type="dxa" w:w="80"/>
              <w:right w:type="dxa" w:w="140"/>
            </w:tcMar>
          </w:tcPr>
          <w:p>
            <w:r>
              <w:rPr>
                <w:rFonts w:ascii="Courier New" w:cs="Courier New" w:eastAsia="Courier New" w:hAnsi="Courier New"/>
                <w:color w:val="000000"/>
                <w:sz w:val="19"/>
                <w:szCs w:val="19"/>
              </w:rPr>
              <w:t xml:space="preserve">scen-1-manual</w:t>
            </w:r>
          </w:p>
        </w:tc>
        <w:tc>
          <w:tcPr>
            <w:tcBorders>
              <w:top w:val="single" w:color="BBCFDE" w:sz="4"/>
              <w:left w:val="single" w:color="BBCFDE" w:sz="4"/>
              <w:bottom w:val="single" w:color="BBCFDE" w:sz="4"/>
              <w:right w:val="single" w:color="BBCFDE" w:sz="4"/>
            </w:tcBorders>
            <w:shd w:fill="FFFFFF" w:val="clear"/>
            <w:tcMar>
              <w:top w:type="dxa" w:w="80"/>
              <w:left w:type="dxa" w:w="140"/>
              <w:bottom w:type="dxa" w:w="80"/>
              <w:right w:type="dxa" w:w="140"/>
            </w:tcMar>
          </w:tcPr>
          <w:p>
            <w:r>
              <w:rPr>
                <w:rFonts w:ascii="Courier New" w:cs="Courier New" w:eastAsia="Courier New" w:hAnsi="Courier New"/>
                <w:color w:val="000000"/>
                <w:sz w:val="19"/>
                <w:szCs w:val="19"/>
              </w:rPr>
              <w:t xml:space="preserve">Sistema actual (baseline)</w:t>
            </w:r>
          </w:p>
        </w:tc>
        <w:tc>
          <w:tcPr>
            <w:tcBorders>
              <w:top w:val="single" w:color="BBCFDE" w:sz="4"/>
              <w:left w:val="single" w:color="BBCFDE" w:sz="4"/>
              <w:bottom w:val="single" w:color="BBCFDE" w:sz="4"/>
              <w:right w:val="single" w:color="BBCFDE" w:sz="4"/>
            </w:tcBorders>
            <w:shd w:fill="FFFFFF" w:val="clear"/>
            <w:tcMar>
              <w:top w:type="dxa" w:w="80"/>
              <w:left w:type="dxa" w:w="140"/>
              <w:bottom w:type="dxa" w:w="80"/>
              <w:right w:type="dxa" w:w="140"/>
            </w:tcMar>
          </w:tcPr>
          <w:p>
            <w:r>
              <w:rPr>
                <w:rFonts w:ascii="Courier New" w:cs="Courier New" w:eastAsia="Courier New" w:hAnsi="Courier New"/>
                <w:color w:val="000000"/>
                <w:sz w:val="19"/>
                <w:szCs w:val="19"/>
              </w:rPr>
              <w:t xml:space="preserve">git checkout -b scen-1-manual</w:t>
            </w:r>
          </w:p>
        </w:tc>
      </w:tr>
      <w:tr>
        <w:tc>
          <w:tcPr>
            <w:tcBorders>
              <w:top w:val="single" w:color="BBCFDE" w:sz="4"/>
              <w:left w:val="single" w:color="BBCFDE" w:sz="4"/>
              <w:bottom w:val="single" w:color="BBCFDE" w:sz="4"/>
              <w:right w:val="single" w:color="BBCFDE" w:sz="4"/>
            </w:tcBorders>
            <w:shd w:fill="F0F4F8" w:val="clear"/>
            <w:tcMar>
              <w:top w:type="dxa" w:w="80"/>
              <w:left w:type="dxa" w:w="140"/>
              <w:bottom w:type="dxa" w:w="80"/>
              <w:right w:type="dxa" w:w="140"/>
            </w:tcMar>
          </w:tcPr>
          <w:p>
            <w:r>
              <w:rPr>
                <w:rFonts w:ascii="Courier New" w:cs="Courier New" w:eastAsia="Courier New" w:hAnsi="Courier New"/>
                <w:color w:val="000000"/>
                <w:sz w:val="19"/>
                <w:szCs w:val="19"/>
              </w:rPr>
              <w:t xml:space="preserve">scen-2-autonomo</w:t>
            </w:r>
          </w:p>
        </w:tc>
        <w:tc>
          <w:tcPr>
            <w:tcBorders>
              <w:top w:val="single" w:color="BBCFDE" w:sz="4"/>
              <w:left w:val="single" w:color="BBCFDE" w:sz="4"/>
              <w:bottom w:val="single" w:color="BBCFDE" w:sz="4"/>
              <w:right w:val="single" w:color="BBCFDE" w:sz="4"/>
            </w:tcBorders>
            <w:shd w:fill="F0F4F8" w:val="clear"/>
            <w:tcMar>
              <w:top w:type="dxa" w:w="80"/>
              <w:left w:type="dxa" w:w="140"/>
              <w:bottom w:type="dxa" w:w="80"/>
              <w:right w:type="dxa" w:w="140"/>
            </w:tcMar>
          </w:tcPr>
          <w:p>
            <w:r>
              <w:rPr>
                <w:rFonts w:ascii="Courier New" w:cs="Courier New" w:eastAsia="Courier New" w:hAnsi="Courier New"/>
                <w:color w:val="000000"/>
                <w:sz w:val="19"/>
                <w:szCs w:val="19"/>
              </w:rPr>
              <w:t xml:space="preserve">Sistema 100% autónomo</w:t>
            </w:r>
          </w:p>
        </w:tc>
        <w:tc>
          <w:tcPr>
            <w:tcBorders>
              <w:top w:val="single" w:color="BBCFDE" w:sz="4"/>
              <w:left w:val="single" w:color="BBCFDE" w:sz="4"/>
              <w:bottom w:val="single" w:color="BBCFDE" w:sz="4"/>
              <w:right w:val="single" w:color="BBCFDE" w:sz="4"/>
            </w:tcBorders>
            <w:shd w:fill="F0F4F8" w:val="clear"/>
            <w:tcMar>
              <w:top w:type="dxa" w:w="80"/>
              <w:left w:type="dxa" w:w="140"/>
              <w:bottom w:type="dxa" w:w="80"/>
              <w:right w:type="dxa" w:w="140"/>
            </w:tcMar>
          </w:tcPr>
          <w:p>
            <w:r>
              <w:rPr>
                <w:rFonts w:ascii="Courier New" w:cs="Courier New" w:eastAsia="Courier New" w:hAnsi="Courier New"/>
                <w:color w:val="000000"/>
                <w:sz w:val="19"/>
                <w:szCs w:val="19"/>
              </w:rPr>
              <w:t xml:space="preserve">git checkout -b scen-2-autonomo</w:t>
            </w:r>
          </w:p>
        </w:tc>
      </w:tr>
    </w:tbl>
    <w:p>
      <w:pPr>
        <w:spacing w:after="0" w:before="160"/>
      </w:pPr>
    </w:p>
    <w:p>
      <w:r>
        <w:rPr>
          <w:rFonts w:ascii="Arial" w:cs="Arial" w:eastAsia="Arial" w:hAnsi="Arial"/>
          <w:b/>
          <w:bCs/>
          <w:sz w:val="22"/>
          <w:szCs w:val="22"/>
        </w:rPr>
        <w:t xml:space="preserve">Flujo de trabajo recomendado: </w:t>
      </w:r>
    </w:p>
    <w:p>
      <w:pPr>
        <w:pStyle w:val="ListParagraph"/>
        <w:numPr>
          <w:ilvl w:val="0"/>
          <w:numId w:val="3"/>
        </w:numPr>
        <w:spacing w:after="60" w:before="80"/>
      </w:pPr>
      <w:r>
        <w:rPr>
          <w:rFonts w:ascii="Arial" w:cs="Arial" w:eastAsia="Arial" w:hAnsi="Arial"/>
          <w:sz w:val="22"/>
          <w:szCs w:val="22"/>
        </w:rPr>
        <w:t xml:space="preserve">Crear el repositorio y commit inicial en main (este documento + config base).</w:t>
      </w:r>
    </w:p>
    <w:p>
      <w:pPr>
        <w:pStyle w:val="ListParagraph"/>
        <w:numPr>
          <w:ilvl w:val="0"/>
          <w:numId w:val="3"/>
        </w:numPr>
        <w:spacing w:after="60" w:before="60"/>
      </w:pPr>
      <w:r>
        <w:rPr>
          <w:rFonts w:ascii="Courier New" w:cs="Courier New" w:eastAsia="Courier New" w:hAnsi="Courier New"/>
          <w:sz w:val="22"/>
          <w:szCs w:val="22"/>
        </w:rPr>
        <w:t xml:space="preserve">git checkout -b scen-1-manual</w:t>
      </w:r>
      <w:r>
        <w:rPr>
          <w:rFonts w:ascii="Arial" w:cs="Arial" w:eastAsia="Arial" w:hAnsi="Arial"/>
          <w:sz w:val="22"/>
          <w:szCs w:val="22"/>
        </w:rPr>
        <w:t xml:space="preserve"> → programar Escenario 1 y validar con Ley de Little.</w:t>
      </w:r>
    </w:p>
    <w:p>
      <w:pPr>
        <w:pStyle w:val="ListParagraph"/>
        <w:numPr>
          <w:ilvl w:val="0"/>
          <w:numId w:val="3"/>
        </w:numPr>
        <w:spacing w:after="60" w:before="60"/>
      </w:pPr>
      <w:r>
        <w:rPr>
          <w:rFonts w:ascii="Courier New" w:cs="Courier New" w:eastAsia="Courier New" w:hAnsi="Courier New"/>
          <w:sz w:val="22"/>
          <w:szCs w:val="22"/>
        </w:rPr>
        <w:t xml:space="preserve">git checkout -b scen-2-autonomo</w:t>
      </w:r>
      <w:r>
        <w:rPr>
          <w:rFonts w:ascii="Arial" w:cs="Arial" w:eastAsia="Arial" w:hAnsi="Arial"/>
          <w:sz w:val="22"/>
          <w:szCs w:val="22"/>
        </w:rPr>
        <w:t xml:space="preserve"> → agregar kioscos y análisis de sensibilidad P_excepción.</w:t>
      </w:r>
    </w:p>
    <w:p>
      <w:pPr>
        <w:pStyle w:val="ListParagraph"/>
        <w:numPr>
          <w:ilvl w:val="0"/>
          <w:numId w:val="3"/>
        </w:numPr>
        <w:spacing w:after="60" w:before="60"/>
      </w:pPr>
      <w:r>
        <w:rPr>
          <w:rFonts w:ascii="Arial" w:cs="Arial" w:eastAsia="Arial" w:hAnsi="Arial"/>
          <w:sz w:val="22"/>
          <w:szCs w:val="22"/>
        </w:rPr>
        <w:t xml:space="preserve">Merge de resultados en main → Escenario 3 híbrido + gráficas comparativas finales.</w:t>
      </w:r>
    </w:p>
    <w:p>
      <w:pPr>
        <w:spacing w:after="0" w:before="240"/>
      </w:pPr>
    </w:p>
    <w:p>
      <w:pPr>
        <w:pStyle w:val="Heading1"/>
        <w:pBdr>
          <w:bottom w:val="single" w:color="004A94" w:sz="8" w:space="4"/>
        </w:pBdr>
        <w:spacing w:after="160" w:before="320"/>
      </w:pPr>
      <w:r>
        <w:rPr>
          <w:rFonts w:ascii="Arial" w:cs="Arial" w:eastAsia="Arial" w:hAnsi="Arial"/>
          <w:b/>
          <w:bCs/>
          <w:color w:val="004A94"/>
          <w:sz w:val="28"/>
          <w:szCs w:val="28"/>
        </w:rPr>
        <w:t xml:space="preserve">6. Métricas de validación y criterios de éxito</w:t>
      </w:r>
    </w:p>
    <w:p>
      <w:pPr>
        <w:pStyle w:val="Heading2"/>
        <w:spacing w:after="100" w:before="240"/>
      </w:pPr>
      <w:r>
        <w:rPr>
          <w:rFonts w:ascii="Arial" w:cs="Arial" w:eastAsia="Arial" w:hAnsi="Arial"/>
          <w:b/>
          <w:bCs/>
          <w:color w:val="1A5E9A"/>
          <w:sz w:val="24"/>
          <w:szCs w:val="24"/>
        </w:rPr>
        <w:t xml:space="preserve">6.1 Verificación de la Ley de Little</w:t>
      </w:r>
    </w:p>
    <w:p>
      <w:r>
        <w:rPr>
          <w:rFonts w:ascii="Arial" w:cs="Arial" w:eastAsia="Arial" w:hAnsi="Arial"/>
          <w:sz w:val="22"/>
          <w:szCs w:val="22"/>
        </w:rPr>
        <w:t xml:space="preserve">Para validar que la simulación es estadísticamente correcta, se comprueba que L = λW y Lq = λWq con un error inferior al 10%. Si el error supera ese umbral, hay un bug de lógica en los generadores de llegadas o en el registro de tiempos.</w:t>
      </w:r>
    </w:p>
    <w:p>
      <w:pPr>
        <w:spacing w:after="0" w:before="120"/>
      </w:pPr>
    </w:p>
    <w:p>
      <w:pPr>
        <w:pStyle w:val="Heading2"/>
        <w:spacing w:after="100" w:before="240"/>
      </w:pPr>
      <w:r>
        <w:rPr>
          <w:rFonts w:ascii="Arial" w:cs="Arial" w:eastAsia="Arial" w:hAnsi="Arial"/>
          <w:b/>
          <w:bCs/>
          <w:color w:val="1A5E9A"/>
          <w:sz w:val="24"/>
          <w:szCs w:val="24"/>
        </w:rPr>
        <w:t xml:space="preserve">6.2 Criterios de éxito del Escenario 3</w:t>
      </w:r>
    </w:p>
    <w:p>
      <w:pPr>
        <w:pStyle w:val="ListParagraph"/>
        <w:numPr>
          <w:ilvl w:val="0"/>
          <w:numId w:val="2"/>
        </w:numPr>
        <w:spacing w:after="60" w:before="60"/>
      </w:pPr>
      <w:r>
        <w:rPr>
          <w:rFonts w:ascii="Arial" w:cs="Arial" w:eastAsia="Arial" w:hAnsi="Arial"/>
          <w:sz w:val="22"/>
          <w:szCs w:val="22"/>
        </w:rPr>
        <w:t xml:space="preserve">Throughput ≥ 2× el del Escenario 1 en condiciones de hora pico.</w:t>
      </w:r>
    </w:p>
    <w:p>
      <w:pPr>
        <w:pStyle w:val="ListParagraph"/>
        <w:numPr>
          <w:ilvl w:val="0"/>
          <w:numId w:val="2"/>
        </w:numPr>
        <w:spacing w:after="60" w:before="60"/>
      </w:pPr>
      <w:r>
        <w:rPr>
          <w:rFonts w:ascii="Arial" w:cs="Arial" w:eastAsia="Arial" w:hAnsi="Arial"/>
          <w:sz w:val="22"/>
          <w:szCs w:val="22"/>
        </w:rPr>
        <w:t xml:space="preserve">P_abandono &lt; 15% incluso con P_excepción = 20%.</w:t>
      </w:r>
    </w:p>
    <w:p>
      <w:pPr>
        <w:pStyle w:val="ListParagraph"/>
        <w:numPr>
          <w:ilvl w:val="0"/>
          <w:numId w:val="2"/>
        </w:numPr>
        <w:spacing w:after="60" w:before="60"/>
      </w:pPr>
      <w:r>
        <w:rPr>
          <w:rFonts w:ascii="Arial" w:cs="Arial" w:eastAsia="Arial" w:hAnsi="Arial"/>
          <w:sz w:val="22"/>
          <w:szCs w:val="22"/>
        </w:rPr>
        <w:t xml:space="preserve">El análisis de sensibilidad muestra la curva de throughput del Escenario 3 estable mientras la del Escenario 2 colapsa.</w:t>
      </w:r>
    </w:p>
    <w:p>
      <w:pPr>
        <w:spacing w:after="0" w:before="120"/>
      </w:pPr>
    </w:p>
    <w:p>
      <w:pPr>
        <w:pStyle w:val="Heading2"/>
        <w:spacing w:after="100" w:before="240"/>
      </w:pPr>
      <w:r>
        <w:rPr>
          <w:rFonts w:ascii="Arial" w:cs="Arial" w:eastAsia="Arial" w:hAnsi="Arial"/>
          <w:b/>
          <w:bCs/>
          <w:color w:val="1A5E9A"/>
          <w:sz w:val="24"/>
          <w:szCs w:val="24"/>
        </w:rPr>
        <w:t xml:space="preserve">6.3 Argumento económico</w:t>
      </w:r>
    </w:p>
    <w:p>
      <w:r>
        <w:rPr>
          <w:rFonts w:ascii="Arial" w:cs="Arial" w:eastAsia="Arial" w:hAnsi="Arial"/>
          <w:sz w:val="22"/>
          <w:szCs w:val="22"/>
        </w:rPr>
        <w:t xml:space="preserve">Con un costo estimado por abandono (usuario no atendido), se cuantifica la pérdida económica por turno de 2 horas para cada escenario. La diferencia entre Escenario 1 y Escenario 3 representa el beneficio económico de la inversión en kioscos, y la diferencia entre Escenario 2 y 3 justifica el costo del trabajador de excepciones.</w:t>
      </w:r>
    </w:p>
    <w:p>
      <w:pPr>
        <w:spacing w:after="0" w:before="240"/>
      </w:pPr>
    </w:p>
    <w:p>
      <w:pPr>
        <w:pStyle w:val="Heading1"/>
        <w:pBdr>
          <w:bottom w:val="single" w:color="004A94" w:sz="8" w:space="4"/>
        </w:pBdr>
        <w:spacing w:after="160" w:before="320"/>
      </w:pPr>
      <w:r>
        <w:rPr>
          <w:rFonts w:ascii="Arial" w:cs="Arial" w:eastAsia="Arial" w:hAnsi="Arial"/>
          <w:b/>
          <w:bCs/>
          <w:color w:val="004A94"/>
          <w:sz w:val="28"/>
          <w:szCs w:val="28"/>
        </w:rPr>
        <w:t xml:space="preserve">7. Plan de desarrollo</w:t>
      </w:r>
    </w:p>
    <w:p>
      <w:pPr>
        <w:pStyle w:val="ListParagraph"/>
        <w:numPr>
          <w:ilvl w:val="0"/>
          <w:numId w:val="3"/>
        </w:numPr>
        <w:spacing w:after="80" w:before="100"/>
      </w:pPr>
      <w:r>
        <w:rPr>
          <w:rFonts w:ascii="Arial" w:cs="Arial" w:eastAsia="Arial" w:hAnsi="Arial"/>
          <w:b/>
          <w:bCs/>
          <w:sz w:val="22"/>
          <w:szCs w:val="22"/>
        </w:rPr>
        <w:t xml:space="preserve">Semana 1 — Calibración: </w:t>
      </w:r>
      <w:r>
        <w:rPr>
          <w:rFonts w:ascii="Arial" w:cs="Arial" w:eastAsia="Arial" w:hAnsi="Arial"/>
          <w:sz w:val="22"/>
          <w:szCs w:val="22"/>
        </w:rPr>
        <w:t xml:space="preserve">cronometrar 30–50 servicios reales en Pumabicis y ajustar SimConfig con los valores empíricos.</w:t>
      </w:r>
    </w:p>
    <w:p>
      <w:pPr>
        <w:pStyle w:val="ListParagraph"/>
        <w:numPr>
          <w:ilvl w:val="0"/>
          <w:numId w:val="3"/>
        </w:numPr>
        <w:spacing w:after="80" w:before="80"/>
      </w:pPr>
      <w:r>
        <w:rPr>
          <w:rFonts w:ascii="Arial" w:cs="Arial" w:eastAsia="Arial" w:hAnsi="Arial"/>
          <w:b/>
          <w:bCs/>
          <w:sz w:val="22"/>
          <w:szCs w:val="22"/>
        </w:rPr>
        <w:t xml:space="preserve">Semana 2 — Escenario 1: </w:t>
      </w:r>
      <w:r>
        <w:rPr>
          <w:rFonts w:ascii="Arial" w:cs="Arial" w:eastAsia="Arial" w:hAnsi="Arial"/>
          <w:sz w:val="22"/>
          <w:szCs w:val="22"/>
        </w:rPr>
        <w:t xml:space="preserve">implementar ManualServer en rama scen-1-manual, validar con Ley de Little, documentar resultados.</w:t>
      </w:r>
    </w:p>
    <w:p>
      <w:pPr>
        <w:pStyle w:val="ListParagraph"/>
        <w:numPr>
          <w:ilvl w:val="0"/>
          <w:numId w:val="3"/>
        </w:numPr>
        <w:spacing w:after="80" w:before="80"/>
      </w:pPr>
      <w:r>
        <w:rPr>
          <w:rFonts w:ascii="Arial" w:cs="Arial" w:eastAsia="Arial" w:hAnsi="Arial"/>
          <w:b/>
          <w:bCs/>
          <w:sz w:val="22"/>
          <w:szCs w:val="22"/>
        </w:rPr>
        <w:t xml:space="preserve">Semana 3 — Escenario 2: </w:t>
      </w:r>
      <w:r>
        <w:rPr>
          <w:rFonts w:ascii="Arial" w:cs="Arial" w:eastAsia="Arial" w:hAnsi="Arial"/>
          <w:sz w:val="22"/>
          <w:szCs w:val="22"/>
        </w:rPr>
        <w:t xml:space="preserve">implementar kioscos en scen-2-autonomo, correr análisis de sensibilidad, identificar punto de quiebre de P_excepción.</w:t>
      </w:r>
    </w:p>
    <w:p>
      <w:pPr>
        <w:pStyle w:val="ListParagraph"/>
        <w:numPr>
          <w:ilvl w:val="0"/>
          <w:numId w:val="3"/>
        </w:numPr>
        <w:spacing w:after="80" w:before="80"/>
      </w:pPr>
      <w:r>
        <w:rPr>
          <w:rFonts w:ascii="Arial" w:cs="Arial" w:eastAsia="Arial" w:hAnsi="Arial"/>
          <w:b/>
          <w:bCs/>
          <w:sz w:val="22"/>
          <w:szCs w:val="22"/>
        </w:rPr>
        <w:t xml:space="preserve">Semana 4 — Escenario 3 y presentación: </w:t>
      </w:r>
      <w:r>
        <w:rPr>
          <w:rFonts w:ascii="Arial" w:cs="Arial" w:eastAsia="Arial" w:hAnsi="Arial"/>
          <w:sz w:val="22"/>
          <w:szCs w:val="22"/>
        </w:rPr>
        <w:t xml:space="preserve">implementar sistema híbrido en main, generar gráficas comparativas, calcular ROI y preparar presentación técnica.</w:t>
      </w:r>
    </w:p>
    <w:p>
      <w:pPr>
        <w:spacing w:after="0" w:before="240"/>
      </w:pPr>
    </w:p>
    <w:p>
      <w:pPr>
        <w:pBdr>
          <w:top w:val="single" w:color="004A94" w:sz="4" w:space="6"/>
        </w:pBdr>
        <w:spacing w:after="0" w:before="160"/>
        <w:jc w:val="center"/>
      </w:pPr>
      <w:r>
        <w:rPr>
          <w:rFonts w:ascii="Arial" w:cs="Arial" w:eastAsia="Arial" w:hAnsi="Arial"/>
          <w:i/>
          <w:iCs/>
          <w:color w:val="5A5A5A"/>
          <w:sz w:val="19"/>
          <w:szCs w:val="19"/>
        </w:rPr>
        <w:t xml:space="preserve">Documento generado como línea base del proyecto. Todos los parámetros son provisionales y deben reemplazarse con mediciones empíricas reales.</w:t>
      </w:r>
    </w:p>
    <w:sectPr>
      <w:headerReference w:type="default" r:id="rId7"/>
      <w:footerReference w:type="default" r:id="rId8"/>
      <w:pgSz w:w="12240" w:h="15840"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4A94" w:sz="4" w:space="4"/>
      </w:pBdr>
      <w:spacing w:before="80"/>
      <w:jc w:val="right"/>
    </w:pPr>
    <w:r>
      <w:rPr>
        <w:rFonts w:ascii="Arial" w:cs="Arial" w:eastAsia="Arial" w:hAnsi="Arial"/>
        <w:color w:val="5A5A5A"/>
        <w:sz w:val="18"/>
        <w:szCs w:val="18"/>
      </w:rPr>
      <w:t xml:space="preserve">Simulación con SimPy · Documento de trabajo v1.0 · </w:t>
    </w:r>
    <w:fldSimple w:instr="PAGE">
      <w:r>
        <w:rPr>
          <w:rFonts w:ascii="Arial" w:cs="Arial" w:eastAsia="Arial" w:hAnsi="Arial"/>
          <w:color w:val="5A5A5A"/>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4A94" w:sz="6" w:space="4"/>
      </w:pBdr>
      <w:spacing w:after="0"/>
    </w:pPr>
    <w:r>
      <w:rPr>
        <w:rFonts w:ascii="Arial" w:cs="Arial" w:eastAsia="Arial" w:hAnsi="Arial"/>
        <w:color w:val="1A5E9A"/>
        <w:sz w:val="18"/>
        <w:szCs w:val="18"/>
      </w:rPr>
      <w:t xml:space="preserve">Proyecto Pumabicis — Línea Base de Parámetros Observados</w:t>
    </w:r>
    <w:r>
      <w:rPr>
        <w:rFonts w:ascii="Arial" w:cs="Arial" w:eastAsia="Arial" w:hAnsi="Arial"/>
        <w:color w:val="5A5A5A"/>
        <w:sz w:val="18"/>
        <w:szCs w:val="18"/>
      </w:rPr>
      <w:t xml:space="preserve">     |     UNAM · Ingeniería en Telecomunicaciones · Teoría de Colas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04A94"/>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1A5E9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2026-06-04T03:33:17.529Z</dcterms:created>
  <dcterms:modified xsi:type="dcterms:W3CDTF">2026-06-04T03:33:17.530Z</dcterms:modified>
</cp:coreProperties>
</file>

<file path=docProps/custom.xml><?xml version="1.0" encoding="utf-8"?>
<Properties xmlns="http://schemas.openxmlformats.org/officeDocument/2006/custom-properties" xmlns:vt="http://schemas.openxmlformats.org/officeDocument/2006/docPropsVTypes"/>
</file>