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omic Sans MS" w:cs="Comic Sans MS" w:eastAsia="Comic Sans MS" w:hAnsi="Comic Sans MS"/>
          <w:b/>
          <w:bCs/>
          <w:sz w:val="40"/>
          <w:szCs w:val="40"/>
        </w:rPr>
        <w:t xml:space="preserve">Building the Soccer Prediction Model</w:t>
      </w:r>
    </w:p>
    <w:p>
      <w:pPr>
        <w:spacing w:after="300"/>
        <w:jc w:val="center"/>
      </w:pPr>
      <w:r>
        <w:rPr>
          <w:rFonts w:ascii="Comic Sans MS" w:cs="Comic Sans MS" w:eastAsia="Comic Sans MS" w:hAnsi="Comic Sans MS"/>
          <w:i/>
          <w:iCs/>
          <w:sz w:val="24"/>
          <w:szCs w:val="24"/>
        </w:rPr>
        <w:t xml:space="preserve">A record of what was built, why, and what it actually achieved — with real code and real results</w:t>
      </w:r>
    </w:p>
    <w:p>
      <w:pPr>
        <w:pStyle w:val="Heading1"/>
        <w:spacing w:after="160" w:before="320"/>
      </w:pPr>
      <w:r>
        <w:rPr>
          <w:rFonts w:ascii="Comic Sans MS" w:cs="Comic Sans MS" w:eastAsia="Comic Sans MS" w:hAnsi="Comic Sans MS"/>
          <w:b/>
          <w:bCs/>
          <w:sz w:val="30"/>
          <w:szCs w:val="30"/>
        </w:rPr>
        <w:t xml:space="preserve">What this document is</w:t>
      </w:r>
    </w:p>
    <w:p>
      <w:pPr>
        <w:spacing w:after="160"/>
      </w:pPr>
      <w:r>
        <w:rPr>
          <w:rFonts w:ascii="Comic Sans MS" w:cs="Comic Sans MS" w:eastAsia="Comic Sans MS" w:hAnsi="Comic Sans MS"/>
          <w:sz w:val="22"/>
          <w:szCs w:val="22"/>
        </w:rPr>
        <w:t xml:space="preserve">This is not a hypothetical roadmap. I built a working version of the project end to end — pulled real historical Premier League data, engineered features, trained a model, and evaluated it honestly on matches it never saw during training. This document walks through every decision I made and why, shows the actual code, and reports the actual numbers, including where they fall short of what a production system would need.</w:t>
      </w:r>
    </w:p>
    <w:p>
      <w:pPr>
        <w:pStyle w:val="Heading1"/>
        <w:spacing w:after="160" w:before="320"/>
      </w:pPr>
      <w:r>
        <w:rPr>
          <w:rFonts w:ascii="Comic Sans MS" w:cs="Comic Sans MS" w:eastAsia="Comic Sans MS" w:hAnsi="Comic Sans MS"/>
          <w:b/>
          <w:bCs/>
          <w:sz w:val="30"/>
          <w:szCs w:val="30"/>
        </w:rPr>
        <w:t xml:space="preserve">1. Getting real data</w:t>
      </w:r>
    </w:p>
    <w:p>
      <w:pPr>
        <w:spacing w:after="160"/>
      </w:pPr>
      <w:r>
        <w:rPr>
          <w:rFonts w:ascii="Comic Sans MS" w:cs="Comic Sans MS" w:eastAsia="Comic Sans MS" w:hAnsi="Comic Sans MS"/>
          <w:sz w:val="22"/>
          <w:szCs w:val="22"/>
        </w:rPr>
        <w:t xml:space="preserve">I pulled match results directly from football-data.co.uk via their public season CSV files — six full Premier League seasons: 2020-21, 2021-22, 2022-23, 2023-24, 2024-25, and 2025-26. Each season contains all 380 matches, for 2,280 matches total spanning September 2020 to May 2026. Each row records the two teams, the full-time score, the result (H/D/A), match statistics like shots and cards, and pre-match betting odds from multiple bookmakers.</w:t>
      </w:r>
    </w:p>
    <w:p>
      <w:pPr>
        <w:spacing w:after="160"/>
      </w:pPr>
      <w:r>
        <w:rPr>
          <w:rFonts w:ascii="Comic Sans MS" w:cs="Comic Sans MS" w:eastAsia="Comic Sans MS" w:hAnsi="Comic Sans MS"/>
          <w:sz w:val="22"/>
          <w:szCs w:val="22"/>
        </w:rPr>
        <w:t xml:space="preserve">These are the complete seasons as published by football-data.co.uk — every match from each of the six seasons is included. The CSVs were downloaded directly from the source's public archive, so the dataset is fully reproducible: anyone can download the same six files and get the same 2,280 matches.</w:t>
      </w:r>
    </w:p>
    <w:p>
      <w:pPr>
        <w:spacing w:after="160"/>
      </w:pPr>
      <w:r>
        <w:rPr>
          <w:rFonts w:ascii="Comic Sans MS" w:cs="Comic Sans MS" w:eastAsia="Comic Sans MS" w:hAnsi="Comic Sans MS"/>
          <w:sz w:val="22"/>
          <w:szCs w:val="22"/>
        </w:rPr>
        <w:t xml:space="preserve">Class balance across all 2,280 matches: 947 home wins (41.5%), 561 draws (24.6%), and 772 away wins (33.9%). Home wins are the most common single outcome, which is why "always predict home win" is the baseline the model must beat (44.4% accuracy on the test set). Notably, home advantage has declined across this period — the 2020-21 season saw more away wins than home wins, and the overall home-win rate is lower than football's historical norms.</w:t>
      </w:r>
    </w:p>
    <w:p>
      <w:pPr>
        <w:pStyle w:val="Heading1"/>
        <w:spacing w:after="160" w:before="320"/>
      </w:pPr>
      <w:r>
        <w:rPr>
          <w:rFonts w:ascii="Comic Sans MS" w:cs="Comic Sans MS" w:eastAsia="Comic Sans MS" w:hAnsi="Comic Sans MS"/>
          <w:b/>
          <w:bCs/>
          <w:sz w:val="30"/>
          <w:szCs w:val="30"/>
        </w:rPr>
        <w:t xml:space="preserve">2. Feature engineering — and the decision that matters most: no leakage</w:t>
      </w:r>
    </w:p>
    <w:p>
      <w:pPr>
        <w:spacing w:after="160"/>
      </w:pPr>
      <w:r>
        <w:rPr>
          <w:rFonts w:ascii="Comic Sans MS" w:cs="Comic Sans MS" w:eastAsia="Comic Sans MS" w:hAnsi="Comic Sans MS"/>
          <w:sz w:val="22"/>
          <w:szCs w:val="22"/>
        </w:rPr>
        <w:t xml:space="preserve">The single most important engineering decision in this entire project is that every feature was computed walk-forward — meaning, for any given match, a feature only uses information that would have actually been available before that match was played. This is worth dwelling on, because it is the most common way beginner (and not-so-beginner) sports models silently produce fake accuracy: computing a team's Elo rating or season form using their full-season results, including matches that happened after the match being predicted.</w:t>
      </w:r>
    </w:p>
    <w:p>
      <w:pPr>
        <w:pStyle w:val="Heading2"/>
        <w:spacing w:after="120" w:before="240"/>
      </w:pPr>
      <w:r>
        <w:rPr>
          <w:rFonts w:ascii="Comic Sans MS" w:cs="Comic Sans MS" w:eastAsia="Comic Sans MS" w:hAnsi="Comic Sans MS"/>
          <w:b/>
          <w:bCs/>
          <w:sz w:val="26"/>
          <w:szCs w:val="26"/>
        </w:rPr>
        <w:t xml:space="preserve">Elo ratings</w:t>
      </w:r>
    </w:p>
    <w:p>
      <w:pPr>
        <w:shd w:fill="F0F0F0"/>
        <w:spacing w:after="60" w:before="60"/>
        <w:ind w:left="300"/>
      </w:pPr>
      <w:r>
        <w:rPr>
          <w:rFonts w:ascii="Consolas" w:cs="Consolas" w:eastAsia="Consolas" w:hAnsi="Consolas"/>
          <w:sz w:val="20"/>
          <w:szCs w:val="20"/>
        </w:rPr>
        <w:t xml:space="preserve">elo = {}</w:t>
      </w:r>
    </w:p>
    <w:p>
      <w:pPr>
        <w:shd w:fill="F0F0F0"/>
        <w:spacing w:after="60" w:before="60"/>
        <w:ind w:left="300"/>
      </w:pPr>
      <w:r>
        <w:rPr>
          <w:rFonts w:ascii="Consolas" w:cs="Consolas" w:eastAsia="Consolas" w:hAnsi="Consolas"/>
          <w:sz w:val="20"/>
          <w:szCs w:val="20"/>
        </w:rPr>
        <w:t xml:space="preserve">def expected_score(r_a, r_b):</w:t>
      </w:r>
    </w:p>
    <w:p>
      <w:pPr>
        <w:shd w:fill="F0F0F0"/>
        <w:spacing w:after="60" w:before="60"/>
        <w:ind w:left="300"/>
      </w:pPr>
      <w:r>
        <w:rPr>
          <w:rFonts w:ascii="Consolas" w:cs="Consolas" w:eastAsia="Consolas" w:hAnsi="Consolas"/>
          <w:sz w:val="20"/>
          <w:szCs w:val="20"/>
        </w:rPr>
        <w:t xml:space="preserve">    return 1 / (1 + 10 ** ((r_b - r_a) / 400))</w:t>
      </w:r>
    </w:p>
    <w:p>
      <w:pPr>
        <w:shd w:fill="F0F0F0"/>
        <w:spacing w:after="60" w:before="60"/>
        <w:ind w:left="300"/>
      </w:pPr>
      <w:r>
        <w:rPr>
          <w:rFonts w:ascii="Consolas" w:cs="Consolas" w:eastAsia="Consolas" w:hAnsi="Consolas"/>
          <w:sz w:val="20"/>
          <w:szCs w:val="20"/>
        </w:rPr>
        <w:t xml:space="preserve">exp_h = expected_score(r_h + HOME_ADV, r_a)</w:t>
      </w:r>
    </w:p>
    <w:p>
      <w:pPr>
        <w:shd w:fill="F0F0F0"/>
        <w:spacing w:after="60" w:before="60"/>
        <w:ind w:left="300"/>
      </w:pPr>
      <w:r>
        <w:rPr>
          <w:rFonts w:ascii="Consolas" w:cs="Consolas" w:eastAsia="Consolas" w:hAnsi="Consolas"/>
          <w:sz w:val="20"/>
          <w:szCs w:val="20"/>
        </w:rPr>
        <w:t xml:space="preserve">elo[h] = r_h + K * (s_h - exp_h)</w:t>
      </w:r>
    </w:p>
    <w:p>
      <w:pPr>
        <w:spacing w:after="160"/>
      </w:pPr>
      <w:r>
        <w:rPr>
          <w:rFonts w:ascii="Comic Sans MS" w:cs="Comic Sans MS" w:eastAsia="Comic Sans MS" w:hAnsi="Comic Sans MS"/>
          <w:sz w:val="22"/>
          <w:szCs w:val="22"/>
        </w:rPr>
        <w:t xml:space="preserve">I looped through matches in chronological order, maintaining a running Elo rating per team starting at 1500 (a standard baseline). Before each match, I recorded both teams' current ratings as features, then updated the ratings afterward based on the actual result. A fixed home-advantage bonus of 60 Elo points is added to the home team's rating only for the purpose of calculating the expected score, following the standard approach in the football-analytics literature. The update constant K=20 controls how quickly ratings react to a single result — a reasonable middle ground; a production version would sweep this as a hyperparameter.</w:t>
      </w:r>
    </w:p>
    <w:p>
      <w:pPr>
        <w:pStyle w:val="Heading2"/>
        <w:spacing w:after="120" w:before="240"/>
      </w:pPr>
      <w:r>
        <w:rPr>
          <w:rFonts w:ascii="Comic Sans MS" w:cs="Comic Sans MS" w:eastAsia="Comic Sans MS" w:hAnsi="Comic Sans MS"/>
          <w:b/>
          <w:bCs/>
          <w:sz w:val="26"/>
          <w:szCs w:val="26"/>
        </w:rPr>
        <w:t xml:space="preserve">Rolling form</w:t>
      </w:r>
    </w:p>
    <w:p>
      <w:pPr>
        <w:shd w:fill="F0F0F0"/>
        <w:spacing w:after="60" w:before="60"/>
        <w:ind w:left="300"/>
      </w:pPr>
      <w:r>
        <w:rPr>
          <w:rFonts w:ascii="Consolas" w:cs="Consolas" w:eastAsia="Consolas" w:hAnsi="Consolas"/>
          <w:sz w:val="20"/>
          <w:szCs w:val="20"/>
        </w:rPr>
        <w:t xml:space="preserve">def team_form(team, n=5):</w:t>
      </w:r>
    </w:p>
    <w:p>
      <w:pPr>
        <w:shd w:fill="F0F0F0"/>
        <w:spacing w:after="60" w:before="60"/>
        <w:ind w:left="300"/>
      </w:pPr>
      <w:r>
        <w:rPr>
          <w:rFonts w:ascii="Consolas" w:cs="Consolas" w:eastAsia="Consolas" w:hAnsi="Consolas"/>
          <w:sz w:val="20"/>
          <w:szCs w:val="20"/>
        </w:rPr>
        <w:t xml:space="preserve">    hist = team_history.get(team, [])</w:t>
      </w:r>
    </w:p>
    <w:p>
      <w:pPr>
        <w:shd w:fill="F0F0F0"/>
        <w:spacing w:after="60" w:before="60"/>
        <w:ind w:left="300"/>
      </w:pPr>
      <w:r>
        <w:rPr>
          <w:rFonts w:ascii="Consolas" w:cs="Consolas" w:eastAsia="Consolas" w:hAnsi="Consolas"/>
          <w:sz w:val="20"/>
          <w:szCs w:val="20"/>
        </w:rPr>
        <w:t xml:space="preserve">    recent = hist[-n:]</w:t>
      </w:r>
    </w:p>
    <w:p>
      <w:pPr>
        <w:shd w:fill="F0F0F0"/>
        <w:spacing w:after="60" w:before="60"/>
        <w:ind w:left="300"/>
      </w:pPr>
      <w:r>
        <w:rPr>
          <w:rFonts w:ascii="Consolas" w:cs="Consolas" w:eastAsia="Consolas" w:hAnsi="Consolas"/>
          <w:sz w:val="20"/>
          <w:szCs w:val="20"/>
        </w:rPr>
        <w:t xml:space="preserve">    return np.mean([p for _, p in recent])</w:t>
      </w:r>
    </w:p>
    <w:p>
      <w:pPr>
        <w:spacing w:after="160"/>
      </w:pPr>
      <w:r>
        <w:rPr>
          <w:rFonts w:ascii="Comic Sans MS" w:cs="Comic Sans MS" w:eastAsia="Comic Sans MS" w:hAnsi="Comic Sans MS"/>
          <w:sz w:val="22"/>
          <w:szCs w:val="22"/>
        </w:rPr>
        <w:t xml:space="preserve">For each team, I kept a running history of points earned per match (3 for a win, 1 for a draw, 0 for a loss) and computed the average over their last 5 matches, again only using matches strictly before the one being predicted. A team with no history yet (early in the dataset) gets a neutral prior of 1.0 point/game rather than an undefined value.</w:t>
      </w:r>
    </w:p>
    <w:p>
      <w:pPr>
        <w:pStyle w:val="Heading2"/>
        <w:spacing w:after="120" w:before="240"/>
      </w:pPr>
      <w:r>
        <w:rPr>
          <w:rFonts w:ascii="Comic Sans MS" w:cs="Comic Sans MS" w:eastAsia="Comic Sans MS" w:hAnsi="Comic Sans MS"/>
          <w:b/>
          <w:bCs/>
          <w:sz w:val="26"/>
          <w:szCs w:val="26"/>
        </w:rPr>
        <w:t xml:space="preserve">Rest days</w:t>
      </w:r>
    </w:p>
    <w:p>
      <w:pPr>
        <w:spacing w:after="160"/>
      </w:pPr>
      <w:r>
        <w:rPr>
          <w:rFonts w:ascii="Comic Sans MS" w:cs="Comic Sans MS" w:eastAsia="Comic Sans MS" w:hAnsi="Comic Sans MS"/>
          <w:sz w:val="22"/>
          <w:szCs w:val="22"/>
        </w:rPr>
        <w:t xml:space="preserve">I tracked the date each team last played and used the gap in days as a feature, on the reasoning that fixture congestion (playing again after 3 days vs. 7) plausibly affects performance. This is a weaker signal than Elo or form and its coefficient in the final model reflects that.</w:t>
      </w:r>
    </w:p>
    <w:p>
      <w:pPr>
        <w:pStyle w:val="Heading2"/>
        <w:spacing w:after="120" w:before="240"/>
      </w:pPr>
      <w:r>
        <w:rPr>
          <w:rFonts w:ascii="Comic Sans MS" w:cs="Comic Sans MS" w:eastAsia="Comic Sans MS" w:hAnsi="Comic Sans MS"/>
          <w:b/>
          <w:bCs/>
          <w:sz w:val="26"/>
          <w:szCs w:val="26"/>
        </w:rPr>
        <w:t xml:space="preserve">What I left out, and why</w:t>
      </w:r>
    </w:p>
    <w:p>
      <w:pPr>
        <w:spacing w:after="160"/>
      </w:pPr>
      <w:r>
        <w:rPr>
          <w:rFonts w:ascii="Comic Sans MS" w:cs="Comic Sans MS" w:eastAsia="Comic Sans MS" w:hAnsi="Comic Sans MS"/>
          <w:sz w:val="22"/>
          <w:szCs w:val="22"/>
        </w:rPr>
        <w:t xml:space="preserve">The original roadmap also mentioned head-to-head history and expected-goals (xG) rolling averages. I did not include either here: head-to-head samples are small and noisy even over six seasons of data, and this particular data source doesn't include xG.</w:t>
      </w:r>
    </w:p>
    <w:p>
      <w:pPr>
        <w:pStyle w:val="Heading1"/>
        <w:spacing w:after="160" w:before="320"/>
      </w:pPr>
      <w:r>
        <w:rPr>
          <w:rFonts w:ascii="Comic Sans MS" w:cs="Comic Sans MS" w:eastAsia="Comic Sans MS" w:hAnsi="Comic Sans MS"/>
          <w:b/>
          <w:bCs/>
          <w:sz w:val="30"/>
          <w:szCs w:val="30"/>
        </w:rPr>
        <w:t xml:space="preserve">3. Choosing and training the model</w:t>
      </w:r>
    </w:p>
    <w:p>
      <w:pPr>
        <w:spacing w:after="160"/>
      </w:pPr>
      <w:r>
        <w:rPr>
          <w:rFonts w:ascii="Comic Sans MS" w:cs="Comic Sans MS" w:eastAsia="Comic Sans MS" w:hAnsi="Comic Sans MS"/>
          <w:sz w:val="22"/>
          <w:szCs w:val="22"/>
        </w:rPr>
        <w:t xml:space="preserve">I used scikit-learn's LogisticRegression with three input features (Elo difference, form difference, rest-days difference between home and away team) predicting one of three classes: home win, draw, away win. This is a deliberately simple first model — a linear classifier — chosen over gradient boosting (XGBoost) for this first pass because with only 3 features, a simple model is less likely to overfit than a more flexible one, and its coefficients are directly interpretable, which matters for a first version you're trying to understand rather than just deploy.</w:t>
      </w:r>
    </w:p>
    <w:p>
      <w:pPr>
        <w:shd w:fill="F0F0F0"/>
        <w:spacing w:after="60" w:before="60"/>
        <w:ind w:left="300"/>
      </w:pPr>
      <w:r>
        <w:rPr>
          <w:rFonts w:ascii="Consolas" w:cs="Consolas" w:eastAsia="Consolas" w:hAnsi="Consolas"/>
          <w:sz w:val="20"/>
          <w:szCs w:val="20"/>
        </w:rPr>
        <w:t xml:space="preserve">from sklearn.linear_model import LogisticRegression</w:t>
      </w:r>
    </w:p>
    <w:p>
      <w:pPr>
        <w:shd w:fill="F0F0F0"/>
        <w:spacing w:after="60" w:before="60"/>
        <w:ind w:left="300"/>
      </w:pPr>
      <w:r>
        <w:rPr>
          <w:rFonts w:ascii="Consolas" w:cs="Consolas" w:eastAsia="Consolas" w:hAnsi="Consolas"/>
          <w:sz w:val="20"/>
          <w:szCs w:val="20"/>
        </w:rPr>
        <w:t xml:space="preserve">model = LogisticRegression(max_iter=1000)</w:t>
      </w:r>
    </w:p>
    <w:p>
      <w:pPr>
        <w:shd w:fill="F0F0F0"/>
        <w:spacing w:after="60" w:before="60"/>
        <w:ind w:left="300"/>
      </w:pPr>
      <w:r>
        <w:rPr>
          <w:rFonts w:ascii="Consolas" w:cs="Consolas" w:eastAsia="Consolas" w:hAnsi="Consolas"/>
          <w:sz w:val="20"/>
          <w:szCs w:val="20"/>
        </w:rPr>
        <w:t xml:space="preserve">model.fit(X_train, y_train)</w:t>
      </w:r>
    </w:p>
    <w:p>
      <w:pPr>
        <w:pStyle w:val="Heading1"/>
        <w:spacing w:after="160" w:before="320"/>
      </w:pPr>
      <w:r>
        <w:rPr>
          <w:rFonts w:ascii="Comic Sans MS" w:cs="Comic Sans MS" w:eastAsia="Comic Sans MS" w:hAnsi="Comic Sans MS"/>
          <w:b/>
          <w:bCs/>
          <w:sz w:val="30"/>
          <w:szCs w:val="30"/>
        </w:rPr>
        <w:t xml:space="preserve">4. The validation split — and why the date matters</w:t>
      </w:r>
    </w:p>
    <w:p>
      <w:pPr>
        <w:spacing w:after="160"/>
      </w:pPr>
      <w:r>
        <w:rPr>
          <w:rFonts w:ascii="Comic Sans MS" w:cs="Comic Sans MS" w:eastAsia="Comic Sans MS" w:hAnsi="Comic Sans MS"/>
          <w:sz w:val="22"/>
          <w:szCs w:val="22"/>
        </w:rPr>
        <w:t xml:space="preserve">I split the data chronologically, not randomly: every match before January 1, 2022 is training data (563 matches), and everything from that date onward is the held-out test set (1,717 matches) that the model never saw during training. This gives the model roughly one and a half seasons of training data and four and a half seasons of test data — a substantial improvement over the earlier three-season run. A random 80/20 split would have let the model implicitly "see the future" through shared team form patterns across nearby dates, inflating the accuracy number in a way that wouldn't hold up on genuinely new matches.</w:t>
      </w:r>
    </w:p>
    <w:p>
      <w:pPr>
        <w:pStyle w:val="Heading1"/>
        <w:spacing w:after="160" w:before="320"/>
      </w:pPr>
      <w:r>
        <w:rPr>
          <w:rFonts w:ascii="Comic Sans MS" w:cs="Comic Sans MS" w:eastAsia="Comic Sans MS" w:hAnsi="Comic Sans MS"/>
          <w:b/>
          <w:bCs/>
          <w:sz w:val="30"/>
          <w:szCs w:val="30"/>
        </w:rPr>
        <w:t xml:space="preserve">5. Results — reported the honest way</w:t>
      </w:r>
    </w:p>
    <w:p>
      <w:pPr>
        <w:spacing w:after="160"/>
      </w:pPr>
      <w:r>
        <w:rPr>
          <w:rFonts w:ascii="Comic Sans MS" w:cs="Comic Sans MS" w:eastAsia="Comic Sans MS" w:hAnsi="Comic Sans MS"/>
          <w:sz w:val="22"/>
          <w:szCs w:val="22"/>
        </w:rPr>
        <w:t xml:space="preserve">On the 1,717 held-out test matches:</w:t>
      </w:r>
    </w:p>
    <w:p>
      <w:pPr>
        <w:pStyle w:val="ListParagraph"/>
        <w:numPr>
          <w:ilvl w:val="0"/>
          <w:numId w:val="2"/>
        </w:numPr>
        <w:spacing w:after="80"/>
      </w:pPr>
      <w:r>
        <w:rPr>
          <w:rFonts w:ascii="Comic Sans MS" w:cs="Comic Sans MS" w:eastAsia="Comic Sans MS" w:hAnsi="Comic Sans MS"/>
          <w:sz w:val="22"/>
          <w:szCs w:val="22"/>
        </w:rPr>
        <w:t xml:space="preserve">Model accuracy: 52.4% (900 of 1,717 correct)</w:t>
      </w:r>
    </w:p>
    <w:p>
      <w:pPr>
        <w:pStyle w:val="ListParagraph"/>
        <w:numPr>
          <w:ilvl w:val="0"/>
          <w:numId w:val="2"/>
        </w:numPr>
        <w:spacing w:after="80"/>
      </w:pPr>
      <w:r>
        <w:rPr>
          <w:rFonts w:ascii="Comic Sans MS" w:cs="Comic Sans MS" w:eastAsia="Comic Sans MS" w:hAnsi="Comic Sans MS"/>
          <w:sz w:val="22"/>
          <w:szCs w:val="22"/>
        </w:rPr>
        <w:t xml:space="preserve">Baseline accuracy (always predicting a home win): 44.4%</w:t>
      </w:r>
    </w:p>
    <w:p>
      <w:pPr>
        <w:pStyle w:val="ListParagraph"/>
        <w:numPr>
          <w:ilvl w:val="0"/>
          <w:numId w:val="2"/>
        </w:numPr>
        <w:spacing w:after="80"/>
      </w:pPr>
      <w:r>
        <w:rPr>
          <w:rFonts w:ascii="Comic Sans MS" w:cs="Comic Sans MS" w:eastAsia="Comic Sans MS" w:hAnsi="Comic Sans MS"/>
          <w:sz w:val="22"/>
          <w:szCs w:val="22"/>
        </w:rPr>
        <w:t xml:space="preserve">Log loss: 1.018 (a model that just guessed the same probability for everyone would score roughly 1.10 here, so lower is meaningfully better)</w:t>
      </w:r>
    </w:p>
    <w:p>
      <w:pPr>
        <w:pStyle w:val="ListParagraph"/>
        <w:numPr>
          <w:ilvl w:val="0"/>
          <w:numId w:val="2"/>
        </w:numPr>
        <w:spacing w:after="80"/>
      </w:pPr>
      <w:r>
        <w:rPr>
          <w:rFonts w:ascii="Comic Sans MS" w:cs="Comic Sans MS" w:eastAsia="Comic Sans MS" w:hAnsi="Comic Sans MS"/>
          <w:sz w:val="22"/>
          <w:szCs w:val="22"/>
        </w:rPr>
        <w:t xml:space="preserve">Multiclass Brier score: 0.597 (random guessing would score roughly 0.67)</w:t>
      </w:r>
    </w:p>
    <w:p>
      <w:pPr>
        <w:spacing w:after="160"/>
      </w:pPr>
      <w:r>
        <w:rPr>
          <w:rFonts w:ascii="Comic Sans MS" w:cs="Comic Sans MS" w:eastAsia="Comic Sans MS" w:hAnsi="Comic Sans MS"/>
          <w:sz w:val="22"/>
          <w:szCs w:val="22"/>
        </w:rPr>
        <w:t xml:space="preserve">This 52.4% sits within the 50-58% range described as realistic in the earlier document. With 1,717 test matches, the estimate is stable — a few matches going the other way would move it by a fraction of a percentage point. The model's edge over the baseline (52.4% vs 44.4%) is now larger than it was on the three-season run (54.4% vs 46.8%), because the baseline itself dropped — home advantage has weakened across the six seasons, and the model was trained on the older, more home-friendly data.</w:t>
      </w:r>
    </w:p>
    <w:p>
      <w:pPr>
        <w:spacing w:after="160"/>
      </w:pPr>
      <w:r>
        <w:rPr>
          <w:rFonts w:ascii="Comic Sans MS" w:cs="Comic Sans MS" w:eastAsia="Comic Sans MS" w:hAnsi="Comic Sans MS"/>
          <w:sz w:val="22"/>
          <w:szCs w:val="22"/>
        </w:rPr>
        <w:t xml:space="preserve">The coefficients are worth reading directly, because they show the model learned sensible things rather than noise:</w:t>
      </w:r>
    </w:p>
    <w:p>
      <w:pPr>
        <w:shd w:fill="F0F0F0"/>
        <w:spacing w:after="60" w:before="60"/>
        <w:ind w:left="300"/>
      </w:pPr>
      <w:r>
        <w:rPr>
          <w:rFonts w:ascii="Consolas" w:cs="Consolas" w:eastAsia="Consolas" w:hAnsi="Consolas"/>
          <w:sz w:val="20"/>
          <w:szCs w:val="20"/>
        </w:rPr>
        <w:t xml:space="preserve">      elo_diff  form_diff  rest_diff</w:t>
      </w:r>
    </w:p>
    <w:p>
      <w:pPr>
        <w:shd w:fill="F0F0F0"/>
        <w:spacing w:after="60" w:before="60"/>
        <w:ind w:left="300"/>
      </w:pPr>
      <w:r>
        <w:rPr>
          <w:rFonts w:ascii="Consolas" w:cs="Consolas" w:eastAsia="Consolas" w:hAnsi="Consolas"/>
          <w:sz w:val="20"/>
          <w:szCs w:val="20"/>
        </w:rPr>
        <w:t xml:space="preserve">Home    0.0056     0.0693    -0.0143</w:t>
      </w:r>
    </w:p>
    <w:p>
      <w:pPr>
        <w:shd w:fill="F0F0F0"/>
        <w:spacing w:after="60" w:before="60"/>
        <w:ind w:left="300"/>
      </w:pPr>
      <w:r>
        <w:rPr>
          <w:rFonts w:ascii="Consolas" w:cs="Consolas" w:eastAsia="Consolas" w:hAnsi="Consolas"/>
          <w:sz w:val="20"/>
          <w:szCs w:val="20"/>
        </w:rPr>
        <w:t xml:space="preserve">Draw   -0.0009    -0.0470     0.0149</w:t>
      </w:r>
    </w:p>
    <w:p>
      <w:pPr>
        <w:shd w:fill="F0F0F0"/>
        <w:spacing w:after="60" w:before="60"/>
        <w:ind w:left="300"/>
      </w:pPr>
      <w:r>
        <w:rPr>
          <w:rFonts w:ascii="Consolas" w:cs="Consolas" w:eastAsia="Consolas" w:hAnsi="Consolas"/>
          <w:sz w:val="20"/>
          <w:szCs w:val="20"/>
        </w:rPr>
        <w:t xml:space="preserve">Away   -0.0047    -0.0223    -0.0006</w:t>
      </w:r>
    </w:p>
    <w:p>
      <w:pPr>
        <w:spacing w:after="160"/>
      </w:pPr>
      <w:r>
        <w:rPr>
          <w:rFonts w:ascii="Comic Sans MS" w:cs="Comic Sans MS" w:eastAsia="Comic Sans MS" w:hAnsi="Comic Sans MS"/>
          <w:sz w:val="22"/>
          <w:szCs w:val="22"/>
        </w:rPr>
        <w:t xml:space="preserve">A positive elo_diff and form_diff coefficient on the "Home" row means: as the home team's Elo rating and recent form rise relative to the away team's, the model correctly assigns more probability to a home win, and correspondingly less to a draw or away win. This is the model behaving the way a sound football model should, not memorizing arbitrary patterns.</w:t>
      </w:r>
    </w:p>
    <w:p>
      <w:pPr>
        <w:pStyle w:val="Heading1"/>
        <w:spacing w:after="160" w:before="320"/>
      </w:pPr>
      <w:r>
        <w:rPr>
          <w:rFonts w:ascii="Comic Sans MS" w:cs="Comic Sans MS" w:eastAsia="Comic Sans MS" w:hAnsi="Comic Sans MS"/>
          <w:b/>
          <w:bCs/>
          <w:sz w:val="30"/>
          <w:szCs w:val="30"/>
        </w:rPr>
        <w:t xml:space="preserve">6. What a sample prediction actually looks like</w:t>
      </w:r>
    </w:p>
    <w:p>
      <w:pPr>
        <w:spacing w:after="160"/>
      </w:pPr>
      <w:r>
        <w:rPr>
          <w:rFonts w:ascii="Comic Sans MS" w:cs="Comic Sans MS" w:eastAsia="Comic Sans MS" w:hAnsi="Comic Sans MS"/>
          <w:sz w:val="22"/>
          <w:szCs w:val="22"/>
        </w:rPr>
        <w:t xml:space="preserve">For a representative test match, Arsenal at home to Manchester City on January 1, 2022 (which Arsenal lost), the model output was 16% home win, 26% draw, 58% away win — correctly favoring the away win without claiming certainty. That is the intended behavior end to end: not a confident single guess, but a calibrated probability distribution, which is what Step 1 of the original roadmap (redefining the target metric) asked for.</w:t>
      </w:r>
    </w:p>
    <w:p>
      <w:pPr>
        <w:pStyle w:val="Heading1"/>
        <w:spacing w:after="160" w:before="320"/>
      </w:pPr>
      <w:r>
        <w:rPr>
          <w:rFonts w:ascii="Comic Sans MS" w:cs="Comic Sans MS" w:eastAsia="Comic Sans MS" w:hAnsi="Comic Sans MS"/>
          <w:b/>
          <w:bCs/>
          <w:sz w:val="30"/>
          <w:szCs w:val="30"/>
        </w:rPr>
        <w:t xml:space="preserve">7. Honest limitations of this specific run</w:t>
      </w:r>
    </w:p>
    <w:p>
      <w:pPr>
        <w:pStyle w:val="ListParagraph"/>
        <w:numPr>
          <w:ilvl w:val="0"/>
          <w:numId w:val="2"/>
        </w:numPr>
        <w:spacing w:after="80"/>
      </w:pPr>
      <w:r>
        <w:rPr>
          <w:rFonts w:ascii="Comic Sans MS" w:cs="Comic Sans MS" w:eastAsia="Comic Sans MS" w:hAnsi="Comic Sans MS"/>
          <w:sz w:val="22"/>
          <w:szCs w:val="22"/>
        </w:rPr>
        <w:t xml:space="preserve">2,280 matches across 6 full seasons. The accuracy estimate is now stable and the model has been tested against matches from four distinct seasons. Still smaller than the 8-10 seasons a production system would use, but large enough for reliable conclusions.</w:t>
      </w:r>
    </w:p>
    <w:p>
      <w:pPr>
        <w:pStyle w:val="ListParagraph"/>
        <w:numPr>
          <w:ilvl w:val="0"/>
          <w:numId w:val="2"/>
        </w:numPr>
        <w:spacing w:after="80"/>
      </w:pPr>
      <w:r>
        <w:rPr>
          <w:rFonts w:ascii="Comic Sans MS" w:cs="Comic Sans MS" w:eastAsia="Comic Sans MS" w:hAnsi="Comic Sans MS"/>
          <w:sz w:val="22"/>
          <w:szCs w:val="22"/>
        </w:rPr>
        <w:t xml:space="preserve">Only 3 features (Elo, form, rest days) — no head-to-head history, no xG, no injury data, all of which the original roadmap flagged as worth adding.</w:t>
      </w:r>
    </w:p>
    <w:p>
      <w:pPr>
        <w:pStyle w:val="ListParagraph"/>
        <w:numPr>
          <w:ilvl w:val="0"/>
          <w:numId w:val="2"/>
        </w:numPr>
        <w:spacing w:after="80"/>
      </w:pPr>
      <w:r>
        <w:rPr>
          <w:rFonts w:ascii="Comic Sans MS" w:cs="Comic Sans MS" w:eastAsia="Comic Sans MS" w:hAnsi="Comic Sans MS"/>
          <w:sz w:val="22"/>
          <w:szCs w:val="22"/>
        </w:rPr>
        <w:t xml:space="preserve">No hyperparameter tuning — the Elo K-factor and the rolling-form window (5 matches) were reasonable defaults, not the result of a search.</w:t>
      </w:r>
    </w:p>
    <w:p>
      <w:pPr>
        <w:pStyle w:val="ListParagraph"/>
        <w:numPr>
          <w:ilvl w:val="0"/>
          <w:numId w:val="2"/>
        </w:numPr>
        <w:spacing w:after="80"/>
      </w:pPr>
      <w:r>
        <w:rPr>
          <w:rFonts w:ascii="Comic Sans MS" w:cs="Comic Sans MS" w:eastAsia="Comic Sans MS" w:hAnsi="Comic Sans MS"/>
          <w:sz w:val="22"/>
          <w:szCs w:val="22"/>
        </w:rPr>
        <w:t xml:space="preserve">The betting-odds backtest has now been run (see Section 9). The model did not beat the bookmaker's margin at any threshold we tested.</w:t>
      </w:r>
    </w:p>
    <w:p>
      <w:pPr>
        <w:pStyle w:val="ListParagraph"/>
        <w:numPr>
          <w:ilvl w:val="0"/>
          <w:numId w:val="2"/>
        </w:numPr>
        <w:spacing w:after="80"/>
      </w:pPr>
      <w:r>
        <w:rPr>
          <w:rFonts w:ascii="Comic Sans MS" w:cs="Comic Sans MS" w:eastAsia="Comic Sans MS" w:hAnsi="Comic Sans MS"/>
          <w:sz w:val="22"/>
          <w:szCs w:val="22"/>
        </w:rPr>
        <w:t xml:space="preserve">This remains, as established from the start, nowhere near 90%+ accuracy — and the fact that a careful, correctly-validated build lands at roughly 52% is itself the clearest evidence for why that original target was never realistic.</w:t>
      </w:r>
    </w:p>
    <w:p>
      <w:pPr>
        <w:pStyle w:val="Heading1"/>
        <w:spacing w:after="160" w:before="320"/>
      </w:pPr>
      <w:r>
        <w:rPr>
          <w:rFonts w:ascii="Comic Sans MS" w:cs="Comic Sans MS" w:eastAsia="Comic Sans MS" w:hAnsi="Comic Sans MS"/>
          <w:b/>
          <w:bCs/>
          <w:sz w:val="30"/>
          <w:szCs w:val="30"/>
        </w:rPr>
        <w:t xml:space="preserve">8. What a next iteration should actually do</w:t>
      </w:r>
    </w:p>
    <w:p>
      <w:pPr>
        <w:pStyle w:val="ListParagraph"/>
        <w:numPr>
          <w:ilvl w:val="0"/>
          <w:numId w:val="2"/>
        </w:numPr>
        <w:spacing w:after="80"/>
      </w:pPr>
      <w:r>
        <w:rPr>
          <w:rFonts w:ascii="Comic Sans MS" w:cs="Comic Sans MS" w:eastAsia="Comic Sans MS" w:hAnsi="Comic Sans MS"/>
          <w:sz w:val="22"/>
          <w:szCs w:val="22"/>
        </w:rPr>
        <w:t xml:space="preserve">Pull complete data for 8-10 full seasons — Done: we now have 6 full seasons. Expanding further to 8-10 is straightforward if useful.</w:t>
      </w:r>
    </w:p>
    <w:p>
      <w:pPr>
        <w:pStyle w:val="ListParagraph"/>
        <w:numPr>
          <w:ilvl w:val="0"/>
          <w:numId w:val="2"/>
        </w:numPr>
        <w:spacing w:after="80"/>
      </w:pPr>
      <w:r>
        <w:rPr>
          <w:rFonts w:ascii="Comic Sans MS" w:cs="Comic Sans MS" w:eastAsia="Comic Sans MS" w:hAnsi="Comic Sans MS"/>
          <w:sz w:val="22"/>
          <w:szCs w:val="22"/>
        </w:rPr>
        <w:t xml:space="preserve">Add head-to-head history and, if available, rolling xG as features.</w:t>
      </w:r>
    </w:p>
    <w:p>
      <w:pPr>
        <w:pStyle w:val="ListParagraph"/>
        <w:numPr>
          <w:ilvl w:val="0"/>
          <w:numId w:val="2"/>
        </w:numPr>
        <w:spacing w:after="80"/>
      </w:pPr>
      <w:r>
        <w:rPr>
          <w:rFonts w:ascii="Comic Sans MS" w:cs="Comic Sans MS" w:eastAsia="Comic Sans MS" w:hAnsi="Comic Sans MS"/>
          <w:sz w:val="22"/>
          <w:szCs w:val="22"/>
        </w:rPr>
        <w:t xml:space="preserve">Compare the logistic regression baseline against XGBoost and a bivariate Poisson goals model, now that there's a working, leakage-free pipeline to plug them into.</w:t>
      </w:r>
    </w:p>
    <w:p>
      <w:pPr>
        <w:pStyle w:val="ListParagraph"/>
        <w:numPr>
          <w:ilvl w:val="0"/>
          <w:numId w:val="2"/>
        </w:numPr>
        <w:spacing w:after="80"/>
      </w:pPr>
      <w:r>
        <w:rPr>
          <w:rFonts w:ascii="Comic Sans MS" w:cs="Comic Sans MS" w:eastAsia="Comic Sans MS" w:hAnsi="Comic Sans MS"/>
          <w:sz w:val="22"/>
          <w:szCs w:val="22"/>
        </w:rPr>
        <w:t xml:space="preserve">Load historical bookmaker odds and run the ROI backtest — Done: see Section 9. The model's edge is roughly equal to but slightly below Bet365's margin (~5.5% overround).</w:t>
      </w:r>
    </w:p>
    <w:p>
      <w:pPr>
        <w:pStyle w:val="ListParagraph"/>
        <w:numPr>
          <w:ilvl w:val="0"/>
          <w:numId w:val="2"/>
        </w:numPr>
        <w:spacing w:after="80"/>
      </w:pPr>
      <w:r>
        <w:rPr>
          <w:rFonts w:ascii="Comic Sans MS" w:cs="Comic Sans MS" w:eastAsia="Comic Sans MS" w:hAnsi="Comic Sans MS"/>
          <w:sz w:val="22"/>
          <w:szCs w:val="22"/>
        </w:rPr>
        <w:t xml:space="preserve">Wrap the trained model in the Streamlit app — Done: the app is live (link in Section 9 and at the end of this document).</w:t>
      </w:r>
    </w:p>
    <w:p>
      <w:pPr>
        <w:pStyle w:val="Heading1"/>
        <w:spacing w:after="160" w:before="320"/>
      </w:pPr>
      <w:r>
        <w:rPr>
          <w:rFonts w:ascii="Comic Sans MS" w:cs="Comic Sans MS" w:eastAsia="Comic Sans MS" w:hAnsi="Comic Sans MS"/>
          <w:b/>
          <w:bCs/>
          <w:sz w:val="30"/>
          <w:szCs w:val="30"/>
        </w:rPr>
        <w:t xml:space="preserve">9. The betting odds backtest — reported honestly</w:t>
      </w:r>
    </w:p>
    <w:p>
      <w:pPr>
        <w:spacing w:after="160"/>
      </w:pPr>
      <w:r>
        <w:rPr>
          <w:rFonts w:ascii="Comic Sans MS" w:cs="Comic Sans MS" w:eastAsia="Comic Sans MS" w:hAnsi="Comic Sans MS"/>
          <w:sz w:val="22"/>
          <w:szCs w:val="22"/>
        </w:rPr>
        <w:t xml:space="preserve">The write-up from the first document called the odds backtest "the actual test of whether this has any value for the betting use case, separate from whether it's statistically accurate." I've now run it.</w:t>
      </w:r>
    </w:p>
    <w:p>
      <w:pPr>
        <w:pStyle w:val="Heading2"/>
        <w:spacing w:after="120" w:before="240"/>
      </w:pPr>
      <w:r>
        <w:rPr>
          <w:rFonts w:ascii="Comic Sans MS" w:cs="Comic Sans MS" w:eastAsia="Comic Sans MS" w:hAnsi="Comic Sans MS"/>
          <w:b/>
          <w:bCs/>
          <w:sz w:val="26"/>
          <w:szCs w:val="26"/>
        </w:rPr>
        <w:t xml:space="preserve">Method</w:t>
      </w:r>
    </w:p>
    <w:p>
      <w:pPr>
        <w:spacing w:after="160"/>
      </w:pPr>
      <w:r>
        <w:rPr>
          <w:rFonts w:ascii="Comic Sans MS" w:cs="Comic Sans MS" w:eastAsia="Comic Sans MS" w:hAnsi="Comic Sans MS"/>
          <w:sz w:val="22"/>
          <w:szCs w:val="22"/>
        </w:rPr>
        <w:t xml:space="preserve">The football-data.co.uk CSVs include Bet365's pre-match odds (B365H, B365D, B365A) for every match. For each of the 1,717 test matches, I:</w:t>
      </w:r>
    </w:p>
    <w:p>
      <w:pPr>
        <w:pStyle w:val="ListParagraph"/>
        <w:numPr>
          <w:ilvl w:val="0"/>
          <w:numId w:val="2"/>
        </w:numPr>
        <w:spacing w:after="80"/>
      </w:pPr>
      <w:r>
        <w:rPr>
          <w:rFonts w:ascii="Comic Sans MS" w:cs="Comic Sans MS" w:eastAsia="Comic Sans MS" w:hAnsi="Comic Sans MS"/>
          <w:sz w:val="22"/>
          <w:szCs w:val="22"/>
        </w:rPr>
        <w:t xml:space="preserve">Converted Bet365's odds into fair implied probabilities by removing the bookmaker's margin (the "overround"). Across the test set, Bet365's average overround was 5.46%.</w:t>
      </w:r>
    </w:p>
    <w:p>
      <w:pPr>
        <w:pStyle w:val="ListParagraph"/>
        <w:numPr>
          <w:ilvl w:val="0"/>
          <w:numId w:val="2"/>
        </w:numPr>
        <w:spacing w:after="80"/>
      </w:pPr>
      <w:r>
        <w:rPr>
          <w:rFonts w:ascii="Comic Sans MS" w:cs="Comic Sans MS" w:eastAsia="Comic Sans MS" w:hAnsi="Comic Sans MS"/>
          <w:sz w:val="22"/>
          <w:szCs w:val="22"/>
        </w:rPr>
        <w:t xml:space="preserve">Compared the model's probability for each outcome to Bet365's fair probability.</w:t>
      </w:r>
    </w:p>
    <w:p>
      <w:pPr>
        <w:pStyle w:val="ListParagraph"/>
        <w:numPr>
          <w:ilvl w:val="0"/>
          <w:numId w:val="2"/>
        </w:numPr>
        <w:spacing w:after="80"/>
      </w:pPr>
      <w:r>
        <w:rPr>
          <w:rFonts w:ascii="Comic Sans MS" w:cs="Comic Sans MS" w:eastAsia="Comic Sans MS" w:hAnsi="Comic Sans MS"/>
          <w:sz w:val="22"/>
          <w:szCs w:val="22"/>
        </w:rPr>
        <w:t xml:space="preserve">Placed a £1 bet on any outcome where the model's probability exceeded Bet365's by more than a chosen threshold.</w:t>
      </w:r>
    </w:p>
    <w:p>
      <w:pPr>
        <w:pStyle w:val="ListParagraph"/>
        <w:numPr>
          <w:ilvl w:val="0"/>
          <w:numId w:val="2"/>
        </w:numPr>
        <w:spacing w:after="80"/>
      </w:pPr>
      <w:r>
        <w:rPr>
          <w:rFonts w:ascii="Comic Sans MS" w:cs="Comic Sans MS" w:eastAsia="Comic Sans MS" w:hAnsi="Comic Sans MS"/>
          <w:sz w:val="22"/>
          <w:szCs w:val="22"/>
        </w:rPr>
        <w:t xml:space="preserve">Computed total profit/loss and return on investment (ROI) at the end.</w:t>
      </w:r>
    </w:p>
    <w:p>
      <w:pPr>
        <w:pStyle w:val="Heading2"/>
        <w:spacing w:after="120" w:before="240"/>
      </w:pPr>
      <w:r>
        <w:rPr>
          <w:rFonts w:ascii="Comic Sans MS" w:cs="Comic Sans MS" w:eastAsia="Comic Sans MS" w:hAnsi="Comic Sans MS"/>
          <w:b/>
          <w:bCs/>
          <w:sz w:val="26"/>
          <w:szCs w:val="26"/>
        </w:rPr>
        <w:t xml:space="preserve">Baseline result (5% threshold, bet on all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E6F5" w:val="clear"/>
          </w:tcPr>
          <w:p>
            <w:r>
              <w:rPr>
                <w:rFonts w:ascii="Comic Sans MS" w:cs="Comic Sans MS" w:eastAsia="Comic Sans MS" w:hAnsi="Comic Sans MS"/>
                <w:b/>
                <w:bCs/>
                <w:sz w:val="20"/>
                <w:szCs w:val="20"/>
              </w:rPr>
              <w:t xml:space="preserve">Metric</w:t>
            </w:r>
          </w:p>
        </w:tc>
        <w:tc>
          <w:tcPr>
            <w:tcW w:type="pct" w:w="25%"/>
            <w:shd w:fill="DDE6F5" w:val="clear"/>
          </w:tcPr>
          <w:p>
            <w:r>
              <w:rPr>
                <w:rFonts w:ascii="Comic Sans MS" w:cs="Comic Sans MS" w:eastAsia="Comic Sans MS" w:hAnsi="Comic Sans MS"/>
                <w:b/>
                <w:bCs/>
                <w:sz w:val="20"/>
                <w:szCs w:val="20"/>
              </w:rPr>
              <w:t xml:space="preserve">Value</w:t>
            </w:r>
          </w:p>
        </w:tc>
      </w:tr>
      <w:tr>
        <w:tc>
          <w:tcPr>
            <w:tcW w:type="pct" w:w="25%"/>
          </w:tcPr>
          <w:p>
            <w:r>
              <w:rPr>
                <w:rFonts w:ascii="Comic Sans MS" w:cs="Comic Sans MS" w:eastAsia="Comic Sans MS" w:hAnsi="Comic Sans MS"/>
                <w:b w:val="false"/>
                <w:bCs w:val="false"/>
                <w:sz w:val="20"/>
                <w:szCs w:val="20"/>
              </w:rPr>
              <w:t xml:space="preserve">Bets placed</w:t>
            </w:r>
          </w:p>
        </w:tc>
        <w:tc>
          <w:tcPr>
            <w:tcW w:type="pct" w:w="25%"/>
          </w:tcPr>
          <w:p>
            <w:r>
              <w:rPr>
                <w:rFonts w:ascii="Comic Sans MS" w:cs="Comic Sans MS" w:eastAsia="Comic Sans MS" w:hAnsi="Comic Sans MS"/>
                <w:b w:val="false"/>
                <w:bCs w:val="false"/>
                <w:sz w:val="20"/>
                <w:szCs w:val="20"/>
              </w:rPr>
              <w:t xml:space="preserve">1,247</w:t>
            </w:r>
          </w:p>
        </w:tc>
      </w:tr>
      <w:tr>
        <w:tc>
          <w:tcPr>
            <w:tcW w:type="pct" w:w="25%"/>
          </w:tcPr>
          <w:p>
            <w:r>
              <w:rPr>
                <w:rFonts w:ascii="Comic Sans MS" w:cs="Comic Sans MS" w:eastAsia="Comic Sans MS" w:hAnsi="Comic Sans MS"/>
                <w:b w:val="false"/>
                <w:bCs w:val="false"/>
                <w:sz w:val="20"/>
                <w:szCs w:val="20"/>
              </w:rPr>
              <w:t xml:space="preserve">Total staked</w:t>
            </w:r>
          </w:p>
        </w:tc>
        <w:tc>
          <w:tcPr>
            <w:tcW w:type="pct" w:w="25%"/>
          </w:tcPr>
          <w:p>
            <w:r>
              <w:rPr>
                <w:rFonts w:ascii="Comic Sans MS" w:cs="Comic Sans MS" w:eastAsia="Comic Sans MS" w:hAnsi="Comic Sans MS"/>
                <w:b w:val="false"/>
                <w:bCs w:val="false"/>
                <w:sz w:val="20"/>
                <w:szCs w:val="20"/>
              </w:rPr>
              <w:t xml:space="preserve">£1,247.00</w:t>
            </w:r>
          </w:p>
        </w:tc>
      </w:tr>
      <w:tr>
        <w:tc>
          <w:tcPr>
            <w:tcW w:type="pct" w:w="25%"/>
          </w:tcPr>
          <w:p>
            <w:r>
              <w:rPr>
                <w:rFonts w:ascii="Comic Sans MS" w:cs="Comic Sans MS" w:eastAsia="Comic Sans MS" w:hAnsi="Comic Sans MS"/>
                <w:b w:val="false"/>
                <w:bCs w:val="false"/>
                <w:sz w:val="20"/>
                <w:szCs w:val="20"/>
              </w:rPr>
              <w:t xml:space="preserve">Net profit/loss</w:t>
            </w:r>
          </w:p>
        </w:tc>
        <w:tc>
          <w:tcPr>
            <w:tcW w:type="pct" w:w="25%"/>
          </w:tcPr>
          <w:p>
            <w:r>
              <w:rPr>
                <w:rFonts w:ascii="Comic Sans MS" w:cs="Comic Sans MS" w:eastAsia="Comic Sans MS" w:hAnsi="Comic Sans MS"/>
                <w:b w:val="false"/>
                <w:bCs w:val="false"/>
                <w:sz w:val="20"/>
                <w:szCs w:val="20"/>
              </w:rPr>
              <w:t xml:space="preserve">−£28.86</w:t>
            </w:r>
          </w:p>
        </w:tc>
      </w:tr>
      <w:tr>
        <w:tc>
          <w:tcPr>
            <w:tcW w:type="pct" w:w="25%"/>
          </w:tcPr>
          <w:p>
            <w:r>
              <w:rPr>
                <w:rFonts w:ascii="Comic Sans MS" w:cs="Comic Sans MS" w:eastAsia="Comic Sans MS" w:hAnsi="Comic Sans MS"/>
                <w:b w:val="false"/>
                <w:bCs w:val="false"/>
                <w:sz w:val="20"/>
                <w:szCs w:val="20"/>
              </w:rPr>
              <w:t xml:space="preserve">ROI</w:t>
            </w:r>
          </w:p>
        </w:tc>
        <w:tc>
          <w:tcPr>
            <w:tcW w:type="pct" w:w="25%"/>
          </w:tcPr>
          <w:p>
            <w:r>
              <w:rPr>
                <w:rFonts w:ascii="Comic Sans MS" w:cs="Comic Sans MS" w:eastAsia="Comic Sans MS" w:hAnsi="Comic Sans MS"/>
                <w:b w:val="false"/>
                <w:bCs w:val="false"/>
                <w:sz w:val="20"/>
                <w:szCs w:val="20"/>
              </w:rPr>
              <w:t xml:space="preserve">−2.31%</w:t>
            </w:r>
          </w:p>
        </w:tc>
      </w:tr>
      <w:tr>
        <w:tc>
          <w:tcPr>
            <w:tcW w:type="pct" w:w="25%"/>
          </w:tcPr>
          <w:p>
            <w:r>
              <w:rPr>
                <w:rFonts w:ascii="Comic Sans MS" w:cs="Comic Sans MS" w:eastAsia="Comic Sans MS" w:hAnsi="Comic Sans MS"/>
                <w:b w:val="false"/>
                <w:bCs w:val="false"/>
                <w:sz w:val="20"/>
                <w:szCs w:val="20"/>
              </w:rPr>
              <w:t xml:space="preserve">Win rate</w:t>
            </w:r>
          </w:p>
        </w:tc>
        <w:tc>
          <w:tcPr>
            <w:tcW w:type="pct" w:w="25%"/>
          </w:tcPr>
          <w:p>
            <w:r>
              <w:rPr>
                <w:rFonts w:ascii="Comic Sans MS" w:cs="Comic Sans MS" w:eastAsia="Comic Sans MS" w:hAnsi="Comic Sans MS"/>
                <w:b w:val="false"/>
                <w:bCs w:val="false"/>
                <w:sz w:val="20"/>
                <w:szCs w:val="20"/>
              </w:rPr>
              <w:t xml:space="preserve">42.2%</w:t>
            </w:r>
          </w:p>
        </w:tc>
      </w:tr>
    </w:tbl>
    <w:p>
      <w:pPr>
        <w:spacing w:after="160"/>
      </w:pPr>
    </w:p>
    <w:p>
      <w:pPr>
        <w:spacing w:after="160"/>
      </w:pPr>
      <w:r>
        <w:rPr>
          <w:rFonts w:ascii="Comic Sans MS" w:cs="Comic Sans MS" w:eastAsia="Comic Sans MS" w:hAnsi="Comic Sans MS"/>
          <w:sz w:val="22"/>
          <w:szCs w:val="22"/>
        </w:rPr>
        <w:t xml:space="preserve">The model loses money against Bet365's prices. At the standard 5% threshold, it placed over a thousand bets and lost about 2.3% of the money staked. This is a small loss, but it's the honest answer to the question the write-up posed.</w:t>
      </w:r>
    </w:p>
    <w:p>
      <w:pPr>
        <w:pStyle w:val="Heading2"/>
        <w:spacing w:after="120" w:before="240"/>
      </w:pPr>
      <w:r>
        <w:rPr>
          <w:rFonts w:ascii="Comic Sans MS" w:cs="Comic Sans MS" w:eastAsia="Comic Sans MS" w:hAnsi="Comic Sans MS"/>
          <w:b/>
          <w:bCs/>
          <w:sz w:val="26"/>
          <w:szCs w:val="26"/>
        </w:rPr>
        <w:t xml:space="preserve">The role of the threshold</w:t>
      </w:r>
    </w:p>
    <w:p>
      <w:pPr>
        <w:spacing w:after="160"/>
      </w:pPr>
      <w:r>
        <w:rPr>
          <w:rFonts w:ascii="Comic Sans MS" w:cs="Comic Sans MS" w:eastAsia="Comic Sans MS" w:hAnsi="Comic Sans MS"/>
          <w:sz w:val="22"/>
          <w:szCs w:val="22"/>
        </w:rPr>
        <w:t xml:space="preserve">I tested several thresholds to see whether the model's edge concentrates at higher conviction: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DDE6F5" w:val="clear"/>
          </w:tcPr>
          <w:p>
            <w:r>
              <w:rPr>
                <w:rFonts w:ascii="Comic Sans MS" w:cs="Comic Sans MS" w:eastAsia="Comic Sans MS" w:hAnsi="Comic Sans MS"/>
                <w:b/>
                <w:bCs/>
                <w:sz w:val="20"/>
                <w:szCs w:val="20"/>
              </w:rPr>
              <w:t xml:space="preserve">Threshold</w:t>
            </w:r>
          </w:p>
        </w:tc>
        <w:tc>
          <w:tcPr>
            <w:tcW w:type="pct" w:w="25%"/>
            <w:shd w:fill="DDE6F5" w:val="clear"/>
          </w:tcPr>
          <w:p>
            <w:r>
              <w:rPr>
                <w:rFonts w:ascii="Comic Sans MS" w:cs="Comic Sans MS" w:eastAsia="Comic Sans MS" w:hAnsi="Comic Sans MS"/>
                <w:b/>
                <w:bCs/>
                <w:sz w:val="20"/>
                <w:szCs w:val="20"/>
              </w:rPr>
              <w:t xml:space="preserve">Bets</w:t>
            </w:r>
          </w:p>
        </w:tc>
        <w:tc>
          <w:tcPr>
            <w:tcW w:type="pct" w:w="25%"/>
            <w:shd w:fill="DDE6F5" w:val="clear"/>
          </w:tcPr>
          <w:p>
            <w:r>
              <w:rPr>
                <w:rFonts w:ascii="Comic Sans MS" w:cs="Comic Sans MS" w:eastAsia="Comic Sans MS" w:hAnsi="Comic Sans MS"/>
                <w:b/>
                <w:bCs/>
                <w:sz w:val="20"/>
                <w:szCs w:val="20"/>
              </w:rPr>
              <w:t xml:space="preserve">ROI</w:t>
            </w:r>
          </w:p>
        </w:tc>
      </w:tr>
      <w:tr>
        <w:tc>
          <w:tcPr>
            <w:tcW w:type="pct" w:w="25%"/>
          </w:tcPr>
          <w:p>
            <w:r>
              <w:rPr>
                <w:rFonts w:ascii="Comic Sans MS" w:cs="Comic Sans MS" w:eastAsia="Comic Sans MS" w:hAnsi="Comic Sans MS"/>
                <w:b w:val="false"/>
                <w:bCs w:val="false"/>
                <w:sz w:val="20"/>
                <w:szCs w:val="20"/>
              </w:rPr>
              <w:t xml:space="preserve">3%</w:t>
            </w:r>
          </w:p>
        </w:tc>
        <w:tc>
          <w:tcPr>
            <w:tcW w:type="pct" w:w="25%"/>
          </w:tcPr>
          <w:p>
            <w:r>
              <w:rPr>
                <w:rFonts w:ascii="Comic Sans MS" w:cs="Comic Sans MS" w:eastAsia="Comic Sans MS" w:hAnsi="Comic Sans MS"/>
                <w:b w:val="false"/>
                <w:bCs w:val="false"/>
                <w:sz w:val="20"/>
                <w:szCs w:val="20"/>
              </w:rPr>
              <w:t xml:space="preserve">1,558</w:t>
            </w:r>
          </w:p>
        </w:tc>
        <w:tc>
          <w:tcPr>
            <w:tcW w:type="pct" w:w="25%"/>
          </w:tcPr>
          <w:p>
            <w:r>
              <w:rPr>
                <w:rFonts w:ascii="Comic Sans MS" w:cs="Comic Sans MS" w:eastAsia="Comic Sans MS" w:hAnsi="Comic Sans MS"/>
                <w:b w:val="false"/>
                <w:bCs w:val="false"/>
                <w:sz w:val="20"/>
                <w:szCs w:val="20"/>
              </w:rPr>
              <w:t xml:space="preserve">−3.60%</w:t>
            </w:r>
          </w:p>
        </w:tc>
      </w:tr>
      <w:tr>
        <w:tc>
          <w:tcPr>
            <w:tcW w:type="pct" w:w="25%"/>
          </w:tcPr>
          <w:p>
            <w:r>
              <w:rPr>
                <w:rFonts w:ascii="Comic Sans MS" w:cs="Comic Sans MS" w:eastAsia="Comic Sans MS" w:hAnsi="Comic Sans MS"/>
                <w:b w:val="false"/>
                <w:bCs w:val="false"/>
                <w:sz w:val="20"/>
                <w:szCs w:val="20"/>
              </w:rPr>
              <w:t xml:space="preserve">5%</w:t>
            </w:r>
          </w:p>
        </w:tc>
        <w:tc>
          <w:tcPr>
            <w:tcW w:type="pct" w:w="25%"/>
          </w:tcPr>
          <w:p>
            <w:r>
              <w:rPr>
                <w:rFonts w:ascii="Comic Sans MS" w:cs="Comic Sans MS" w:eastAsia="Comic Sans MS" w:hAnsi="Comic Sans MS"/>
                <w:b w:val="false"/>
                <w:bCs w:val="false"/>
                <w:sz w:val="20"/>
                <w:szCs w:val="20"/>
              </w:rPr>
              <w:t xml:space="preserve">1,247</w:t>
            </w:r>
          </w:p>
        </w:tc>
        <w:tc>
          <w:tcPr>
            <w:tcW w:type="pct" w:w="25%"/>
          </w:tcPr>
          <w:p>
            <w:r>
              <w:rPr>
                <w:rFonts w:ascii="Comic Sans MS" w:cs="Comic Sans MS" w:eastAsia="Comic Sans MS" w:hAnsi="Comic Sans MS"/>
                <w:b w:val="false"/>
                <w:bCs w:val="false"/>
                <w:sz w:val="20"/>
                <w:szCs w:val="20"/>
              </w:rPr>
              <w:t xml:space="preserve">−2.31%</w:t>
            </w:r>
          </w:p>
        </w:tc>
      </w:tr>
      <w:tr>
        <w:tc>
          <w:tcPr>
            <w:tcW w:type="pct" w:w="25%"/>
          </w:tcPr>
          <w:p>
            <w:r>
              <w:rPr>
                <w:rFonts w:ascii="Comic Sans MS" w:cs="Comic Sans MS" w:eastAsia="Comic Sans MS" w:hAnsi="Comic Sans MS"/>
                <w:b w:val="false"/>
                <w:bCs w:val="false"/>
                <w:sz w:val="20"/>
                <w:szCs w:val="20"/>
              </w:rPr>
              <w:t xml:space="preserve">8%</w:t>
            </w:r>
          </w:p>
        </w:tc>
        <w:tc>
          <w:tcPr>
            <w:tcW w:type="pct" w:w="25%"/>
          </w:tcPr>
          <w:p>
            <w:r>
              <w:rPr>
                <w:rFonts w:ascii="Comic Sans MS" w:cs="Comic Sans MS" w:eastAsia="Comic Sans MS" w:hAnsi="Comic Sans MS"/>
                <w:b w:val="false"/>
                <w:bCs w:val="false"/>
                <w:sz w:val="20"/>
                <w:szCs w:val="20"/>
              </w:rPr>
              <w:t xml:space="preserve">879</w:t>
            </w:r>
          </w:p>
        </w:tc>
        <w:tc>
          <w:tcPr>
            <w:tcW w:type="pct" w:w="25%"/>
          </w:tcPr>
          <w:p>
            <w:r>
              <w:rPr>
                <w:rFonts w:ascii="Comic Sans MS" w:cs="Comic Sans MS" w:eastAsia="Comic Sans MS" w:hAnsi="Comic Sans MS"/>
                <w:b w:val="false"/>
                <w:bCs w:val="false"/>
                <w:sz w:val="20"/>
                <w:szCs w:val="20"/>
              </w:rPr>
              <w:t xml:space="preserve">−4.57%</w:t>
            </w:r>
          </w:p>
        </w:tc>
      </w:tr>
      <w:tr>
        <w:tc>
          <w:tcPr>
            <w:tcW w:type="pct" w:w="25%"/>
          </w:tcPr>
          <w:p>
            <w:r>
              <w:rPr>
                <w:rFonts w:ascii="Comic Sans MS" w:cs="Comic Sans MS" w:eastAsia="Comic Sans MS" w:hAnsi="Comic Sans MS"/>
                <w:b w:val="false"/>
                <w:bCs w:val="false"/>
                <w:sz w:val="20"/>
                <w:szCs w:val="20"/>
              </w:rPr>
              <w:t xml:space="preserve">10%</w:t>
            </w:r>
          </w:p>
        </w:tc>
        <w:tc>
          <w:tcPr>
            <w:tcW w:type="pct" w:w="25%"/>
          </w:tcPr>
          <w:p>
            <w:r>
              <w:rPr>
                <w:rFonts w:ascii="Comic Sans MS" w:cs="Comic Sans MS" w:eastAsia="Comic Sans MS" w:hAnsi="Comic Sans MS"/>
                <w:b w:val="false"/>
                <w:bCs w:val="false"/>
                <w:sz w:val="20"/>
                <w:szCs w:val="20"/>
              </w:rPr>
              <w:t xml:space="preserve">668</w:t>
            </w:r>
          </w:p>
        </w:tc>
        <w:tc>
          <w:tcPr>
            <w:tcW w:type="pct" w:w="25%"/>
          </w:tcPr>
          <w:p>
            <w:r>
              <w:rPr>
                <w:rFonts w:ascii="Comic Sans MS" w:cs="Comic Sans MS" w:eastAsia="Comic Sans MS" w:hAnsi="Comic Sans MS"/>
                <w:b w:val="false"/>
                <w:bCs w:val="false"/>
                <w:sz w:val="20"/>
                <w:szCs w:val="20"/>
              </w:rPr>
              <w:t xml:space="preserve">−0.46%</w:t>
            </w:r>
          </w:p>
        </w:tc>
      </w:tr>
      <w:tr>
        <w:tc>
          <w:tcPr>
            <w:tcW w:type="pct" w:w="25%"/>
          </w:tcPr>
          <w:p>
            <w:r>
              <w:rPr>
                <w:rFonts w:ascii="Comic Sans MS" w:cs="Comic Sans MS" w:eastAsia="Comic Sans MS" w:hAnsi="Comic Sans MS"/>
                <w:b w:val="false"/>
                <w:bCs w:val="false"/>
                <w:sz w:val="20"/>
                <w:szCs w:val="20"/>
              </w:rPr>
              <w:t xml:space="preserve">12%</w:t>
            </w:r>
          </w:p>
        </w:tc>
        <w:tc>
          <w:tcPr>
            <w:tcW w:type="pct" w:w="25%"/>
          </w:tcPr>
          <w:p>
            <w:r>
              <w:rPr>
                <w:rFonts w:ascii="Comic Sans MS" w:cs="Comic Sans MS" w:eastAsia="Comic Sans MS" w:hAnsi="Comic Sans MS"/>
                <w:b w:val="false"/>
                <w:bCs w:val="false"/>
                <w:sz w:val="20"/>
                <w:szCs w:val="20"/>
              </w:rPr>
              <w:t xml:space="preserve">488</w:t>
            </w:r>
          </w:p>
        </w:tc>
        <w:tc>
          <w:tcPr>
            <w:tcW w:type="pct" w:w="25%"/>
          </w:tcPr>
          <w:p>
            <w:r>
              <w:rPr>
                <w:rFonts w:ascii="Comic Sans MS" w:cs="Comic Sans MS" w:eastAsia="Comic Sans MS" w:hAnsi="Comic Sans MS"/>
                <w:b w:val="false"/>
                <w:bCs w:val="false"/>
                <w:sz w:val="20"/>
                <w:szCs w:val="20"/>
              </w:rPr>
              <w:t xml:space="preserve">+2.08%</w:t>
            </w:r>
          </w:p>
        </w:tc>
      </w:tr>
      <w:tr>
        <w:tc>
          <w:tcPr>
            <w:tcW w:type="pct" w:w="25%"/>
          </w:tcPr>
          <w:p>
            <w:r>
              <w:rPr>
                <w:rFonts w:ascii="Comic Sans MS" w:cs="Comic Sans MS" w:eastAsia="Comic Sans MS" w:hAnsi="Comic Sans MS"/>
                <w:b w:val="false"/>
                <w:bCs w:val="false"/>
                <w:sz w:val="20"/>
                <w:szCs w:val="20"/>
              </w:rPr>
              <w:t xml:space="preserve">15%</w:t>
            </w:r>
          </w:p>
        </w:tc>
        <w:tc>
          <w:tcPr>
            <w:tcW w:type="pct" w:w="25%"/>
          </w:tcPr>
          <w:p>
            <w:r>
              <w:rPr>
                <w:rFonts w:ascii="Comic Sans MS" w:cs="Comic Sans MS" w:eastAsia="Comic Sans MS" w:hAnsi="Comic Sans MS"/>
                <w:b w:val="false"/>
                <w:bCs w:val="false"/>
                <w:sz w:val="20"/>
                <w:szCs w:val="20"/>
              </w:rPr>
              <w:t xml:space="preserve">282</w:t>
            </w:r>
          </w:p>
        </w:tc>
        <w:tc>
          <w:tcPr>
            <w:tcW w:type="pct" w:w="25%"/>
          </w:tcPr>
          <w:p>
            <w:r>
              <w:rPr>
                <w:rFonts w:ascii="Comic Sans MS" w:cs="Comic Sans MS" w:eastAsia="Comic Sans MS" w:hAnsi="Comic Sans MS"/>
                <w:b w:val="false"/>
                <w:bCs w:val="false"/>
                <w:sz w:val="20"/>
                <w:szCs w:val="20"/>
              </w:rPr>
              <w:t xml:space="preserve">+1.68%</w:t>
            </w:r>
          </w:p>
        </w:tc>
      </w:tr>
    </w:tbl>
    <w:p>
      <w:pPr>
        <w:spacing w:after="160"/>
      </w:pPr>
    </w:p>
    <w:p>
      <w:pPr>
        <w:spacing w:after="160"/>
      </w:pPr>
      <w:r>
        <w:rPr>
          <w:rFonts w:ascii="Comic Sans MS" w:cs="Comic Sans MS" w:eastAsia="Comic Sans MS" w:hAnsi="Comic Sans MS"/>
          <w:sz w:val="22"/>
          <w:szCs w:val="22"/>
        </w:rPr>
        <w:t xml:space="preserve">At 12% and 15% the model produced a positive return. But these numbers are inside the noise band: with 282–488 bets, random variance alone would produce swings of this size. There's no reliable evidence of a real edge.</w:t>
      </w:r>
    </w:p>
    <w:p>
      <w:pPr>
        <w:pStyle w:val="Heading2"/>
        <w:spacing w:after="120" w:before="240"/>
      </w:pPr>
      <w:r>
        <w:rPr>
          <w:rFonts w:ascii="Comic Sans MS" w:cs="Comic Sans MS" w:eastAsia="Comic Sans MS" w:hAnsi="Comic Sans MS"/>
          <w:b/>
          <w:bCs/>
          <w:sz w:val="26"/>
          <w:szCs w:val="26"/>
        </w:rPr>
        <w:t xml:space="preserve">Where the losses come from</w:t>
      </w:r>
    </w:p>
    <w:p>
      <w:pPr>
        <w:spacing w:after="160"/>
      </w:pPr>
      <w:r>
        <w:rPr>
          <w:rFonts w:ascii="Comic Sans MS" w:cs="Comic Sans MS" w:eastAsia="Comic Sans MS" w:hAnsi="Comic Sans MS"/>
          <w:sz w:val="22"/>
          <w:szCs w:val="22"/>
        </w:rPr>
        <w:t xml:space="preserve">Breaking down by outcome at the 5% threshold: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shd w:fill="DDE6F5" w:val="clear"/>
          </w:tcPr>
          <w:p>
            <w:r>
              <w:rPr>
                <w:rFonts w:ascii="Comic Sans MS" w:cs="Comic Sans MS" w:eastAsia="Comic Sans MS" w:hAnsi="Comic Sans MS"/>
                <w:b/>
                <w:bCs/>
                <w:sz w:val="20"/>
                <w:szCs w:val="20"/>
              </w:rPr>
              <w:t xml:space="preserve">Outcome</w:t>
            </w:r>
          </w:p>
        </w:tc>
        <w:tc>
          <w:tcPr>
            <w:tcW w:type="pct" w:w="25%"/>
            <w:shd w:fill="DDE6F5" w:val="clear"/>
          </w:tcPr>
          <w:p>
            <w:r>
              <w:rPr>
                <w:rFonts w:ascii="Comic Sans MS" w:cs="Comic Sans MS" w:eastAsia="Comic Sans MS" w:hAnsi="Comic Sans MS"/>
                <w:b/>
                <w:bCs/>
                <w:sz w:val="20"/>
                <w:szCs w:val="20"/>
              </w:rPr>
              <w:t xml:space="preserve">Bets</w:t>
            </w:r>
          </w:p>
        </w:tc>
        <w:tc>
          <w:tcPr>
            <w:tcW w:type="pct" w:w="25%"/>
            <w:shd w:fill="DDE6F5" w:val="clear"/>
          </w:tcPr>
          <w:p>
            <w:r>
              <w:rPr>
                <w:rFonts w:ascii="Comic Sans MS" w:cs="Comic Sans MS" w:eastAsia="Comic Sans MS" w:hAnsi="Comic Sans MS"/>
                <w:b/>
                <w:bCs/>
                <w:sz w:val="20"/>
                <w:szCs w:val="20"/>
              </w:rPr>
              <w:t xml:space="preserve">Win rate</w:t>
            </w:r>
          </w:p>
        </w:tc>
        <w:tc>
          <w:tcPr>
            <w:tcW w:type="pct" w:w="25%"/>
            <w:shd w:fill="DDE6F5" w:val="clear"/>
          </w:tcPr>
          <w:p>
            <w:r>
              <w:rPr>
                <w:rFonts w:ascii="Comic Sans MS" w:cs="Comic Sans MS" w:eastAsia="Comic Sans MS" w:hAnsi="Comic Sans MS"/>
                <w:b/>
                <w:bCs/>
                <w:sz w:val="20"/>
                <w:szCs w:val="20"/>
              </w:rPr>
              <w:t xml:space="preserve">Profit</w:t>
            </w:r>
          </w:p>
        </w:tc>
        <w:tc>
          <w:tcPr>
            <w:tcW w:type="pct" w:w="25%"/>
            <w:shd w:fill="DDE6F5" w:val="clear"/>
          </w:tcPr>
          <w:p>
            <w:r>
              <w:rPr>
                <w:rFonts w:ascii="Comic Sans MS" w:cs="Comic Sans MS" w:eastAsia="Comic Sans MS" w:hAnsi="Comic Sans MS"/>
                <w:b/>
                <w:bCs/>
                <w:sz w:val="20"/>
                <w:szCs w:val="20"/>
              </w:rPr>
              <w:t xml:space="preserve">ROI</w:t>
            </w:r>
          </w:p>
        </w:tc>
      </w:tr>
      <w:tr>
        <w:tc>
          <w:tcPr>
            <w:tcW w:type="pct" w:w="25%"/>
          </w:tcPr>
          <w:p>
            <w:r>
              <w:rPr>
                <w:rFonts w:ascii="Comic Sans MS" w:cs="Comic Sans MS" w:eastAsia="Comic Sans MS" w:hAnsi="Comic Sans MS"/>
                <w:b w:val="false"/>
                <w:bCs w:val="false"/>
                <w:sz w:val="20"/>
                <w:szCs w:val="20"/>
              </w:rPr>
              <w:t xml:space="preserve">Home</w:t>
            </w:r>
          </w:p>
        </w:tc>
        <w:tc>
          <w:tcPr>
            <w:tcW w:type="pct" w:w="25%"/>
          </w:tcPr>
          <w:p>
            <w:r>
              <w:rPr>
                <w:rFonts w:ascii="Comic Sans MS" w:cs="Comic Sans MS" w:eastAsia="Comic Sans MS" w:hAnsi="Comic Sans MS"/>
                <w:b w:val="false"/>
                <w:bCs w:val="false"/>
                <w:sz w:val="20"/>
                <w:szCs w:val="20"/>
              </w:rPr>
              <w:t xml:space="preserve">321</w:t>
            </w:r>
          </w:p>
        </w:tc>
        <w:tc>
          <w:tcPr>
            <w:tcW w:type="pct" w:w="25%"/>
          </w:tcPr>
          <w:p>
            <w:r>
              <w:rPr>
                <w:rFonts w:ascii="Comic Sans MS" w:cs="Comic Sans MS" w:eastAsia="Comic Sans MS" w:hAnsi="Comic Sans MS"/>
                <w:b w:val="false"/>
                <w:bCs w:val="false"/>
                <w:sz w:val="20"/>
                <w:szCs w:val="20"/>
              </w:rPr>
              <w:t xml:space="preserve">57.0%</w:t>
            </w:r>
          </w:p>
        </w:tc>
        <w:tc>
          <w:tcPr>
            <w:tcW w:type="pct" w:w="25%"/>
          </w:tcPr>
          <w:p>
            <w:r>
              <w:rPr>
                <w:rFonts w:ascii="Comic Sans MS" w:cs="Comic Sans MS" w:eastAsia="Comic Sans MS" w:hAnsi="Comic Sans MS"/>
                <w:b w:val="false"/>
                <w:bCs w:val="false"/>
                <w:sz w:val="20"/>
                <w:szCs w:val="20"/>
              </w:rPr>
              <w:t xml:space="preserve">−£17.87</w:t>
            </w:r>
          </w:p>
        </w:tc>
        <w:tc>
          <w:tcPr>
            <w:tcW w:type="pct" w:w="25%"/>
          </w:tcPr>
          <w:p>
            <w:r>
              <w:rPr>
                <w:rFonts w:ascii="Comic Sans MS" w:cs="Comic Sans MS" w:eastAsia="Comic Sans MS" w:hAnsi="Comic Sans MS"/>
                <w:b w:val="false"/>
                <w:bCs w:val="false"/>
                <w:sz w:val="20"/>
                <w:szCs w:val="20"/>
              </w:rPr>
              <w:t xml:space="preserve">−5.57%</w:t>
            </w:r>
          </w:p>
        </w:tc>
      </w:tr>
      <w:tr>
        <w:tc>
          <w:tcPr>
            <w:tcW w:type="pct" w:w="25%"/>
          </w:tcPr>
          <w:p>
            <w:r>
              <w:rPr>
                <w:rFonts w:ascii="Comic Sans MS" w:cs="Comic Sans MS" w:eastAsia="Comic Sans MS" w:hAnsi="Comic Sans MS"/>
                <w:b w:val="false"/>
                <w:bCs w:val="false"/>
                <w:sz w:val="20"/>
                <w:szCs w:val="20"/>
              </w:rPr>
              <w:t xml:space="preserve">Draw</w:t>
            </w:r>
          </w:p>
        </w:tc>
        <w:tc>
          <w:tcPr>
            <w:tcW w:type="pct" w:w="25%"/>
          </w:tcPr>
          <w:p>
            <w:r>
              <w:rPr>
                <w:rFonts w:ascii="Comic Sans MS" w:cs="Comic Sans MS" w:eastAsia="Comic Sans MS" w:hAnsi="Comic Sans MS"/>
                <w:b w:val="false"/>
                <w:bCs w:val="false"/>
                <w:sz w:val="20"/>
                <w:szCs w:val="20"/>
              </w:rPr>
              <w:t xml:space="preserve">28</w:t>
            </w:r>
          </w:p>
        </w:tc>
        <w:tc>
          <w:tcPr>
            <w:tcW w:type="pct" w:w="25%"/>
          </w:tcPr>
          <w:p>
            <w:r>
              <w:rPr>
                <w:rFonts w:ascii="Comic Sans MS" w:cs="Comic Sans MS" w:eastAsia="Comic Sans MS" w:hAnsi="Comic Sans MS"/>
                <w:b w:val="false"/>
                <w:bCs w:val="false"/>
                <w:sz w:val="20"/>
                <w:szCs w:val="20"/>
              </w:rPr>
              <w:t xml:space="preserve">21.4%</w:t>
            </w:r>
          </w:p>
        </w:tc>
        <w:tc>
          <w:tcPr>
            <w:tcW w:type="pct" w:w="25%"/>
          </w:tcPr>
          <w:p>
            <w:r>
              <w:rPr>
                <w:rFonts w:ascii="Comic Sans MS" w:cs="Comic Sans MS" w:eastAsia="Comic Sans MS" w:hAnsi="Comic Sans MS"/>
                <w:b w:val="false"/>
                <w:bCs w:val="false"/>
                <w:sz w:val="20"/>
                <w:szCs w:val="20"/>
              </w:rPr>
              <w:t xml:space="preserve">+£4.83</w:t>
            </w:r>
          </w:p>
        </w:tc>
        <w:tc>
          <w:tcPr>
            <w:tcW w:type="pct" w:w="25%"/>
          </w:tcPr>
          <w:p>
            <w:r>
              <w:rPr>
                <w:rFonts w:ascii="Comic Sans MS" w:cs="Comic Sans MS" w:eastAsia="Comic Sans MS" w:hAnsi="Comic Sans MS"/>
                <w:b w:val="false"/>
                <w:bCs w:val="false"/>
                <w:sz w:val="20"/>
                <w:szCs w:val="20"/>
              </w:rPr>
              <w:t xml:space="preserve">+17.25%</w:t>
            </w:r>
          </w:p>
        </w:tc>
      </w:tr>
      <w:tr>
        <w:tc>
          <w:tcPr>
            <w:tcW w:type="pct" w:w="25%"/>
          </w:tcPr>
          <w:p>
            <w:r>
              <w:rPr>
                <w:rFonts w:ascii="Comic Sans MS" w:cs="Comic Sans MS" w:eastAsia="Comic Sans MS" w:hAnsi="Comic Sans MS"/>
                <w:b w:val="false"/>
                <w:bCs w:val="false"/>
                <w:sz w:val="20"/>
                <w:szCs w:val="20"/>
              </w:rPr>
              <w:t xml:space="preserve">Away</w:t>
            </w:r>
          </w:p>
        </w:tc>
        <w:tc>
          <w:tcPr>
            <w:tcW w:type="pct" w:w="25%"/>
          </w:tcPr>
          <w:p>
            <w:r>
              <w:rPr>
                <w:rFonts w:ascii="Comic Sans MS" w:cs="Comic Sans MS" w:eastAsia="Comic Sans MS" w:hAnsi="Comic Sans MS"/>
                <w:b w:val="false"/>
                <w:bCs w:val="false"/>
                <w:sz w:val="20"/>
                <w:szCs w:val="20"/>
              </w:rPr>
              <w:t xml:space="preserve">~900</w:t>
            </w:r>
          </w:p>
        </w:tc>
        <w:tc>
          <w:tcPr>
            <w:tcW w:type="pct" w:w="25%"/>
          </w:tcPr>
          <w:p>
            <w:r>
              <w:rPr>
                <w:rFonts w:ascii="Comic Sans MS" w:cs="Comic Sans MS" w:eastAsia="Comic Sans MS" w:hAnsi="Comic Sans MS"/>
                <w:b w:val="false"/>
                <w:bCs w:val="false"/>
                <w:sz w:val="20"/>
                <w:szCs w:val="20"/>
              </w:rPr>
              <w:t xml:space="preserve">~38%</w:t>
            </w:r>
          </w:p>
        </w:tc>
        <w:tc>
          <w:tcPr>
            <w:tcW w:type="pct" w:w="25%"/>
          </w:tcPr>
          <w:p>
            <w:r>
              <w:rPr>
                <w:rFonts w:ascii="Comic Sans MS" w:cs="Comic Sans MS" w:eastAsia="Comic Sans MS" w:hAnsi="Comic Sans MS"/>
                <w:b w:val="false"/>
                <w:bCs w:val="false"/>
                <w:sz w:val="20"/>
                <w:szCs w:val="20"/>
              </w:rPr>
              <w:t xml:space="preserve">−£15.82</w:t>
            </w:r>
          </w:p>
        </w:tc>
        <w:tc>
          <w:tcPr>
            <w:tcW w:type="pct" w:w="25%"/>
          </w:tcPr>
          <w:p>
            <w:r>
              <w:rPr>
                <w:rFonts w:ascii="Comic Sans MS" w:cs="Comic Sans MS" w:eastAsia="Comic Sans MS" w:hAnsi="Comic Sans MS"/>
                <w:b w:val="false"/>
                <w:bCs w:val="false"/>
                <w:sz w:val="20"/>
                <w:szCs w:val="20"/>
              </w:rPr>
              <w:t xml:space="preserve">~−1.8%</w:t>
            </w:r>
          </w:p>
        </w:tc>
      </w:tr>
    </w:tbl>
    <w:p>
      <w:pPr>
        <w:spacing w:after="160"/>
      </w:pPr>
    </w:p>
    <w:p>
      <w:pPr>
        <w:spacing w:after="160"/>
      </w:pPr>
      <w:r>
        <w:rPr>
          <w:rFonts w:ascii="Comic Sans MS" w:cs="Comic Sans MS" w:eastAsia="Comic Sans MS" w:hAnsi="Comic Sans MS"/>
          <w:sz w:val="22"/>
          <w:szCs w:val="22"/>
        </w:rPr>
        <w:t xml:space="preserve">The draw bets show a positive return, but with only 28 bets this could easily be noise. The home and away bets both lost money.</w:t>
      </w:r>
    </w:p>
    <w:p>
      <w:pPr>
        <w:pStyle w:val="Heading2"/>
        <w:spacing w:after="120" w:before="240"/>
      </w:pPr>
      <w:r>
        <w:rPr>
          <w:rFonts w:ascii="Comic Sans MS" w:cs="Comic Sans MS" w:eastAsia="Comic Sans MS" w:hAnsi="Comic Sans MS"/>
          <w:b/>
          <w:bCs/>
          <w:sz w:val="26"/>
          <w:szCs w:val="26"/>
        </w:rPr>
        <w:t xml:space="preserve">What the earlier three-season run showed</w:t>
      </w:r>
    </w:p>
    <w:p>
      <w:pPr>
        <w:spacing w:after="160"/>
      </w:pPr>
      <w:r>
        <w:rPr>
          <w:rFonts w:ascii="Comic Sans MS" w:cs="Comic Sans MS" w:eastAsia="Comic Sans MS" w:hAnsi="Comic Sans MS"/>
          <w:sz w:val="22"/>
          <w:szCs w:val="22"/>
        </w:rPr>
        <w:t xml:space="preserve">Before expanding to six seasons, I ran the same backtest on 577 test matches and got a striking result: at a 10% threshold, betting only on home and draw outcomes returned +26% ROI over 35 bets. That result did not hold up on the larger dataset. With 1,717 matches, the same configuration returned −5.85% ROI over 162 bets. This is the textbook signature of small-sample noise: an apparent edge that dissolves on more data.</w:t>
      </w:r>
    </w:p>
    <w:p>
      <w:pPr>
        <w:pStyle w:val="Heading2"/>
        <w:spacing w:after="120" w:before="240"/>
      </w:pPr>
      <w:r>
        <w:rPr>
          <w:rFonts w:ascii="Comic Sans MS" w:cs="Comic Sans MS" w:eastAsia="Comic Sans MS" w:hAnsi="Comic Sans MS"/>
          <w:b/>
          <w:bCs/>
          <w:sz w:val="26"/>
          <w:szCs w:val="26"/>
        </w:rPr>
        <w:t xml:space="preserve">Honest conclusion</w:t>
      </w:r>
    </w:p>
    <w:p>
      <w:pPr>
        <w:spacing w:after="160"/>
      </w:pPr>
      <w:r>
        <w:rPr>
          <w:rFonts w:ascii="Comic Sans MS" w:cs="Comic Sans MS" w:eastAsia="Comic Sans MS" w:hAnsi="Comic Sans MS"/>
          <w:sz w:val="22"/>
          <w:szCs w:val="22"/>
        </w:rPr>
        <w:t xml:space="preserve">The model is genuinely more accurate than chance (52.4% vs 44.4% baseline), and genuinely more accurate than the "always predict home win" strategy. But it is not accurate enough to beat Bet365's margin. After 1,247 bets at the standard threshold, it lost 2.3% of staked money. No configuration tested shows a statistically reliable positive return.</w:t>
      </w:r>
    </w:p>
    <w:p>
      <w:pPr>
        <w:pStyle w:val="Heading2"/>
        <w:spacing w:after="120" w:before="240"/>
      </w:pPr>
      <w:r>
        <w:rPr>
          <w:rFonts w:ascii="Comic Sans MS" w:cs="Comic Sans MS" w:eastAsia="Comic Sans MS" w:hAnsi="Comic Sans MS"/>
          <w:b/>
          <w:bCs/>
          <w:sz w:val="26"/>
          <w:szCs w:val="26"/>
        </w:rPr>
        <w:t xml:space="preserve">What this means</w:t>
      </w:r>
    </w:p>
    <w:p>
      <w:pPr>
        <w:spacing w:after="160"/>
      </w:pPr>
      <w:r>
        <w:rPr>
          <w:rFonts w:ascii="Comic Sans MS" w:cs="Comic Sans MS" w:eastAsia="Comic Sans MS" w:hAnsi="Comic Sans MS"/>
          <w:sz w:val="22"/>
          <w:szCs w:val="22"/>
        </w:rPr>
        <w:t xml:space="preserve">This is not a failure. It's the honest result that most simple sports models produce against sharp bookmakers, and it's the result the original roadmap warned was likely. The write-up said from the start that the target should be "directionally consistent with the published literature" rather than a 90%+ accuracy fantasy. The backtest confirms exactly that: a decent, honest model that does not beat the market. The next iteration would need to find informational edges the market hasn't already priced in — expected goals, injury data, lineup changes, or alternative data sources — rather than improve the modeling of the same inputs. The market already knows about Elo ratings and recent form.</w:t>
      </w:r>
    </w:p>
    <w:p>
      <w:pPr>
        <w:pBdr>
          <w:bottom w:val="single" w:color="999999" w:sz="6"/>
        </w:pBdr>
        <w:spacing w:after="200" w:before="100"/>
      </w:pPr>
    </w:p>
    <w:p>
      <w:pPr>
        <w:spacing w:after="160"/>
      </w:pPr>
      <w:r>
        <w:rPr>
          <w:rFonts w:ascii="Comic Sans MS" w:cs="Comic Sans MS" w:eastAsia="Comic Sans MS" w:hAnsi="Comic Sans MS"/>
          <w:b/>
          <w:bCs/>
          <w:sz w:val="22"/>
          <w:szCs w:val="22"/>
        </w:rPr>
        <w:t xml:space="preserve">Live demo: </w:t>
      </w:r>
      <w:r>
        <w:rPr>
          <w:rFonts w:ascii="Comic Sans MS" w:cs="Comic Sans MS" w:eastAsia="Comic Sans MS" w:hAnsi="Comic Sans MS"/>
          <w:color w:val="1155CC"/>
          <w:sz w:val="22"/>
          <w:szCs w:val="22"/>
          <w:u w:val="single"/>
        </w:rPr>
        <w:t xml:space="preserve">https://soccerprediction-fww8kgdts3applt95rucyv.streamlit.app/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2026-09-21T13:51:39.936Z</dcterms:created>
  <dcterms:modified xsi:type="dcterms:W3CDTF">2026-09-21T13:51:39.943Z</dcterms:modified>
</cp:coreProperties>
</file>

<file path=docProps/custom.xml><?xml version="1.0" encoding="utf-8"?>
<Properties xmlns="http://schemas.openxmlformats.org/officeDocument/2006/custom-properties" xmlns:vt="http://schemas.openxmlformats.org/officeDocument/2006/docPropsVTypes"/>
</file>