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2B55" w:val="clear"/>
        <w:spacing w:after="0" w:before="0"/>
      </w:pPr>
      <w:r>
        <w:rPr>
          <w:rFonts w:ascii="Calibri" w:cs="Calibri" w:eastAsia="Calibri" w:hAnsi="Calibri"/>
          <w:sz w:val="4"/>
          <w:szCs w:val="4"/>
        </w:rPr>
        <w:t xml:space="preserve"> </w:t>
      </w:r>
    </w:p>
    <w:p>
      <w:pPr>
        <w:spacing w:after="80" w:before="2000"/>
        <w:jc w:val="center"/>
      </w:pPr>
      <w:r>
        <w:rPr>
          <w:rFonts w:ascii="Calibri" w:cs="Calibri" w:eastAsia="Calibri" w:hAnsi="Calibri"/>
          <w:b/>
          <w:bCs/>
          <w:color w:val="7A7A7A"/>
          <w:sz w:val="40"/>
          <w:szCs w:val="40"/>
        </w:rPr>
        <w:t xml:space="preserve">01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0D2B55"/>
          <w:sz w:val="104"/>
          <w:szCs w:val="104"/>
        </w:rPr>
        <w:t xml:space="preserve">CORE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1A4F9C"/>
          <w:sz w:val="40"/>
          <w:szCs w:val="40"/>
        </w:rPr>
        <w:t xml:space="preserve">Executive Summary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color w:val="4A4A4A"/>
          <w:sz w:val="26"/>
          <w:szCs w:val="26"/>
        </w:rPr>
        <w:t xml:space="preserve">Blueprint Estratégico 2026–2035</w:t>
      </w:r>
    </w:p>
    <w:p>
      <w:pPr>
        <w:pBdr>
          <w:bottom w:val="single" w:color="C9A84C" w:sz="6" w:space="1"/>
        </w:pBdr>
        <w:spacing w:after="120" w:before="120"/>
      </w:pPr>
      <w:r>
        <w:t xml:space="preserve"/>
      </w:r>
    </w:p>
    <w:p>
      <w:pPr>
        <w:spacing w:after="80" w:before="240"/>
        <w:jc w:val="center"/>
      </w:pPr>
      <w:r>
        <w:rPr>
          <w:rFonts w:ascii="Calibri" w:cs="Calibri" w:eastAsia="Calibri" w:hAnsi="Calibri"/>
          <w:i/>
          <w:iCs/>
          <w:color w:val="7A7A7A"/>
          <w:sz w:val="22"/>
          <w:szCs w:val="22"/>
        </w:rPr>
        <w:t xml:space="preserve">Para CEOs, Inversores y Directorios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7A7A7A"/>
          <w:sz w:val="20"/>
          <w:szCs w:val="20"/>
        </w:rPr>
        <w:t xml:space="preserve">Versión 1.0 — Mayo 2026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i/>
          <w:iCs/>
          <w:color w:val="C0392B"/>
          <w:sz w:val="20"/>
          <w:szCs w:val="20"/>
        </w:rPr>
        <w:t xml:space="preserve">Confidencial — Uso interno</w:t>
      </w:r>
    </w:p>
    <w:p>
      <w:r>
        <w:br w:type="page"/>
      </w:r>
    </w:p>
    <w:p>
      <w:pPr>
        <w:pStyle w:val="Heading1"/>
        <w:shd w:fill="0D2B55" w:val="clear"/>
        <w:spacing w:after="240" w:before="0"/>
        <w:ind w:left="360" w:right="36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CORE — Executive Summary</w:t>
      </w:r>
    </w:p>
    <w:p>
      <w:pPr>
        <w:spacing w:after="60" w:before="60"/>
      </w:pPr>
      <w:r>
        <w:t xml:space="preserve"/>
      </w:r>
    </w:p>
    <w:p>
      <w:pPr>
        <w:pBdr>
          <w:left w:val="single" w:color="1A4F9C" w:sz="12" w:space="4"/>
        </w:pBdr>
        <w:shd w:fill="D8E8F8" w:val="clear"/>
        <w:spacing w:after="120" w:before="120"/>
        <w:ind w:left="360" w:right="360"/>
      </w:pPr>
      <w:r>
        <w:rPr>
          <w:rFonts w:ascii="Calibri" w:cs="Calibri" w:eastAsia="Calibri" w:hAnsi="Calibri"/>
          <w:i/>
          <w:iCs/>
          <w:color w:val="0D2B55"/>
          <w:sz w:val="22"/>
          <w:szCs w:val="22"/>
        </w:rPr>
        <w:t xml:space="preserve">CORE es la plataforma integrada de crecimiento, logística y expansión comercial para Latinoamérica. Una infraestructura única que conecta marcas, mercados y operaciones en 10 países.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FC4" w:sz="4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La Oportunidad</w:t>
      </w:r>
    </w:p>
    <w:p>
      <w:pPr>
        <w:spacing w:after="12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Latinoamérica es una de las regiones de mayor crecimiento para el comercio B2B, con un mercado de logística y distribución que supera los USD 200 mil millones anuales y una penetración digital aún incipiente. Las empresas que buscan ingresar o escalar en la región enfrentan fragmentación operativa, ausencia de infraestructura integrada y falta de representación comercial especializada.</w:t>
      </w:r>
    </w:p>
    <w:p>
      <w:pPr>
        <w:spacing w:after="12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CORE nace para resolver exactamente eso.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FC4" w:sz="4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¿Qué es CORE?</w:t>
      </w:r>
    </w:p>
    <w:p>
      <w:pPr>
        <w:spacing w:after="12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CORE es una plataforma multi-tenant, multi-país y multi-vertical que unifica en un solo ecosistema: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CORE Logistics — Gestión de envíos, inventarios, depósitos, aduanas y fulfillment.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CORE Rep — Representación comercial de marcas internacionales en canales retail, horeca y gourmet.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CORE Market — Marketplace B2B regional para compra y venta de productos entre empresas.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CORE Intelligence — Analítica predictiva, forecasting e inteligencia de mercado. (Futuro)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CORE Finance — Factoring, créditos y pagos cross-border. (Futuro)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FC4" w:sz="4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Presencia Regional</w:t>
      </w:r>
    </w:p>
    <w:p>
      <w:pPr>
        <w:spacing w:after="12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CORE opera hoy desde Uruguay —su HQ estratégico con acceso a zonas francas, puerto de Montevideo y hub de distribución regional— con operaciones activas en Brasil (Sur), Paraguay, Argentina y Chile. La expansión a Perú, Bolivia, México y Colombia está planificada para el período 2026–2030.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FC4" w:sz="4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Modelo de Monetización</w:t>
      </w:r>
    </w:p>
    <w:p>
      <w:pPr>
        <w:spacing w:after="12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CORE genera ingresos a través de tres líneas principales: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Vertical</w:t>
            </w:r>
          </w:p>
        </w:tc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47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Palancas clave</w:t>
            </w:r>
          </w:p>
        </w:tc>
      </w:tr>
      <w:tr>
        <w:tc>
          <w:tcPr>
            <w:tcW w:type="dxa" w:w="2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CORE Logistics</w:t>
            </w:r>
          </w:p>
        </w:tc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Tarifas por servicio</w:t>
            </w:r>
          </w:p>
        </w:tc>
        <w:tc>
          <w:tcPr>
            <w:tcW w:type="dxa" w:w="47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Envíos, almacenamiento, picking, aduana, fulfillment</w:t>
            </w:r>
          </w:p>
        </w:tc>
      </w:tr>
      <w:tr>
        <w:tc>
          <w:tcPr>
            <w:tcW w:type="dxa" w:w="2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CORE Rep</w:t>
            </w:r>
          </w:p>
        </w:tc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Comisiones + Fees</w:t>
            </w:r>
          </w:p>
        </w:tc>
        <w:tc>
          <w:tcPr>
            <w:tcW w:type="dxa" w:w="47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Comisión sobre ventas, fee mensual por marca, trade marketing</w:t>
            </w:r>
          </w:p>
        </w:tc>
      </w:tr>
      <w:tr>
        <w:tc>
          <w:tcPr>
            <w:tcW w:type="dxa" w:w="2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CORE Market</w:t>
            </w:r>
          </w:p>
        </w:tc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Comisión + Suscripción + Ads</w:t>
            </w:r>
          </w:p>
        </w:tc>
        <w:tc>
          <w:tcPr>
            <w:tcW w:type="dxa" w:w="47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Comisión por transacción, planes Seller/Buyer, sponsored listings</w:t>
            </w:r>
          </w:p>
        </w:tc>
      </w:tr>
      <w:tr>
        <w:tc>
          <w:tcPr>
            <w:tcW w:type="dxa" w:w="2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CORE Intelligence</w:t>
            </w:r>
          </w:p>
        </w:tc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Suscripción SaaS</w:t>
            </w:r>
          </w:p>
        </w:tc>
        <w:tc>
          <w:tcPr>
            <w:tcW w:type="dxa" w:w="47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Reportes premium, forecasting, modelos de riesgo</w:t>
            </w:r>
          </w:p>
        </w:tc>
      </w:tr>
      <w:tr>
        <w:tc>
          <w:tcPr>
            <w:tcW w:type="dxa" w:w="2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CORE Finance</w:t>
            </w:r>
          </w:p>
        </w:tc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Intereses + Comisiones</w:t>
            </w:r>
          </w:p>
        </w:tc>
        <w:tc>
          <w:tcPr>
            <w:tcW w:type="dxa" w:w="47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Factoring, créditos, adelantos, spread cambiario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FC4" w:sz="4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Ventaja Competitiva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Plataforma integrada: el único operador que unifica logística, representación y marketplace en LATAM.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Infraestructura propia: zonas francas, depósitos y red de distribución en 5 países.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Tecnología multi-tenant: arquitectura escalable, API-first y event-driven.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Modelo de ingresos diversificado: tarifas, comisiones, suscripciones y publicidad.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Uruguay como HQ: régimen de zona franca, tratados comerciales y estabilidad institucional.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FC4" w:sz="4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Roadmap 2026–2035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4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Hitos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Fase 1 — Consolidación</w:t>
            </w:r>
          </w:p>
        </w:tc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2026–2027</w:t>
            </w:r>
          </w:p>
        </w:tc>
        <w:tc>
          <w:tcPr>
            <w:tcW w:type="dxa" w:w="4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Operaciones en 5 países, plataforma MVP completa, primeras 100 marcas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Fase 2 — Expansión</w:t>
            </w:r>
          </w:p>
        </w:tc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2028–2030</w:t>
            </w:r>
          </w:p>
        </w:tc>
        <w:tc>
          <w:tcPr>
            <w:tcW w:type="dxa" w:w="4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Ingreso a Perú, Colombia, México; CORE Intelligence activo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Fase 3 — Liderazgo</w:t>
            </w:r>
          </w:p>
        </w:tc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2031–2035</w:t>
            </w:r>
          </w:p>
        </w:tc>
        <w:tc>
          <w:tcPr>
            <w:tcW w:type="dxa" w:w="4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10 países, 50.000 empresas, 2M SKUs, CORE Finance activo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FC4" w:sz="4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Conclusión</w:t>
      </w:r>
    </w:p>
    <w:p>
      <w:pPr>
        <w:pBdr>
          <w:left w:val="single" w:color="1A4F9C" w:sz="12" w:space="4"/>
        </w:pBdr>
        <w:shd w:fill="D8E8F8" w:val="clear"/>
        <w:spacing w:after="120" w:before="120"/>
        <w:ind w:left="360" w:right="360"/>
      </w:pPr>
      <w:r>
        <w:rPr>
          <w:rFonts w:ascii="Calibri" w:cs="Calibri" w:eastAsia="Calibri" w:hAnsi="Calibri"/>
          <w:i/>
          <w:iCs/>
          <w:color w:val="0D2B55"/>
          <w:sz w:val="22"/>
          <w:szCs w:val="22"/>
        </w:rPr>
        <w:t xml:space="preserve">CORE no es un software de gestión. Es la infraestructura operativa de la expansión regional latinoamericana. Una oportunidad de construir el operador comercial y logístico más relevante de LATAM en la próxima década.</w:t>
      </w:r>
    </w:p>
    <w:p>
      <w:pPr>
        <w:spacing w:after="60" w:before="60"/>
      </w:pPr>
      <w:r>
        <w:t xml:space="preserve"/>
      </w:r>
    </w:p>
    <w:p>
      <w:pPr>
        <w:pBdr>
          <w:bottom w:val="single" w:color="C9A84C" w:sz="6" w:space="1"/>
        </w:pBdr>
        <w:spacing w:after="120" w:before="12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7A7A7A"/>
          <w:sz w:val="22"/>
          <w:szCs w:val="22"/>
        </w:rPr>
        <w:t xml:space="preserve">Para más información, consultar: CORE Master Document v1.0 — Blueprint Estratégico, Técnico y Operativo 2026–2035.</w:t>
      </w:r>
    </w:p>
    <w:p>
      <w:pPr>
        <w:sectPr>
          <w:headerReference w:type="default" r:id="rId7"/>
          <w:footerReference w:type="default" r:id="rId8"/>
          <w:type w:val="nextPage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hd w:fill="0D2B55" w:val="clear"/>
        <w:spacing w:after="0" w:before="0"/>
      </w:pPr>
      <w:r>
        <w:rPr>
          <w:rFonts w:ascii="Calibri" w:cs="Calibri" w:eastAsia="Calibri" w:hAnsi="Calibri"/>
          <w:sz w:val="4"/>
          <w:szCs w:val="4"/>
        </w:rPr>
        <w:t xml:space="preserve"> </w:t>
      </w:r>
    </w:p>
    <w:p>
      <w:pPr>
        <w:spacing w:after="80" w:before="2000"/>
        <w:jc w:val="center"/>
      </w:pPr>
      <w:r>
        <w:rPr>
          <w:rFonts w:ascii="Calibri" w:cs="Calibri" w:eastAsia="Calibri" w:hAnsi="Calibri"/>
          <w:b/>
          <w:bCs/>
          <w:color w:val="7A7A7A"/>
          <w:sz w:val="40"/>
          <w:szCs w:val="40"/>
        </w:rPr>
        <w:t xml:space="preserve">02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0D2B55"/>
          <w:sz w:val="104"/>
          <w:szCs w:val="104"/>
        </w:rPr>
        <w:t xml:space="preserve">CORE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1A4F9C"/>
          <w:sz w:val="40"/>
          <w:szCs w:val="40"/>
        </w:rPr>
        <w:t xml:space="preserve">Investor Deck Narrative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color w:val="4A4A4A"/>
          <w:sz w:val="26"/>
          <w:szCs w:val="26"/>
        </w:rPr>
        <w:t xml:space="preserve">Documento narrativo para inversores</w:t>
      </w:r>
    </w:p>
    <w:p>
      <w:pPr>
        <w:pBdr>
          <w:bottom w:val="single" w:color="C9A84C" w:sz="6" w:space="1"/>
        </w:pBdr>
        <w:spacing w:after="120" w:before="120"/>
      </w:pPr>
      <w:r>
        <w:t xml:space="preserve"/>
      </w:r>
    </w:p>
    <w:p>
      <w:pPr>
        <w:spacing w:after="80" w:before="240"/>
        <w:jc w:val="center"/>
      </w:pPr>
      <w:r>
        <w:rPr>
          <w:rFonts w:ascii="Calibri" w:cs="Calibri" w:eastAsia="Calibri" w:hAnsi="Calibri"/>
          <w:i/>
          <w:iCs/>
          <w:color w:val="7A7A7A"/>
          <w:sz w:val="22"/>
          <w:szCs w:val="22"/>
        </w:rPr>
        <w:t xml:space="preserve">Visión · TAM · Modelo · Ventajas · Expansión · Monetización · Roadmap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7A7A7A"/>
          <w:sz w:val="20"/>
          <w:szCs w:val="20"/>
        </w:rPr>
        <w:t xml:space="preserve">Versión 1.0 — Mayo 2026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i/>
          <w:iCs/>
          <w:color w:val="C0392B"/>
          <w:sz w:val="20"/>
          <w:szCs w:val="20"/>
        </w:rPr>
        <w:t xml:space="preserve">Confidencial — Uso interno</w:t>
      </w:r>
    </w:p>
    <w:p>
      <w:r>
        <w:br w:type="page"/>
      </w:r>
    </w:p>
    <w:p>
      <w:pPr>
        <w:pStyle w:val="Heading1"/>
        <w:shd w:fill="0D2B55" w:val="clear"/>
        <w:spacing w:after="240" w:before="0"/>
        <w:ind w:left="360" w:right="36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CORE — Investor Deck Narrative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FC4" w:sz="4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01 · La Tesis de Inversión</w:t>
      </w:r>
    </w:p>
    <w:p>
      <w:pPr>
        <w:spacing w:after="12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Latinoamérica es la región de mayor crecimiento no capturado en infraestructura comercial del mundo. Con más de 650 millones de habitantes, un PIB combinado superior a USD 6 billones y una clase media en expansión, la región representa una oportunidad estructural para quien pueda resolver su principal problema: la fragmentación operativa.</w:t>
      </w:r>
    </w:p>
    <w:p>
      <w:pPr>
        <w:spacing w:after="12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Hoy, una empresa europea, asiática o norteamericana que quiere ingresar a LATAM debe contratar un operador logístico en Uruguay, otro representante en Argentina, un distribuidor en Brasil, un marketplace local en cada país, y coordinar todo esto sin visibilidad unificada. El resultado es ineficiencia, pérdida de margen y fracasos de entrada al mercado.</w:t>
      </w:r>
    </w:p>
    <w:p>
      <w:pPr>
        <w:spacing w:after="12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CORE resuelve todo esto desde una sola plataforma.</w:t>
      </w:r>
    </w:p>
    <w:p>
      <w:pPr>
        <w:pBdr>
          <w:left w:val="single" w:color="1A4F9C" w:sz="12" w:space="4"/>
        </w:pBdr>
        <w:shd w:fill="D8E8F8" w:val="clear"/>
        <w:spacing w:after="120" w:before="120"/>
        <w:ind w:left="360" w:right="360"/>
      </w:pPr>
      <w:r>
        <w:rPr>
          <w:rFonts w:ascii="Calibri" w:cs="Calibri" w:eastAsia="Calibri" w:hAnsi="Calibri"/>
          <w:i/>
          <w:iCs/>
          <w:color w:val="0D2B55"/>
          <w:sz w:val="22"/>
          <w:szCs w:val="22"/>
        </w:rPr>
        <w:t xml:space="preserve">Tesis: CORE es la infraestructura de operaciones comerciales de LATAM. Construir la red logística, la capa de representación y el marketplace B2B regional bajo un único ecosistema tecnológico es el activo estratégico de la próxima década.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FC4" w:sz="4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02 · El Mercado Total Addressable (TAM)</w:t>
      </w:r>
    </w:p>
    <w:p>
      <w:pPr>
        <w:spacing w:after="12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El TAM de CORE se construye sobre la convergencia de tres mercados: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Mercado</w:t>
            </w:r>
          </w:p>
        </w:tc>
        <w:tc>
          <w:tcPr>
            <w:tcW w:type="dxa" w:w="3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Tamaño estimado (LATAM)</w:t>
            </w:r>
          </w:p>
        </w:tc>
        <w:tc>
          <w:tcPr>
            <w:tcW w:type="dxa" w:w="31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Penetración actual</w:t>
            </w:r>
          </w:p>
        </w:tc>
      </w:tr>
      <w:tr>
        <w:tc>
          <w:tcPr>
            <w:tcW w:type="dxa" w:w="3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Logística y distribución B2B</w:t>
            </w:r>
          </w:p>
        </w:tc>
        <w:tc>
          <w:tcPr>
            <w:tcW w:type="dxa" w:w="3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USD 210B / año</w:t>
            </w:r>
          </w:p>
        </w:tc>
        <w:tc>
          <w:tcPr>
            <w:tcW w:type="dxa" w:w="31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&lt; 5% digital integrado</w:t>
            </w:r>
          </w:p>
        </w:tc>
      </w:tr>
      <w:tr>
        <w:tc>
          <w:tcPr>
            <w:tcW w:type="dxa" w:w="3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Representación comercial internacional</w:t>
            </w:r>
          </w:p>
        </w:tc>
        <w:tc>
          <w:tcPr>
            <w:tcW w:type="dxa" w:w="3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USD 45B / año</w:t>
            </w:r>
          </w:p>
        </w:tc>
        <w:tc>
          <w:tcPr>
            <w:tcW w:type="dxa" w:w="31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Fragmentado, sin plataforma</w:t>
            </w:r>
          </w:p>
        </w:tc>
      </w:tr>
      <w:tr>
        <w:tc>
          <w:tcPr>
            <w:tcW w:type="dxa" w:w="3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Marketplace B2B regional</w:t>
            </w:r>
          </w:p>
        </w:tc>
        <w:tc>
          <w:tcPr>
            <w:tcW w:type="dxa" w:w="3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USD 80B / año</w:t>
            </w:r>
          </w:p>
        </w:tc>
        <w:tc>
          <w:tcPr>
            <w:tcW w:type="dxa" w:w="31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Naciente, sin líder claro</w:t>
            </w:r>
          </w:p>
        </w:tc>
      </w:tr>
      <w:tr>
        <w:tc>
          <w:tcPr>
            <w:tcW w:type="dxa" w:w="3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Inteligencia comercial / Analytics</w:t>
            </w:r>
          </w:p>
        </w:tc>
        <w:tc>
          <w:tcPr>
            <w:tcW w:type="dxa" w:w="3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USD 12B / año</w:t>
            </w:r>
          </w:p>
        </w:tc>
        <w:tc>
          <w:tcPr>
            <w:tcW w:type="dxa" w:w="31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Dominado por globales (Nielsen, etc.)</w:t>
            </w:r>
          </w:p>
        </w:tc>
      </w:tr>
      <w:tr>
        <w:tc>
          <w:tcPr>
            <w:tcW w:type="dxa" w:w="3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Fintech B2B (factoring, créditos)</w:t>
            </w:r>
          </w:p>
        </w:tc>
        <w:tc>
          <w:tcPr>
            <w:tcW w:type="dxa" w:w="3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USD 30B / año</w:t>
            </w:r>
          </w:p>
        </w:tc>
        <w:tc>
          <w:tcPr>
            <w:tcW w:type="dxa" w:w="31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Subpenetrado en LATAM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El TAM combinado supera los USD 377 mil millones anuales, con una penetración digital integrada inferior al 4%. CORE está posicionado para capturar entre el 1% y el 3% de este mercado en un horizonte de 10 años, lo que representa un revenue potential de USD 3.7B–11B anuales.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FC4" w:sz="4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03 · El Producto</w:t>
      </w:r>
    </w:p>
    <w:p>
      <w:pPr>
        <w:spacing w:after="12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CORE es una plataforma SaaS multi-tenant construida sobre cuatro verticales: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4F9C"/>
          <w:sz w:val="24"/>
          <w:szCs w:val="24"/>
        </w:rPr>
        <w:t xml:space="preserve">CORE Logistics</w:t>
      </w:r>
    </w:p>
    <w:p>
      <w:pPr>
        <w:spacing w:after="12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Motor de operaciones logísticas regionales. Gestiona envíos nacionales e internacionales, inventarios en depósitos propios y de terceros, trámites aduaneros, cross-docking y fulfillment. Integra con APIs de couriers, aduanas (AFIP, Receita Federal) y gateways de pago. Dashboard unificado con tracking en tiempo real.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4F9C"/>
          <w:sz w:val="24"/>
          <w:szCs w:val="24"/>
        </w:rPr>
        <w:t xml:space="preserve">CORE Rep</w:t>
      </w:r>
    </w:p>
    <w:p>
      <w:pPr>
        <w:spacing w:after="12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Motor de representación comercial. Permite a marcas internacionales gestionar su expansión en LATAM a través de canales retail, horeca y gourmet. Incluye gestión de distribuidores, prospección comercial, materiales de marca, reportes de venta y trade marketing digital. Fee mensual por marca + comisión sobre ventas.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4F9C"/>
          <w:sz w:val="24"/>
          <w:szCs w:val="24"/>
        </w:rPr>
        <w:t xml:space="preserve">CORE Market</w:t>
      </w:r>
    </w:p>
    <w:p>
      <w:pPr>
        <w:spacing w:after="12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Marketplace B2B regional. Conecta vendedores (marcas, distribuidores, importadores) con compradores (supermercados, restaurantes, tiendas especializadas). Catálogo multi-categoría, carrito, transacciones y pagos integrados. Modelo de comisión por transacción + suscripciones Seller Pro / Buyer Premium + publicidad nativa.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4F9C"/>
          <w:sz w:val="24"/>
          <w:szCs w:val="24"/>
        </w:rPr>
        <w:t xml:space="preserve">CORE Intelligence (Fase 2)</w:t>
      </w:r>
    </w:p>
    <w:p>
      <w:pPr>
        <w:spacing w:after="12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Capa de analítica e inteligencia artificial. Forecasting de demanda, modelos de riesgo, análisis de canales, benchmarking regional. Subscription-based, dirigido a marcas y operadores logísticos.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4F9C"/>
          <w:sz w:val="24"/>
          <w:szCs w:val="24"/>
        </w:rPr>
        <w:t xml:space="preserve">CORE Finance (Fase 3)</w:t>
      </w:r>
    </w:p>
    <w:p>
      <w:pPr>
        <w:spacing w:after="12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Vertical financiera. Factoring de facturas, créditos operativos, adelantos de capital y pagos cross-border. Dirigido a empresas que operan dentro del ecosistema CORE.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FC4" w:sz="4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04 · Ventajas Competitivas</w:t>
      </w:r>
    </w:p>
    <w:p>
      <w:pPr>
        <w:spacing w:after="12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CORE no compite con un solo actor. Compite con la fragmentación misma. Sus ventajas son estructurales: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Integración vertical única. No existe hoy en LATAM una plataforma que unifique logística, representación y marketplace. CORE es el primero.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Uruguay como HQ estratégico. Zona franca, tratados de libre comercio, estabilidad jurídica y ubicación geográfica central en el Cono Sur.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Arquitectura tecnológica multi-tenant. Una sola plataforma sirve a miles de empresas en múltiples países sin replicar infraestructura.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Red de depósitos y zonas francas. Activos físicos que generan barreras de entrada significativas para nuevos competidores.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Modelo de datos propietario. El volumen de transacciones, envíos y comportamiento comercial genera un activo de datos único para alimentar CORE Intelligence.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Efecto de red. Cada nueva marca en CORE Rep genera demanda en CORE Market. Cada comprador en CORE Market genera logística en CORE Logistics. El ecosistema se alimenta a sí mismo.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FC4" w:sz="4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05 · Estrategia de Expansión Regional</w:t>
      </w:r>
    </w:p>
    <w:p>
      <w:pPr>
        <w:spacing w:after="12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CORE sigue un modelo de expansión por anillos desde Uruguay: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00"/>
        <w:gridCol w:w="4720"/>
      </w:tblGrid>
      <w:tr>
        <w:trPr>
          <w:tblHeader/>
        </w:trPr>
        <w:tc>
          <w:tcPr>
            <w:tcW w:type="dxa" w:w="144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Año</w:t>
            </w:r>
          </w:p>
        </w:tc>
        <w:tc>
          <w:tcPr>
            <w:tcW w:type="dxa" w:w="3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Países activos</w:t>
            </w:r>
          </w:p>
        </w:tc>
        <w:tc>
          <w:tcPr>
            <w:tcW w:type="dxa" w:w="47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Hitos operativos</w:t>
            </w:r>
          </w:p>
        </w:tc>
      </w:tr>
      <w:tr>
        <w:tc>
          <w:tcPr>
            <w:tcW w:type="dxa" w:w="144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2026</w:t>
            </w:r>
          </w:p>
        </w:tc>
        <w:tc>
          <w:tcPr>
            <w:tcW w:type="dxa" w:w="3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Uruguay, Brasil (Sur), Paraguay, Argentina, Chile</w:t>
            </w:r>
          </w:p>
        </w:tc>
        <w:tc>
          <w:tcPr>
            <w:tcW w:type="dxa" w:w="47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Plataforma MVP, primeras 50 marcas, red logística Cono Sur</w:t>
            </w:r>
          </w:p>
        </w:tc>
      </w:tr>
      <w:tr>
        <w:tc>
          <w:tcPr>
            <w:tcW w:type="dxa" w:w="144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2027</w:t>
            </w:r>
          </w:p>
        </w:tc>
        <w:tc>
          <w:tcPr>
            <w:tcW w:type="dxa" w:w="3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Consolidación Cono Sur</w:t>
            </w:r>
          </w:p>
        </w:tc>
        <w:tc>
          <w:tcPr>
            <w:tcW w:type="dxa" w:w="47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100 marcas, 10.000 SKUs, CORE Market live en 5 países</w:t>
            </w:r>
          </w:p>
        </w:tc>
      </w:tr>
      <w:tr>
        <w:tc>
          <w:tcPr>
            <w:tcW w:type="dxa" w:w="144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2028</w:t>
            </w:r>
          </w:p>
        </w:tc>
        <w:tc>
          <w:tcPr>
            <w:tcW w:type="dxa" w:w="3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Perú, Colombia</w:t>
            </w:r>
          </w:p>
        </w:tc>
        <w:tc>
          <w:tcPr>
            <w:tcW w:type="dxa" w:w="47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CORE Rep en Andina, Intelligence en beta</w:t>
            </w:r>
          </w:p>
        </w:tc>
      </w:tr>
      <w:tr>
        <w:tc>
          <w:tcPr>
            <w:tcW w:type="dxa" w:w="144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2029</w:t>
            </w:r>
          </w:p>
        </w:tc>
        <w:tc>
          <w:tcPr>
            <w:tcW w:type="dxa" w:w="3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México</w:t>
            </w:r>
          </w:p>
        </w:tc>
        <w:tc>
          <w:tcPr>
            <w:tcW w:type="dxa" w:w="47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Entrada al mercado más grande de LATAM vía CORE Market B2B</w:t>
            </w:r>
          </w:p>
        </w:tc>
      </w:tr>
      <w:tr>
        <w:tc>
          <w:tcPr>
            <w:tcW w:type="dxa" w:w="144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2030</w:t>
            </w:r>
          </w:p>
        </w:tc>
        <w:tc>
          <w:tcPr>
            <w:tcW w:type="dxa" w:w="3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Bolivia + revisión</w:t>
            </w:r>
          </w:p>
        </w:tc>
        <w:tc>
          <w:tcPr>
            <w:tcW w:type="dxa" w:w="47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10 países, red logística completa, Finance en diseño</w:t>
            </w:r>
          </w:p>
        </w:tc>
      </w:tr>
      <w:tr>
        <w:tc>
          <w:tcPr>
            <w:tcW w:type="dxa" w:w="144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2031–2035</w:t>
            </w:r>
          </w:p>
        </w:tc>
        <w:tc>
          <w:tcPr>
            <w:tcW w:type="dxa" w:w="3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Consolidación regional</w:t>
            </w:r>
          </w:p>
        </w:tc>
        <w:tc>
          <w:tcPr>
            <w:tcW w:type="dxa" w:w="47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Liderazgo de mercado, 50.000 empresas, Finance activo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FC4" w:sz="4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06 · Modelo de Monetización Detallado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4F9C"/>
          <w:sz w:val="24"/>
          <w:szCs w:val="24"/>
        </w:rPr>
        <w:t xml:space="preserve">CORE Logistics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Tarifa por envío (nacional / internacional)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Tarifa por m³ de almacenamiento mensual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Tarifa por operación de aduana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Tarifa por picking, packing y fulfillment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Premium: entrega express, same-day, tracking avanzado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4F9C"/>
          <w:sz w:val="24"/>
          <w:szCs w:val="24"/>
        </w:rPr>
        <w:t xml:space="preserve">CORE Rep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Fee mensual fijo por marca representada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Comisión % sobre ventas generadas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Fee por desarrollo de nuevo mercado / canal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Servicios adicionales: estudios de mercado, auditorías de canal, material POP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4F9C"/>
          <w:sz w:val="24"/>
          <w:szCs w:val="24"/>
        </w:rPr>
        <w:t xml:space="preserve">CORE Market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Comisión % por transacción completada (variable por categoría)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Suscripción Seller Basic / Seller Pro (mensual)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Suscripción Buyer Premium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Sponsored listings y Sponsored brands (CPM / CPC)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FC4" w:sz="4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07 · Estructura de la Inversión</w:t>
      </w:r>
    </w:p>
    <w:p>
      <w:pPr>
        <w:spacing w:after="12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La inversión se destina a tres pilares: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5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Destinación</w:t>
            </w:r>
          </w:p>
        </w:tc>
        <w:tc>
          <w:tcPr>
            <w:tcW w:type="dxa" w:w="21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sugerido</w:t>
            </w:r>
          </w:p>
        </w:tc>
      </w:tr>
      <w:tr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5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Desarrollo de plataforma, APIs, infraestructura cloud, seguridad</w:t>
            </w:r>
          </w:p>
        </w:tc>
        <w:tc>
          <w:tcPr>
            <w:tcW w:type="dxa" w:w="21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Expansión operativa</w:t>
            </w:r>
          </w:p>
        </w:tc>
        <w:tc>
          <w:tcPr>
            <w:tcW w:type="dxa" w:w="5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Depósitos, zonas francas, equipos en nuevos países</w:t>
            </w:r>
          </w:p>
        </w:tc>
        <w:tc>
          <w:tcPr>
            <w:tcW w:type="dxa" w:w="21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Comercial &amp; Marketing</w:t>
            </w:r>
          </w:p>
        </w:tc>
        <w:tc>
          <w:tcPr>
            <w:tcW w:type="dxa" w:w="5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Onboarding de marcas, desarrollo de canales, presencia regional</w:t>
            </w:r>
          </w:p>
        </w:tc>
        <w:tc>
          <w:tcPr>
            <w:tcW w:type="dxa" w:w="21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25%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FC4" w:sz="4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08 · Roadmap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rPr>
          <w:tblHeader/>
        </w:trPr>
        <w:tc>
          <w:tcPr>
            <w:tcW w:type="dxa" w:w="16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57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Entregables tecnológicos</w:t>
            </w:r>
          </w:p>
        </w:tc>
      </w:tr>
      <w:tr>
        <w:tc>
          <w:tcPr>
            <w:tcW w:type="dxa" w:w="16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MVP</w:t>
            </w:r>
          </w:p>
        </w:tc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Q2–Q3 2026</w:t>
            </w:r>
          </w:p>
        </w:tc>
        <w:tc>
          <w:tcPr>
            <w:tcW w:type="dxa" w:w="57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Logistics Engine v1, Rep Engine v1, Market Engine v1, Identity &amp; Access</w:t>
            </w:r>
          </w:p>
        </w:tc>
      </w:tr>
      <w:tr>
        <w:tc>
          <w:tcPr>
            <w:tcW w:type="dxa" w:w="16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Growth</w:t>
            </w:r>
          </w:p>
        </w:tc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Q4 2026–2027</w:t>
            </w:r>
          </w:p>
        </w:tc>
        <w:tc>
          <w:tcPr>
            <w:tcW w:type="dxa" w:w="57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Billing, Integrations Layer, APIs públicas, mobile app</w:t>
            </w:r>
          </w:p>
        </w:tc>
      </w:tr>
      <w:tr>
        <w:tc>
          <w:tcPr>
            <w:tcW w:type="dxa" w:w="16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Scale</w:t>
            </w:r>
          </w:p>
        </w:tc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2028–2029</w:t>
            </w:r>
          </w:p>
        </w:tc>
        <w:tc>
          <w:tcPr>
            <w:tcW w:type="dxa" w:w="57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Intelligence Engine, event-driven architecture completa, data lake</w:t>
            </w:r>
          </w:p>
        </w:tc>
      </w:tr>
      <w:tr>
        <w:tc>
          <w:tcPr>
            <w:tcW w:type="dxa" w:w="16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Leadership</w:t>
            </w:r>
          </w:p>
        </w:tc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2030–2035</w:t>
            </w:r>
          </w:p>
        </w:tc>
        <w:tc>
          <w:tcPr>
            <w:tcW w:type="dxa" w:w="57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Finance Engine, AI predictivo, Globe Experience, 500M eventos/año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FC4" w:sz="4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09 · Por Qué Ahora</w:t>
      </w:r>
    </w:p>
    <w:p>
      <w:pPr>
        <w:spacing w:after="12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Tres factores convergen en 2026 para hacer de este el momento óptimo de inversión: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Digitalización acelerada post-pandemia: las empresas latinoamericanas adoptaron herramientas digitales a una velocidad sin precedentes. La ventana de captura de mercado está abierta.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Vacío de plataforma integrada: los operadores actuales son verticales (solo logística o solo marketplace). Nadie integró las tres capas.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Infraestructura CORE ya construida: Uruguay HQ operativo, primeras marcas en plataforma, arquitectura tecnológica validada. No es una apuesta en etapa cero.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FC4" w:sz="4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10 · Resumen Ejecutivo para Inversores</w:t>
      </w:r>
    </w:p>
    <w:p>
      <w:pPr>
        <w:pBdr>
          <w:left w:val="single" w:color="1A4F9C" w:sz="12" w:space="4"/>
        </w:pBdr>
        <w:shd w:fill="D8E8F8" w:val="clear"/>
        <w:spacing w:after="120" w:before="120"/>
        <w:ind w:left="360" w:right="360"/>
      </w:pPr>
      <w:r>
        <w:rPr>
          <w:rFonts w:ascii="Calibri" w:cs="Calibri" w:eastAsia="Calibri" w:hAnsi="Calibri"/>
          <w:i/>
          <w:iCs/>
          <w:color w:val="0D2B55"/>
          <w:sz w:val="22"/>
          <w:szCs w:val="22"/>
        </w:rPr>
        <w:t xml:space="preserve">CORE es una oportunidad de construir el operador comercial y logístico de referencia para Latinoamérica. Un mercado de USD 377B, sin líder integrado, con tecnología propia, equipo regional y modelo de ingresos múltiple. El momento es ahora.</w:t>
      </w:r>
    </w:p>
    <w:p>
      <w:pPr>
        <w:spacing w:after="60" w:before="60"/>
      </w:pPr>
      <w:r>
        <w:t xml:space="preserve"/>
      </w:r>
    </w:p>
    <w:p>
      <w:pPr>
        <w:pBdr>
          <w:bottom w:val="single" w:color="C9A84C" w:sz="6" w:space="1"/>
        </w:pBdr>
        <w:spacing w:after="120" w:before="12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7A7A7A"/>
          <w:sz w:val="22"/>
          <w:szCs w:val="22"/>
        </w:rPr>
        <w:t xml:space="preserve">Documento preparado para rondas de inversión Seed / Serie A. Cifras de mercado basadas en reportes públicos de Statista, ECLAC, World Bank y análisis internos de CORE.</w:t>
      </w:r>
    </w:p>
    <w:p>
      <w:pPr>
        <w:sectPr>
          <w:headerReference w:type="default" r:id="rId9"/>
          <w:footerReference w:type="default" r:id="rId10"/>
          <w:type w:val="nextPage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hd w:fill="0D2B55" w:val="clear"/>
        <w:spacing w:after="0" w:before="0"/>
      </w:pPr>
      <w:r>
        <w:rPr>
          <w:rFonts w:ascii="Calibri" w:cs="Calibri" w:eastAsia="Calibri" w:hAnsi="Calibri"/>
          <w:sz w:val="4"/>
          <w:szCs w:val="4"/>
        </w:rPr>
        <w:t xml:space="preserve"> </w:t>
      </w:r>
    </w:p>
    <w:p>
      <w:pPr>
        <w:spacing w:after="80" w:before="2000"/>
        <w:jc w:val="center"/>
      </w:pPr>
      <w:r>
        <w:rPr>
          <w:rFonts w:ascii="Calibri" w:cs="Calibri" w:eastAsia="Calibri" w:hAnsi="Calibri"/>
          <w:b/>
          <w:bCs/>
          <w:color w:val="7A7A7A"/>
          <w:sz w:val="40"/>
          <w:szCs w:val="40"/>
        </w:rPr>
        <w:t xml:space="preserve">03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0D2B55"/>
          <w:sz w:val="104"/>
          <w:szCs w:val="104"/>
        </w:rPr>
        <w:t xml:space="preserve">CORE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1A4F9C"/>
          <w:sz w:val="40"/>
          <w:szCs w:val="40"/>
        </w:rPr>
        <w:t xml:space="preserve">Technical Specification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color w:val="4A4A4A"/>
          <w:sz w:val="26"/>
          <w:szCs w:val="26"/>
        </w:rPr>
        <w:t xml:space="preserve">Arquitectura, APIs, Base de Datos e Infraestructura</w:t>
      </w:r>
    </w:p>
    <w:p>
      <w:pPr>
        <w:pBdr>
          <w:bottom w:val="single" w:color="C9A84C" w:sz="6" w:space="1"/>
        </w:pBdr>
        <w:spacing w:after="120" w:before="120"/>
      </w:pPr>
      <w:r>
        <w:t xml:space="preserve"/>
      </w:r>
    </w:p>
    <w:p>
      <w:pPr>
        <w:spacing w:after="80" w:before="240"/>
        <w:jc w:val="center"/>
      </w:pPr>
      <w:r>
        <w:rPr>
          <w:rFonts w:ascii="Calibri" w:cs="Calibri" w:eastAsia="Calibri" w:hAnsi="Calibri"/>
          <w:i/>
          <w:iCs/>
          <w:color w:val="7A7A7A"/>
          <w:sz w:val="22"/>
          <w:szCs w:val="22"/>
        </w:rPr>
        <w:t xml:space="preserve">Para equipos de desarrollo, arquitectura e ingeniería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7A7A7A"/>
          <w:sz w:val="20"/>
          <w:szCs w:val="20"/>
        </w:rPr>
        <w:t xml:space="preserve">Versión 1.0 — Mayo 2026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i/>
          <w:iCs/>
          <w:color w:val="C0392B"/>
          <w:sz w:val="20"/>
          <w:szCs w:val="20"/>
        </w:rPr>
        <w:t xml:space="preserve">Confidencial — Uso interno</w:t>
      </w:r>
    </w:p>
    <w:p>
      <w:r>
        <w:br w:type="page"/>
      </w:r>
    </w:p>
    <w:p>
      <w:pPr>
        <w:pStyle w:val="Heading1"/>
        <w:shd w:fill="0D2B55" w:val="clear"/>
        <w:spacing w:after="240" w:before="0"/>
        <w:ind w:left="360" w:right="36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CORE — Technical Specification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FC4" w:sz="4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1. Visión General de la Arquitectura</w:t>
      </w:r>
    </w:p>
    <w:p>
      <w:pPr>
        <w:spacing w:after="12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CORE es una plataforma SaaS multi-tenant construida sobre principios API-first, event-driven y cloud-native. La arquitectura soporta múltiples países, monedas, idiomas y verticales de negocio desde una infraestructura unificada.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4F9C"/>
          <w:sz w:val="24"/>
          <w:szCs w:val="24"/>
        </w:rPr>
        <w:t xml:space="preserve">1.1 Principios Arquitectónicos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Principio</w:t>
            </w:r>
          </w:p>
        </w:tc>
        <w:tc>
          <w:tcPr>
            <w:tcW w:type="dxa" w:w="6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Multi-tenant</w:t>
            </w:r>
          </w:p>
        </w:tc>
        <w:tc>
          <w:tcPr>
            <w:tcW w:type="dxa" w:w="6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Un solo despliegue sirve a todos los clientes con aislamiento de datos por tenant_id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API-first</w:t>
            </w:r>
          </w:p>
        </w:tc>
        <w:tc>
          <w:tcPr>
            <w:tcW w:type="dxa" w:w="6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Todo el negocio expuesto como API. La UI consume las mismas APIs que los integradores externos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Event-driven</w:t>
            </w:r>
          </w:p>
        </w:tc>
        <w:tc>
          <w:tcPr>
            <w:tcW w:type="dxa" w:w="6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Cada acción de negocio emite un evento al bus. Los módulos reaccionan de forma asíncrona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Cloud-native</w:t>
            </w:r>
          </w:p>
        </w:tc>
        <w:tc>
          <w:tcPr>
            <w:tcW w:type="dxa" w:w="6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Diseñado para Kubernetes, auto-scaling, health checks y observabilidad desde el inicio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Zero-trust security</w:t>
            </w:r>
          </w:p>
        </w:tc>
        <w:tc>
          <w:tcPr>
            <w:tcW w:type="dxa" w:w="6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Autenticación en cada servicio. No se asume confianza por red interna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Data residency</w:t>
            </w:r>
          </w:p>
        </w:tc>
        <w:tc>
          <w:tcPr>
            <w:tcW w:type="dxa" w:w="6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Datos de cada país almacenados en la región correspondiente para compliance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FC4" w:sz="4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2. Diagrama de Capas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  FRONTEND  (Web + Mobile PWA)            │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  React / Next.js  +  React Native        │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└───────────────────┬─────────────────────────────┘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│ HTTPS / WSS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┌───────────────────▼─────────────────────────────┐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       API GATEWAY                        │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Rate limiting · Auth (JWT) · Routing · Logs    │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└───┬────────┬────────┬────────┬──────────────────┘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│        │        │        │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┌───▼──┐ ┌───▼──┐ ┌───▼──┐ ┌───▼────────────────┐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LS  │ │  RS  │ │  MS  │ │  Identity Service  │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│Logis.│ │ Rep  │ │Mkt.  │ │  Auth / RBAC / IAM │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└──┬───┘ └──┬───┘ └──┬───┘ └────────────────────┘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│        │        │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┌──▼────────▼────────▼────────────────────────────┐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    EVENT BUS (Kafka / PubSub)            │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order.created · shipment.dispatched · inv.upd  │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└───────────────────┬─────────────────────────────┘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│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┌───────────────────▼─────────────────────────────┐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DATABASE CLUSTER (PostgreSQL / AlloyDB)     │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Particionado por país · Read replicas        │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└───────────────────┬─────────────────────────────┘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│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┌───────────────────▼─────────────────────────────┐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   DATA LAKE  (S3 / GCS)                  │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Eventos · Logs · Analytics · ML training      │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└─────────────────────────────────────────────────┘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FC4" w:sz="4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3. Microservicios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0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3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1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DB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logistics-service</w:t>
            </w:r>
          </w:p>
        </w:tc>
        <w:tc>
          <w:tcPr>
            <w:tcW w:type="dxa" w:w="3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Órdenes, envíos, tracking, depósitos, aduanas</w:t>
            </w:r>
          </w:p>
        </w:tc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Node.js / TypeScript</w:t>
            </w:r>
          </w:p>
        </w:tc>
        <w:tc>
          <w:tcPr>
            <w:tcW w:type="dxa" w:w="1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rep-service</w:t>
            </w:r>
          </w:p>
        </w:tc>
        <w:tc>
          <w:tcPr>
            <w:tcW w:type="dxa" w:w="3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Marcas, productos, canales, distribuidores</w:t>
            </w:r>
          </w:p>
        </w:tc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Node.js / TypeScript</w:t>
            </w:r>
          </w:p>
        </w:tc>
        <w:tc>
          <w:tcPr>
            <w:tcW w:type="dxa" w:w="1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market-service</w:t>
            </w:r>
          </w:p>
        </w:tc>
        <w:tc>
          <w:tcPr>
            <w:tcW w:type="dxa" w:w="3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Listings, carrito, transacciones, pagos</w:t>
            </w:r>
          </w:p>
        </w:tc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Node.js / TypeScript</w:t>
            </w:r>
          </w:p>
        </w:tc>
        <w:tc>
          <w:tcPr>
            <w:tcW w:type="dxa" w:w="1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identity-service</w:t>
            </w:r>
          </w:p>
        </w:tc>
        <w:tc>
          <w:tcPr>
            <w:tcW w:type="dxa" w:w="3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Auth, usuarios, roles, permisos, tenants</w:t>
            </w:r>
          </w:p>
        </w:tc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Node.js / TypeScript</w:t>
            </w:r>
          </w:p>
        </w:tc>
        <w:tc>
          <w:tcPr>
            <w:tcW w:type="dxa" w:w="1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billing-service</w:t>
            </w:r>
          </w:p>
        </w:tc>
        <w:tc>
          <w:tcPr>
            <w:tcW w:type="dxa" w:w="3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Facturas, tarifas, suscripciones, cobros</w:t>
            </w:r>
          </w:p>
        </w:tc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Node.js / TypeScript</w:t>
            </w:r>
          </w:p>
        </w:tc>
        <w:tc>
          <w:tcPr>
            <w:tcW w:type="dxa" w:w="1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intelligence-service</w:t>
            </w:r>
          </w:p>
        </w:tc>
        <w:tc>
          <w:tcPr>
            <w:tcW w:type="dxa" w:w="3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Analítica, ML, forecasting, reportes</w:t>
            </w:r>
          </w:p>
        </w:tc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Python / FastAPI</w:t>
            </w:r>
          </w:p>
        </w:tc>
        <w:tc>
          <w:tcPr>
            <w:tcW w:type="dxa" w:w="1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AlloyDB + BigQuery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integration-service</w:t>
            </w:r>
          </w:p>
        </w:tc>
        <w:tc>
          <w:tcPr>
            <w:tcW w:type="dxa" w:w="3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AFIP, Receita, APIs externas, webhooks</w:t>
            </w:r>
          </w:p>
        </w:tc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Node.js / TypeScript</w:t>
            </w:r>
          </w:p>
        </w:tc>
        <w:tc>
          <w:tcPr>
            <w:tcW w:type="dxa" w:w="1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Redis + Queue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3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Email, push, webhooks salientes</w:t>
            </w:r>
          </w:p>
        </w:tc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Node.js</w:t>
            </w:r>
          </w:p>
        </w:tc>
        <w:tc>
          <w:tcPr>
            <w:tcW w:type="dxa" w:w="1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Redis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FC4" w:sz="4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4. API Design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4F9C"/>
          <w:sz w:val="24"/>
          <w:szCs w:val="24"/>
        </w:rPr>
        <w:t xml:space="preserve">4.1 Convenciones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REST sobre HTTPS para todas las operaciones CRUD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GraphQL para queries complejas del frontend (market-service, intelligence-service)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WebSockets para tracking en tiempo real y notificaciones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Versioning explícito en URL: /api/v1/, /api/v2/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Autenticación: Bearer JWT en Authorization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Formato: JSON. Fechas en ISO 8601. Monedas en ISO 4217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4F9C"/>
          <w:sz w:val="24"/>
          <w:szCs w:val="24"/>
        </w:rPr>
        <w:t xml:space="preserve">4.2 Endpoints Clave — Logistics Service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  /api/v1/shipments              # Crear envío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    /api/v1/shipments/:id          # Obtener envío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    /api/v1/shipments/:id/tracking # Tracking en tiempo real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  /api/v1/orders                 # Crear orden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    /api/v1/inventory/:sku_id      # Stock por SKU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PATCH  /api/v1/inventory/:sku_id      # Actualizar stock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  /api/v1/customs/declarations   # Declaración aduanera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4F9C"/>
          <w:sz w:val="24"/>
          <w:szCs w:val="24"/>
        </w:rPr>
        <w:t xml:space="preserve">4.3 Endpoints Clave — Market Service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    /api/v1/listings               # Catálogo público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  /api/v1/listings               # Crear listing (seller)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  /api/v1/cart/items             # Agregar al carrito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  /api/v1/transactions           # Iniciar transacción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    /api/v1/transactions/:id       # Estado de transacción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  /api/v1/payments               # Procesar pago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4F9C"/>
          <w:sz w:val="24"/>
          <w:szCs w:val="24"/>
        </w:rPr>
        <w:t xml:space="preserve">4.4 Autenticación y Autorización</w:t>
      </w:r>
    </w:p>
    <w:p>
      <w:pPr>
        <w:spacing w:after="12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CORE implementa OAuth2 + JWT con RBAC (Role-Based Access Control) complementado con ABAC (Attribute-Based Access Control) para reglas contextuales.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JWT Payload estándar CORE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{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"sub": "user_uuid",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"tenant_id": "tenant_uuid",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"company_id": "company_uuid",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"country_code": "UY",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"roles": ["admin_empresa", "operador_logistico"],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"permissions": ["shipments:write", "inventory:read"],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"exp": 1735689600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FC4" w:sz="4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5. Modelo de Base de Datos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4F9C"/>
          <w:sz w:val="24"/>
          <w:szCs w:val="24"/>
        </w:rPr>
        <w:t xml:space="preserve">5.1 Configuración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Motor: PostgreSQL 16 / AlloyDB (Google Cloud) para cargas analíticas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Particionamiento por country_code en tablas operativas de alto volumen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Tablas maestras (tenants, users, roles) globales sin partición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Read replicas por región para queries de lectura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Connection pooling via PgBouncer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Backups automáticos cada 6 horas con retención de 30 días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4F9C"/>
          <w:sz w:val="24"/>
          <w:szCs w:val="24"/>
        </w:rPr>
        <w:t xml:space="preserve">5.2 Convenciones de Esquema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-- Todas las tablas críticas incluyen: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id            UUID PRIMARY KEY DEFAULT gen_random_uuid()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tenant_id     UUID NOT NULL REFERENCES tenants(id)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country_code  CHAR(2) NOT NULL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currency_code CHAR(3)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created_at    TIMESTAMPTZ DEFAULT NOW()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created_by    UUID REFERENCES users(id)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updated_at    TIMESTAMPTZ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updated_by    UUID REFERENCES users(id)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version       INT DEFAULT 1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is_active     BOOLEAN DEFAULT true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is_deleted    BOOLEAN DEFAULT false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4F9C"/>
          <w:sz w:val="24"/>
          <w:szCs w:val="24"/>
        </w:rPr>
        <w:t xml:space="preserve">5.3 Tablas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Registros estimados 2035</w:t>
            </w:r>
          </w:p>
        </w:tc>
        <w:tc>
          <w:tcPr>
            <w:tcW w:type="dxa" w:w="37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Partición</w:t>
            </w:r>
          </w:p>
        </w:tc>
      </w:tr>
      <w:tr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tenants</w:t>
            </w:r>
          </w:p>
        </w:tc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1.000</w:t>
            </w:r>
          </w:p>
        </w:tc>
        <w:tc>
          <w:tcPr>
            <w:tcW w:type="dxa" w:w="37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Sin partición</w:t>
            </w:r>
          </w:p>
        </w:tc>
      </w:tr>
      <w:tr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500.000</w:t>
            </w:r>
          </w:p>
        </w:tc>
        <w:tc>
          <w:tcPr>
            <w:tcW w:type="dxa" w:w="37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Por tenant_id</w:t>
            </w:r>
          </w:p>
        </w:tc>
      </w:tr>
      <w:tr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companies</w:t>
            </w:r>
          </w:p>
        </w:tc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50.000</w:t>
            </w:r>
          </w:p>
        </w:tc>
        <w:tc>
          <w:tcPr>
            <w:tcW w:type="dxa" w:w="37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Por country_code</w:t>
            </w:r>
          </w:p>
        </w:tc>
      </w:tr>
      <w:tr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brands</w:t>
            </w:r>
          </w:p>
        </w:tc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10.000</w:t>
            </w:r>
          </w:p>
        </w:tc>
        <w:tc>
          <w:tcPr>
            <w:tcW w:type="dxa" w:w="37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Sin partición</w:t>
            </w:r>
          </w:p>
        </w:tc>
      </w:tr>
      <w:tr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products</w:t>
            </w:r>
          </w:p>
        </w:tc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200.000</w:t>
            </w:r>
          </w:p>
        </w:tc>
        <w:tc>
          <w:tcPr>
            <w:tcW w:type="dxa" w:w="37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Sin partición</w:t>
            </w:r>
          </w:p>
        </w:tc>
      </w:tr>
      <w:tr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skus</w:t>
            </w:r>
          </w:p>
        </w:tc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2.000.000</w:t>
            </w:r>
          </w:p>
        </w:tc>
        <w:tc>
          <w:tcPr>
            <w:tcW w:type="dxa" w:w="37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Sin partición</w:t>
            </w:r>
          </w:p>
        </w:tc>
      </w:tr>
      <w:tr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inventory</w:t>
            </w:r>
          </w:p>
        </w:tc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50.000.000</w:t>
            </w:r>
          </w:p>
        </w:tc>
        <w:tc>
          <w:tcPr>
            <w:tcW w:type="dxa" w:w="37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Por country_code + warehouse_id</w:t>
            </w:r>
          </w:p>
        </w:tc>
      </w:tr>
      <w:tr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orders</w:t>
            </w:r>
          </w:p>
        </w:tc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200.000.000</w:t>
            </w:r>
          </w:p>
        </w:tc>
        <w:tc>
          <w:tcPr>
            <w:tcW w:type="dxa" w:w="37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Por country_code + year</w:t>
            </w:r>
          </w:p>
        </w:tc>
      </w:tr>
      <w:tr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shipments</w:t>
            </w:r>
          </w:p>
        </w:tc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100.000.000</w:t>
            </w:r>
          </w:p>
        </w:tc>
        <w:tc>
          <w:tcPr>
            <w:tcW w:type="dxa" w:w="37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Por country_code + year</w:t>
            </w:r>
          </w:p>
        </w:tc>
      </w:tr>
      <w:tr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tracking_events</w:t>
            </w:r>
          </w:p>
        </w:tc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1.000.000.000</w:t>
            </w:r>
          </w:p>
        </w:tc>
        <w:tc>
          <w:tcPr>
            <w:tcW w:type="dxa" w:w="37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Por shipment_id + year</w:t>
            </w:r>
          </w:p>
        </w:tc>
      </w:tr>
      <w:tr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listings</w:t>
            </w:r>
          </w:p>
        </w:tc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5.000.000</w:t>
            </w:r>
          </w:p>
        </w:tc>
        <w:tc>
          <w:tcPr>
            <w:tcW w:type="dxa" w:w="37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Por country_code</w:t>
            </w:r>
          </w:p>
        </w:tc>
      </w:tr>
      <w:tr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100.000.000</w:t>
            </w:r>
          </w:p>
        </w:tc>
        <w:tc>
          <w:tcPr>
            <w:tcW w:type="dxa" w:w="37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Por country_code + year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FC4" w:sz="4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6. Event-Driven Architecture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4F9C"/>
          <w:sz w:val="24"/>
          <w:szCs w:val="24"/>
        </w:rPr>
        <w:t xml:space="preserve">6.1 Bus de Eventos</w:t>
      </w:r>
    </w:p>
    <w:p>
      <w:pPr>
        <w:spacing w:after="12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CORE usa Apache Kafka (auto-gestionado en Kubernetes) o Google Pub/Sub (managed) como bus de eventos. Todos los servicios publican y consumen eventos en formato CloudEvents 1.0.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4F9C"/>
          <w:sz w:val="24"/>
          <w:szCs w:val="24"/>
        </w:rPr>
        <w:t xml:space="preserve">6.2 Eventos de Dominio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Formato CloudEvents 1.0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{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"specversion": "1.0",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"type": "core.logistics.shipment.dispatched",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"source": "logistics-service",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"id": "evt_uuid",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"time": "2026-05-30T10:00:00Z",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"datacontenttype": "application/json",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"data": {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"shipment_id": "...",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"tenant_id": "...",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"carrier": "DHL",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"tracking_code": "..."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}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2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Productor</w:t>
            </w:r>
          </w:p>
        </w:tc>
        <w:tc>
          <w:tcPr>
            <w:tcW w:type="dxa" w:w="41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Consumidores</w:t>
            </w:r>
          </w:p>
        </w:tc>
      </w:tr>
      <w:tr>
        <w:tc>
          <w:tcPr>
            <w:tcW w:type="dxa" w:w="3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core.order.created</w:t>
            </w:r>
          </w:p>
        </w:tc>
        <w:tc>
          <w:tcPr>
            <w:tcW w:type="dxa" w:w="2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market-service</w:t>
            </w:r>
          </w:p>
        </w:tc>
        <w:tc>
          <w:tcPr>
            <w:tcW w:type="dxa" w:w="41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logistics-service, billing-service, notification-service</w:t>
            </w:r>
          </w:p>
        </w:tc>
      </w:tr>
      <w:tr>
        <w:tc>
          <w:tcPr>
            <w:tcW w:type="dxa" w:w="3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core.shipment.dispatched</w:t>
            </w:r>
          </w:p>
        </w:tc>
        <w:tc>
          <w:tcPr>
            <w:tcW w:type="dxa" w:w="2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logistics-service</w:t>
            </w:r>
          </w:p>
        </w:tc>
        <w:tc>
          <w:tcPr>
            <w:tcW w:type="dxa" w:w="41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notification-service, intelligence-service</w:t>
            </w:r>
          </w:p>
        </w:tc>
      </w:tr>
      <w:tr>
        <w:tc>
          <w:tcPr>
            <w:tcW w:type="dxa" w:w="3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core.inventory.updated</w:t>
            </w:r>
          </w:p>
        </w:tc>
        <w:tc>
          <w:tcPr>
            <w:tcW w:type="dxa" w:w="2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logistics-service</w:t>
            </w:r>
          </w:p>
        </w:tc>
        <w:tc>
          <w:tcPr>
            <w:tcW w:type="dxa" w:w="41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market-service (stock sync), intelligence-service</w:t>
            </w:r>
          </w:p>
        </w:tc>
      </w:tr>
      <w:tr>
        <w:tc>
          <w:tcPr>
            <w:tcW w:type="dxa" w:w="3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core.transaction.completed</w:t>
            </w:r>
          </w:p>
        </w:tc>
        <w:tc>
          <w:tcPr>
            <w:tcW w:type="dxa" w:w="2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market-service</w:t>
            </w:r>
          </w:p>
        </w:tc>
        <w:tc>
          <w:tcPr>
            <w:tcW w:type="dxa" w:w="41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billing-service, rep-service (comisión), notification-service</w:t>
            </w:r>
          </w:p>
        </w:tc>
      </w:tr>
      <w:tr>
        <w:tc>
          <w:tcPr>
            <w:tcW w:type="dxa" w:w="3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core.user.created</w:t>
            </w:r>
          </w:p>
        </w:tc>
        <w:tc>
          <w:tcPr>
            <w:tcW w:type="dxa" w:w="2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identity-service</w:t>
            </w:r>
          </w:p>
        </w:tc>
        <w:tc>
          <w:tcPr>
            <w:tcW w:type="dxa" w:w="41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notification-service (welcome), billing-service</w:t>
            </w:r>
          </w:p>
        </w:tc>
      </w:tr>
      <w:tr>
        <w:tc>
          <w:tcPr>
            <w:tcW w:type="dxa" w:w="3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core.payment.failed</w:t>
            </w:r>
          </w:p>
        </w:tc>
        <w:tc>
          <w:tcPr>
            <w:tcW w:type="dxa" w:w="2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billing-service</w:t>
            </w:r>
          </w:p>
        </w:tc>
        <w:tc>
          <w:tcPr>
            <w:tcW w:type="dxa" w:w="41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notification-service, market-service (hold order)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FC4" w:sz="4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7. Seguridad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4F9C"/>
          <w:sz w:val="24"/>
          <w:szCs w:val="24"/>
        </w:rPr>
        <w:t xml:space="preserve">7.1 Stack de Seguridad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TLS 1.3 obligatorio en todos los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OAuth2 / OIDC para autenticación. JWT RS256 firmado con rotación de claves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RBAC + ABAC para autorización granular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Cifrado AES-256 en reposo para datos sensibles (credentials, payment_data)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Secrets management via HashiCorp Vault o GCP Secret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WAF (Web Application Firewall) en API Gateway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Rate limiting por IP, tenant y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Auditoría completa: cada mutación genera registro en audit_log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4F9C"/>
          <w:sz w:val="24"/>
          <w:szCs w:val="24"/>
        </w:rPr>
        <w:t xml:space="preserve">7.2 Auditoría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-- Tabla audit_log (inmutable)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CREATE TABLE audit_log (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id           UUID PRIMARY KEY,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tenant_id    UUID NOT NULL,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user_id      UUID,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action       VARCHAR(100),   -- 'shipment.create', 'user.delete'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entity_type  VARCHAR(50),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entity_id    UUID,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before_data  JSONB,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after_data   JSONB,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ip_address   INET,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user_agent   TEXT,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created_at   TIMESTAMPTZ DEFAULT NOW()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FC4" w:sz="4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8. Infraestructura y DevOps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4F9C"/>
          <w:sz w:val="24"/>
          <w:szCs w:val="24"/>
        </w:rPr>
        <w:t xml:space="preserve">8.1 Cloud &amp; Orquestación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5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Orquestación</w:t>
            </w:r>
          </w:p>
        </w:tc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Kubernetes (GKE / EKS)</w:t>
            </w:r>
          </w:p>
        </w:tc>
        <w:tc>
          <w:tcPr>
            <w:tcW w:type="dxa" w:w="45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Auto-scaling por CPU y RPS</w:t>
            </w:r>
          </w:p>
        </w:tc>
      </w:tr>
      <w:tr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GitHub Actions + ArgoCD</w:t>
            </w:r>
          </w:p>
        </w:tc>
        <w:tc>
          <w:tcPr>
            <w:tcW w:type="dxa" w:w="45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GitOps, deploys automáticos a staging</w:t>
            </w:r>
          </w:p>
        </w:tc>
      </w:tr>
      <w:tr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AlloyDB / PostgreSQL 16</w:t>
            </w:r>
          </w:p>
        </w:tc>
        <w:tc>
          <w:tcPr>
            <w:tcW w:type="dxa" w:w="45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Managed, backups automáticos</w:t>
            </w:r>
          </w:p>
        </w:tc>
      </w:tr>
      <w:tr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Cache</w:t>
            </w:r>
          </w:p>
        </w:tc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Redis Cluster</w:t>
            </w:r>
          </w:p>
        </w:tc>
        <w:tc>
          <w:tcPr>
            <w:tcW w:type="dxa" w:w="45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Sessions, rate limiting, pub/sub local</w:t>
            </w:r>
          </w:p>
        </w:tc>
      </w:tr>
      <w:tr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GCS / S3</w:t>
            </w:r>
          </w:p>
        </w:tc>
        <w:tc>
          <w:tcPr>
            <w:tcW w:type="dxa" w:w="45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Media, documentos, data lake</w:t>
            </w:r>
          </w:p>
        </w:tc>
      </w:tr>
      <w:tr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CDN</w:t>
            </w:r>
          </w:p>
        </w:tc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Cloudflare</w:t>
            </w:r>
          </w:p>
        </w:tc>
        <w:tc>
          <w:tcPr>
            <w:tcW w:type="dxa" w:w="45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Assets estáticos, DDoS protection</w:t>
            </w:r>
          </w:p>
        </w:tc>
      </w:tr>
      <w:tr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Observabilidad</w:t>
            </w:r>
          </w:p>
        </w:tc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Prometheus + Grafana + Loki</w:t>
            </w:r>
          </w:p>
        </w:tc>
        <w:tc>
          <w:tcPr>
            <w:tcW w:type="dxa" w:w="45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Métricas, logs, alertas</w:t>
            </w:r>
          </w:p>
        </w:tc>
      </w:tr>
      <w:tr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Tracing</w:t>
            </w:r>
          </w:p>
        </w:tc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OpenTelemetry + Jaeger</w:t>
            </w:r>
          </w:p>
        </w:tc>
        <w:tc>
          <w:tcPr>
            <w:tcW w:type="dxa" w:w="45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Distributed tracing entre servicios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4F9C"/>
          <w:sz w:val="24"/>
          <w:szCs w:val="24"/>
        </w:rPr>
        <w:t xml:space="preserve">8.2 Escalabilidad a 2035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2026 (MVP)</w:t>
            </w:r>
          </w:p>
        </w:tc>
        <w:tc>
          <w:tcPr>
            <w:tcW w:type="dxa" w:w="1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2030 (Scale)</w:t>
            </w:r>
          </w:p>
        </w:tc>
        <w:tc>
          <w:tcPr>
            <w:tcW w:type="dxa" w:w="2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2035 (Leadership)</w:t>
            </w:r>
          </w:p>
        </w:tc>
      </w:tr>
      <w:tr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Empresas activas</w:t>
            </w:r>
          </w:p>
        </w:tc>
        <w:tc>
          <w:tcPr>
            <w:tcW w:type="dxa" w:w="1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500</w:t>
            </w:r>
          </w:p>
        </w:tc>
        <w:tc>
          <w:tcPr>
            <w:tcW w:type="dxa" w:w="1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10.000</w:t>
            </w:r>
          </w:p>
        </w:tc>
        <w:tc>
          <w:tcPr>
            <w:tcW w:type="dxa" w:w="2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50.000</w:t>
            </w:r>
          </w:p>
        </w:tc>
      </w:tr>
      <w:tr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SKUs en plataforma</w:t>
            </w:r>
          </w:p>
        </w:tc>
        <w:tc>
          <w:tcPr>
            <w:tcW w:type="dxa" w:w="1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50.000</w:t>
            </w:r>
          </w:p>
        </w:tc>
        <w:tc>
          <w:tcPr>
            <w:tcW w:type="dxa" w:w="1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500.000</w:t>
            </w:r>
          </w:p>
        </w:tc>
        <w:tc>
          <w:tcPr>
            <w:tcW w:type="dxa" w:w="2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2.000.000</w:t>
            </w:r>
          </w:p>
        </w:tc>
      </w:tr>
      <w:tr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Envíos / año</w:t>
            </w:r>
          </w:p>
        </w:tc>
        <w:tc>
          <w:tcPr>
            <w:tcW w:type="dxa" w:w="1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500.000</w:t>
            </w:r>
          </w:p>
        </w:tc>
        <w:tc>
          <w:tcPr>
            <w:tcW w:type="dxa" w:w="1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20.000.000</w:t>
            </w:r>
          </w:p>
        </w:tc>
        <w:tc>
          <w:tcPr>
            <w:tcW w:type="dxa" w:w="2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100.000.000</w:t>
            </w:r>
          </w:p>
        </w:tc>
      </w:tr>
      <w:tr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Eventos / año</w:t>
            </w:r>
          </w:p>
        </w:tc>
        <w:tc>
          <w:tcPr>
            <w:tcW w:type="dxa" w:w="1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10.000.000</w:t>
            </w:r>
          </w:p>
        </w:tc>
        <w:tc>
          <w:tcPr>
            <w:tcW w:type="dxa" w:w="1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100.000.000</w:t>
            </w:r>
          </w:p>
        </w:tc>
        <w:tc>
          <w:tcPr>
            <w:tcW w:type="dxa" w:w="2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500.000.000</w:t>
            </w:r>
          </w:p>
        </w:tc>
      </w:tr>
      <w:tr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Países</w:t>
            </w:r>
          </w:p>
        </w:tc>
        <w:tc>
          <w:tcPr>
            <w:tcW w:type="dxa" w:w="1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8</w:t>
            </w:r>
          </w:p>
        </w:tc>
        <w:tc>
          <w:tcPr>
            <w:tcW w:type="dxa" w:w="2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Uptime SLA</w:t>
            </w:r>
          </w:p>
        </w:tc>
        <w:tc>
          <w:tcPr>
            <w:tcW w:type="dxa" w:w="1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99.5%</w:t>
            </w:r>
          </w:p>
        </w:tc>
        <w:tc>
          <w:tcPr>
            <w:tcW w:type="dxa" w:w="1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99.9%</w:t>
            </w:r>
          </w:p>
        </w:tc>
        <w:tc>
          <w:tcPr>
            <w:tcW w:type="dxa" w:w="2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99.95%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FC4" w:sz="4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9. Integraciones Externas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Integración</w:t>
            </w:r>
          </w:p>
        </w:tc>
        <w:tc>
          <w:tcPr>
            <w:tcW w:type="dxa" w:w="16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AFIP (Argentina)</w:t>
            </w:r>
          </w:p>
        </w:tc>
        <w:tc>
          <w:tcPr>
            <w:tcW w:type="dxa" w:w="16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Fiscal</w:t>
            </w:r>
          </w:p>
        </w:tc>
        <w:tc>
          <w:tcPr>
            <w:tcW w:type="dxa" w:w="53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Facturación electrónica, CUIT, constancias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Receita Federal (Brasil)</w:t>
            </w:r>
          </w:p>
        </w:tc>
        <w:tc>
          <w:tcPr>
            <w:tcW w:type="dxa" w:w="16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Fiscal</w:t>
            </w:r>
          </w:p>
        </w:tc>
        <w:tc>
          <w:tcPr>
            <w:tcW w:type="dxa" w:w="53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NF-e, CPF/CNPJ validation, DANFE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DGI (Uruguay)</w:t>
            </w:r>
          </w:p>
        </w:tc>
        <w:tc>
          <w:tcPr>
            <w:tcW w:type="dxa" w:w="16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Fiscal</w:t>
            </w:r>
          </w:p>
        </w:tc>
        <w:tc>
          <w:tcPr>
            <w:tcW w:type="dxa" w:w="53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CFE (Comprobante Fiscal Electrónico)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SII (Chile)</w:t>
            </w:r>
          </w:p>
        </w:tc>
        <w:tc>
          <w:tcPr>
            <w:tcW w:type="dxa" w:w="16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Fiscal</w:t>
            </w:r>
          </w:p>
        </w:tc>
        <w:tc>
          <w:tcPr>
            <w:tcW w:type="dxa" w:w="53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Factura electrónica chilena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DHL / FedEx / UPS</w:t>
            </w:r>
          </w:p>
        </w:tc>
        <w:tc>
          <w:tcPr>
            <w:tcW w:type="dxa" w:w="16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Courier</w:t>
            </w:r>
          </w:p>
        </w:tc>
        <w:tc>
          <w:tcPr>
            <w:tcW w:type="dxa" w:w="53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Cotización, despacho, tracking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Aduana Uruguay</w:t>
            </w:r>
          </w:p>
        </w:tc>
        <w:tc>
          <w:tcPr>
            <w:tcW w:type="dxa" w:w="16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Aduana</w:t>
            </w:r>
          </w:p>
        </w:tc>
        <w:tc>
          <w:tcPr>
            <w:tcW w:type="dxa" w:w="53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Declaración de ingreso/egreso, DUA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MercadoPago</w:t>
            </w:r>
          </w:p>
        </w:tc>
        <w:tc>
          <w:tcPr>
            <w:tcW w:type="dxa" w:w="16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Pagos</w:t>
            </w:r>
          </w:p>
        </w:tc>
        <w:tc>
          <w:tcPr>
            <w:tcW w:type="dxa" w:w="53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Checkout, split de pagos, reembolsos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Stripe</w:t>
            </w:r>
          </w:p>
        </w:tc>
        <w:tc>
          <w:tcPr>
            <w:tcW w:type="dxa" w:w="16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Pagos</w:t>
            </w:r>
          </w:p>
        </w:tc>
        <w:tc>
          <w:tcPr>
            <w:tcW w:type="dxa" w:w="53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Pagos internacionales, subscriptions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Mapbox / Google Maps</w:t>
            </w:r>
          </w:p>
        </w:tc>
        <w:tc>
          <w:tcPr>
            <w:tcW w:type="dxa" w:w="16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Geolocalización</w:t>
            </w:r>
          </w:p>
        </w:tc>
        <w:tc>
          <w:tcPr>
            <w:tcW w:type="dxa" w:w="53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Geocoding, rutas, tracking visual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Twilio / SendGrid</w:t>
            </w:r>
          </w:p>
        </w:tc>
        <w:tc>
          <w:tcPr>
            <w:tcW w:type="dxa" w:w="16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53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SMS, email transaccional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FC4" w:sz="4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10. Glossary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tenant_id</w:t>
            </w:r>
          </w:p>
        </w:tc>
        <w:tc>
          <w:tcPr>
            <w:tcW w:type="dxa" w:w="6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Identificador único del cliente en la arquitectura multi-tenant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CloudEvents</w:t>
            </w:r>
          </w:p>
        </w:tc>
        <w:tc>
          <w:tcPr>
            <w:tcW w:type="dxa" w:w="6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Especificación CNCF para el formato estándar de eventos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RBAC</w:t>
            </w:r>
          </w:p>
        </w:tc>
        <w:tc>
          <w:tcPr>
            <w:tcW w:type="dxa" w:w="6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Role-Based Access Control: permisos basados en roles de usuario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ABAC</w:t>
            </w:r>
          </w:p>
        </w:tc>
        <w:tc>
          <w:tcPr>
            <w:tcW w:type="dxa" w:w="6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Attribute-Based Access Control: permisos basados en atributos contextuales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DUA</w:t>
            </w:r>
          </w:p>
        </w:tc>
        <w:tc>
          <w:tcPr>
            <w:tcW w:type="dxa" w:w="6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Documento Único Aduanero: declaración aduanera en Uruguay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CFE</w:t>
            </w:r>
          </w:p>
        </w:tc>
        <w:tc>
          <w:tcPr>
            <w:tcW w:type="dxa" w:w="6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Comprobante Fiscal Electrónico: factura electrónica en Uruguay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NF-e</w:t>
            </w:r>
          </w:p>
        </w:tc>
        <w:tc>
          <w:tcPr>
            <w:tcW w:type="dxa" w:w="6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Nota Fiscal Eletrônica: factura electrónica en Brasil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AlloyDB</w:t>
            </w:r>
          </w:p>
        </w:tc>
        <w:tc>
          <w:tcPr>
            <w:tcW w:type="dxa" w:w="6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Base de datos PostgreSQL-compatible de alto rendimiento de Google Cloud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PgBouncer</w:t>
            </w:r>
          </w:p>
        </w:tc>
        <w:tc>
          <w:tcPr>
            <w:tcW w:type="dxa" w:w="6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Connection pooler para PostgreSQL que optimiza el uso de conexiones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9A84C" w:sz="6" w:space="1"/>
        </w:pBdr>
        <w:spacing w:after="120" w:before="12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7A7A7A"/>
          <w:sz w:val="22"/>
          <w:szCs w:val="22"/>
        </w:rPr>
        <w:t xml:space="preserve">CORE Technical Specification v1.0 — Para consultas técnicas: engineering@core.lat</w:t>
      </w:r>
    </w:p>
    <w:p>
      <w:pPr>
        <w:sectPr>
          <w:headerReference w:type="default" r:id="rId11"/>
          <w:footerReference w:type="default" r:id="rId12"/>
          <w:type w:val="nextPage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hd w:fill="0D2B55" w:val="clear"/>
        <w:spacing w:after="0" w:before="0"/>
      </w:pPr>
      <w:r>
        <w:rPr>
          <w:rFonts w:ascii="Calibri" w:cs="Calibri" w:eastAsia="Calibri" w:hAnsi="Calibri"/>
          <w:sz w:val="4"/>
          <w:szCs w:val="4"/>
        </w:rPr>
        <w:t xml:space="preserve"> </w:t>
      </w:r>
    </w:p>
    <w:p>
      <w:pPr>
        <w:spacing w:after="80" w:before="2000"/>
        <w:jc w:val="center"/>
      </w:pPr>
      <w:r>
        <w:rPr>
          <w:rFonts w:ascii="Calibri" w:cs="Calibri" w:eastAsia="Calibri" w:hAnsi="Calibri"/>
          <w:b/>
          <w:bCs/>
          <w:color w:val="7A7A7A"/>
          <w:sz w:val="40"/>
          <w:szCs w:val="40"/>
        </w:rPr>
        <w:t xml:space="preserve">04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0D2B55"/>
          <w:sz w:val="104"/>
          <w:szCs w:val="104"/>
        </w:rPr>
        <w:t xml:space="preserve">CORE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1A4F9C"/>
          <w:sz w:val="40"/>
          <w:szCs w:val="40"/>
        </w:rPr>
        <w:t xml:space="preserve">Corporate Document Template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color w:val="4A4A4A"/>
          <w:sz w:val="26"/>
          <w:szCs w:val="26"/>
        </w:rPr>
        <w:t xml:space="preserve">Plantilla corporativa oficial — Versión 1.0</w:t>
      </w:r>
    </w:p>
    <w:p>
      <w:pPr>
        <w:pBdr>
          <w:bottom w:val="single" w:color="C9A84C" w:sz="6" w:space="1"/>
        </w:pBdr>
        <w:spacing w:after="120" w:before="120"/>
      </w:pPr>
      <w:r>
        <w:t xml:space="preserve"/>
      </w:r>
    </w:p>
    <w:p>
      <w:pPr>
        <w:spacing w:after="80" w:before="240"/>
        <w:jc w:val="center"/>
      </w:pPr>
      <w:r>
        <w:rPr>
          <w:rFonts w:ascii="Calibri" w:cs="Calibri" w:eastAsia="Calibri" w:hAnsi="Calibri"/>
          <w:i/>
          <w:iCs/>
          <w:color w:val="7A7A7A"/>
          <w:sz w:val="22"/>
          <w:szCs w:val="22"/>
        </w:rPr>
        <w:t xml:space="preserve">Guía de estilos y estructura para todos los documentos CORE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7A7A7A"/>
          <w:sz w:val="20"/>
          <w:szCs w:val="20"/>
        </w:rPr>
        <w:t xml:space="preserve">Versión 1.0 — Mayo 2026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i/>
          <w:iCs/>
          <w:color w:val="C0392B"/>
          <w:sz w:val="20"/>
          <w:szCs w:val="20"/>
        </w:rPr>
        <w:t xml:space="preserve">Confidencial — Uso interno</w:t>
      </w:r>
    </w:p>
    <w:p>
      <w:r>
        <w:br w:type="page"/>
      </w:r>
    </w:p>
    <w:p>
      <w:pPr>
        <w:pStyle w:val="Heading1"/>
        <w:shd w:fill="0D2B55" w:val="clear"/>
        <w:spacing w:after="240" w:before="0"/>
        <w:ind w:left="360" w:right="36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CORE — Corporate Document Template</w:t>
      </w:r>
    </w:p>
    <w:p>
      <w:pPr>
        <w:spacing w:after="60" w:before="60"/>
      </w:pPr>
      <w:r>
        <w:t xml:space="preserve"/>
      </w:r>
    </w:p>
    <w:p>
      <w:pPr>
        <w:pBdr>
          <w:left w:val="single" w:color="1A4F9C" w:sz="12" w:space="4"/>
        </w:pBdr>
        <w:shd w:fill="D8E8F8" w:val="clear"/>
        <w:spacing w:after="120" w:before="120"/>
        <w:ind w:left="360" w:right="360"/>
      </w:pPr>
      <w:r>
        <w:rPr>
          <w:rFonts w:ascii="Calibri" w:cs="Calibri" w:eastAsia="Calibri" w:hAnsi="Calibri"/>
          <w:i/>
          <w:iCs/>
          <w:color w:val="0D2B55"/>
          <w:sz w:val="22"/>
          <w:szCs w:val="22"/>
        </w:rPr>
        <w:t xml:space="preserve">Este documento es la plantilla corporativa oficial de CORE. Define los estilos, tipografía, estructura de encabezados, pie de página y formato de tablas que deben utilizarse en todos los documentos formales de la organización.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FC4" w:sz="4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01 · Identidad Visual del Documento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4F9C"/>
          <w:sz w:val="24"/>
          <w:szCs w:val="24"/>
        </w:rPr>
        <w:t xml:space="preserve">Tipografía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12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16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1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Tamaño</w:t>
            </w:r>
          </w:p>
        </w:tc>
        <w:tc>
          <w:tcPr>
            <w:tcW w:type="dxa" w:w="1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Estilo</w:t>
            </w:r>
          </w:p>
        </w:tc>
        <w:tc>
          <w:tcPr>
            <w:tcW w:type="dxa" w:w="2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Título principal (H1)</w:t>
            </w:r>
          </w:p>
        </w:tc>
        <w:tc>
          <w:tcPr>
            <w:tcW w:type="dxa" w:w="16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Calibri</w:t>
            </w:r>
          </w:p>
        </w:tc>
        <w:tc>
          <w:tcPr>
            <w:tcW w:type="dxa" w:w="1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18pt</w:t>
            </w:r>
          </w:p>
        </w:tc>
        <w:tc>
          <w:tcPr>
            <w:tcW w:type="dxa" w:w="1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Bold</w:t>
            </w:r>
          </w:p>
        </w:tc>
        <w:tc>
          <w:tcPr>
            <w:tcW w:type="dxa" w:w="2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Blanco sobre fondo #0D2B55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Subtítulo (H2)</w:t>
            </w:r>
          </w:p>
        </w:tc>
        <w:tc>
          <w:tcPr>
            <w:tcW w:type="dxa" w:w="16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Calibri</w:t>
            </w:r>
          </w:p>
        </w:tc>
        <w:tc>
          <w:tcPr>
            <w:tcW w:type="dxa" w:w="1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14pt</w:t>
            </w:r>
          </w:p>
        </w:tc>
        <w:tc>
          <w:tcPr>
            <w:tcW w:type="dxa" w:w="1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Bold</w:t>
            </w:r>
          </w:p>
        </w:tc>
        <w:tc>
          <w:tcPr>
            <w:tcW w:type="dxa" w:w="2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#0D2B55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Subtítulo menor (H3)</w:t>
            </w:r>
          </w:p>
        </w:tc>
        <w:tc>
          <w:tcPr>
            <w:tcW w:type="dxa" w:w="16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Calibri</w:t>
            </w:r>
          </w:p>
        </w:tc>
        <w:tc>
          <w:tcPr>
            <w:tcW w:type="dxa" w:w="1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12pt</w:t>
            </w:r>
          </w:p>
        </w:tc>
        <w:tc>
          <w:tcPr>
            <w:tcW w:type="dxa" w:w="1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Bold</w:t>
            </w:r>
          </w:p>
        </w:tc>
        <w:tc>
          <w:tcPr>
            <w:tcW w:type="dxa" w:w="2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#1A4F9C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Párrafo body</w:t>
            </w:r>
          </w:p>
        </w:tc>
        <w:tc>
          <w:tcPr>
            <w:tcW w:type="dxa" w:w="16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Calibri</w:t>
            </w:r>
          </w:p>
        </w:tc>
        <w:tc>
          <w:tcPr>
            <w:tcW w:type="dxa" w:w="1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11pt</w:t>
            </w:r>
          </w:p>
        </w:tc>
        <w:tc>
          <w:tcPr>
            <w:tcW w:type="dxa" w:w="1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Regular</w:t>
            </w:r>
          </w:p>
        </w:tc>
        <w:tc>
          <w:tcPr>
            <w:tcW w:type="dxa" w:w="2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#4A4A4A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Pie de página</w:t>
            </w:r>
          </w:p>
        </w:tc>
        <w:tc>
          <w:tcPr>
            <w:tcW w:type="dxa" w:w="16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Calibri</w:t>
            </w:r>
          </w:p>
        </w:tc>
        <w:tc>
          <w:tcPr>
            <w:tcW w:type="dxa" w:w="1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9pt</w:t>
            </w:r>
          </w:p>
        </w:tc>
        <w:tc>
          <w:tcPr>
            <w:tcW w:type="dxa" w:w="1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Regular</w:t>
            </w:r>
          </w:p>
        </w:tc>
        <w:tc>
          <w:tcPr>
            <w:tcW w:type="dxa" w:w="2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#7A7A7A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Encabezado</w:t>
            </w:r>
          </w:p>
        </w:tc>
        <w:tc>
          <w:tcPr>
            <w:tcW w:type="dxa" w:w="16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Calibri</w:t>
            </w:r>
          </w:p>
        </w:tc>
        <w:tc>
          <w:tcPr>
            <w:tcW w:type="dxa" w:w="1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9pt</w:t>
            </w:r>
          </w:p>
        </w:tc>
        <w:tc>
          <w:tcPr>
            <w:tcW w:type="dxa" w:w="1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Regular</w:t>
            </w:r>
          </w:p>
        </w:tc>
        <w:tc>
          <w:tcPr>
            <w:tcW w:type="dxa" w:w="2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#7A7A7A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Código / monospace</w:t>
            </w:r>
          </w:p>
        </w:tc>
        <w:tc>
          <w:tcPr>
            <w:tcW w:type="dxa" w:w="16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Courier New</w:t>
            </w:r>
          </w:p>
        </w:tc>
        <w:tc>
          <w:tcPr>
            <w:tcW w:type="dxa" w:w="1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9pt</w:t>
            </w:r>
          </w:p>
        </w:tc>
        <w:tc>
          <w:tcPr>
            <w:tcW w:type="dxa" w:w="1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Regular</w:t>
            </w:r>
          </w:p>
        </w:tc>
        <w:tc>
          <w:tcPr>
            <w:tcW w:type="dxa" w:w="2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#2D2D2D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Leyenda / caption</w:t>
            </w:r>
          </w:p>
        </w:tc>
        <w:tc>
          <w:tcPr>
            <w:tcW w:type="dxa" w:w="16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Calibri</w:t>
            </w:r>
          </w:p>
        </w:tc>
        <w:tc>
          <w:tcPr>
            <w:tcW w:type="dxa" w:w="1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9pt</w:t>
            </w:r>
          </w:p>
        </w:tc>
        <w:tc>
          <w:tcPr>
            <w:tcW w:type="dxa" w:w="1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Italic</w:t>
            </w:r>
          </w:p>
        </w:tc>
        <w:tc>
          <w:tcPr>
            <w:tcW w:type="dxa" w:w="2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#7A7A7A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4F9C"/>
          <w:sz w:val="24"/>
          <w:szCs w:val="24"/>
        </w:rPr>
        <w:t xml:space="preserve">Paleta de Colores Corporativos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7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Navy CORE</w:t>
            </w:r>
          </w:p>
        </w:tc>
        <w:tc>
          <w:tcPr>
            <w:tcW w:type="dxa" w:w="16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#0D2B55</w:t>
            </w:r>
          </w:p>
        </w:tc>
        <w:tc>
          <w:tcPr>
            <w:tcW w:type="dxa" w:w="57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Títulos H1, portadas, elementos primarios</w:t>
            </w:r>
          </w:p>
        </w:tc>
      </w:tr>
      <w:tr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Blue CORE</w:t>
            </w:r>
          </w:p>
        </w:tc>
        <w:tc>
          <w:tcPr>
            <w:tcW w:type="dxa" w:w="16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#1A4F9C</w:t>
            </w:r>
          </w:p>
        </w:tc>
        <w:tc>
          <w:tcPr>
            <w:tcW w:type="dxa" w:w="57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Títulos H2, bordes de sección</w:t>
            </w:r>
          </w:p>
        </w:tc>
      </w:tr>
      <w:tr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Blue Light</w:t>
            </w:r>
          </w:p>
        </w:tc>
        <w:tc>
          <w:tcPr>
            <w:tcW w:type="dxa" w:w="16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#2E6FC4</w:t>
            </w:r>
          </w:p>
        </w:tc>
        <w:tc>
          <w:tcPr>
            <w:tcW w:type="dxa" w:w="57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Títulos H3, bordes de tabla header</w:t>
            </w:r>
          </w:p>
        </w:tc>
      </w:tr>
      <w:tr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Blue Pale</w:t>
            </w:r>
          </w:p>
        </w:tc>
        <w:tc>
          <w:tcPr>
            <w:tcW w:type="dxa" w:w="16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#D8E8F8</w:t>
            </w:r>
          </w:p>
        </w:tc>
        <w:tc>
          <w:tcPr>
            <w:tcW w:type="dxa" w:w="57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Fondos de callout, highlights</w:t>
            </w:r>
          </w:p>
        </w:tc>
      </w:tr>
      <w:tr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Gold CORE</w:t>
            </w:r>
          </w:p>
        </w:tc>
        <w:tc>
          <w:tcPr>
            <w:tcW w:type="dxa" w:w="16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#C9A84C</w:t>
            </w:r>
          </w:p>
        </w:tc>
        <w:tc>
          <w:tcPr>
            <w:tcW w:type="dxa" w:w="57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Divisores, acentos decorativos</w:t>
            </w:r>
          </w:p>
        </w:tc>
      </w:tr>
      <w:tr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Gray Body</w:t>
            </w:r>
          </w:p>
        </w:tc>
        <w:tc>
          <w:tcPr>
            <w:tcW w:type="dxa" w:w="16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#4A4A4A</w:t>
            </w:r>
          </w:p>
        </w:tc>
        <w:tc>
          <w:tcPr>
            <w:tcW w:type="dxa" w:w="57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Texto de párrafo principal</w:t>
            </w:r>
          </w:p>
        </w:tc>
      </w:tr>
      <w:tr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Gray Mid</w:t>
            </w:r>
          </w:p>
        </w:tc>
        <w:tc>
          <w:tcPr>
            <w:tcW w:type="dxa" w:w="16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#7A7A7A</w:t>
            </w:r>
          </w:p>
        </w:tc>
        <w:tc>
          <w:tcPr>
            <w:tcW w:type="dxa" w:w="57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Subtextos, metadatos, pie de página</w:t>
            </w:r>
          </w:p>
        </w:tc>
      </w:tr>
      <w:tr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Gray Light</w:t>
            </w:r>
          </w:p>
        </w:tc>
        <w:tc>
          <w:tcPr>
            <w:tcW w:type="dxa" w:w="16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#F2F5FA</w:t>
            </w:r>
          </w:p>
        </w:tc>
        <w:tc>
          <w:tcPr>
            <w:tcW w:type="dxa" w:w="57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Fondos de tablas (filas pares), bloques de código</w:t>
            </w:r>
          </w:p>
        </w:tc>
      </w:tr>
      <w:tr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Red Alert</w:t>
            </w:r>
          </w:p>
        </w:tc>
        <w:tc>
          <w:tcPr>
            <w:tcW w:type="dxa" w:w="16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#C0392B</w:t>
            </w:r>
          </w:p>
        </w:tc>
        <w:tc>
          <w:tcPr>
            <w:tcW w:type="dxa" w:w="57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Alertas, confidencial, advertencias</w:t>
            </w:r>
          </w:p>
        </w:tc>
      </w:tr>
      <w:tr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White</w:t>
            </w:r>
          </w:p>
        </w:tc>
        <w:tc>
          <w:tcPr>
            <w:tcW w:type="dxa" w:w="16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#FFFFFF</w:t>
            </w:r>
          </w:p>
        </w:tc>
        <w:tc>
          <w:tcPr>
            <w:tcW w:type="dxa" w:w="57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Fondo principal, texto sobre fondos oscuros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FC4" w:sz="4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02 · Estructura de Encabezado</w:t>
      </w:r>
    </w:p>
    <w:p>
      <w:pPr>
        <w:spacing w:after="12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Todos los documentos CORE deben incluir un encabezado estándar con la siguiente información: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Izquierda: Logo CORE (texto bold) + nombre del documento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Derecha: Indicación de confidencialidad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Separador: línea horizontal en color Blue Light (#2E6FC4), grosor 2pt</w:t>
      </w:r>
    </w:p>
    <w:p>
      <w:pPr>
        <w:spacing w:after="60" w:before="60"/>
      </w:pPr>
      <w:r>
        <w:t xml:space="preserve"/>
      </w:r>
    </w:p>
    <w:p>
      <w:pPr>
        <w:pBdr>
          <w:left w:val="single" w:color="1A4F9C" w:sz="12" w:space="4"/>
        </w:pBdr>
        <w:shd w:fill="D8E8F8" w:val="clear"/>
        <w:spacing w:after="120" w:before="120"/>
        <w:ind w:left="360" w:right="360"/>
      </w:pPr>
      <w:r>
        <w:rPr>
          <w:rFonts w:ascii="Calibri" w:cs="Calibri" w:eastAsia="Calibri" w:hAnsi="Calibri"/>
          <w:i/>
          <w:iCs/>
          <w:color w:val="0D2B55"/>
          <w:sz w:val="22"/>
          <w:szCs w:val="22"/>
        </w:rPr>
        <w:t xml:space="preserve">Ejemplo de encabezado:  CORE  —  Nombre del Documento  [TAB]  Confidencial — Uso interno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FC4" w:sz="4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03 · Estructura de Pie de Página</w:t>
      </w:r>
    </w:p>
    <w:p>
      <w:pPr>
        <w:spacing w:after="12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Todos los documentos CORE deben incluir un pie de página estándar: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Izquierda: 'CORE — Growth &amp; Operations Platform for Latin America'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Derecha: 'Página X'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Separador: línea horizontal en color Blue Light (#2E6FC4), grosor 2pt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FC4" w:sz="4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04 · Portada Corporativa</w:t>
      </w:r>
    </w:p>
    <w:p>
      <w:pPr>
        <w:spacing w:after="12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Toda comunicación formal debe iniciar con una portada que contenga: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Número de documento o versión (ej: 01, 02...)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Logo CORE (tipografía bold, tamaño grande, color Navy)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Título principal del documento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Subtítulo o descripción breve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Tagline o propósito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Versión y fecha (ej: Versión 1.0 — Mayo 2026)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Nivel de confidencialidad (Confidencial — Uso interno / Público)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FC4" w:sz="4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05 · Estilos de Texto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4F9C"/>
          <w:sz w:val="24"/>
          <w:szCs w:val="24"/>
        </w:rPr>
        <w:t xml:space="preserve">Heading 1 — Secciones Principales</w:t>
      </w:r>
    </w:p>
    <w:p>
      <w:pPr>
        <w:spacing w:after="12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Fondo sólido Navy (#0D2B55). Texto blanco. Calibri Bold 18pt. Padding interno de 0.25in. Inicia siempre en nueva página para capítulos de documento principal.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4F9C"/>
          <w:sz w:val="24"/>
          <w:szCs w:val="24"/>
        </w:rPr>
        <w:t xml:space="preserve">Heading 2 — Subsecciones</w:t>
      </w:r>
    </w:p>
    <w:p>
      <w:pPr>
        <w:spacing w:after="12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Sin fondo. Texto Navy (#0D2B55). Calibri Bold 14pt. Línea inferior de 2pt en Blue Light. Espaciado antes: 16pt. Espaciado después: 8pt.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4F9C"/>
          <w:sz w:val="24"/>
          <w:szCs w:val="24"/>
        </w:rPr>
        <w:t xml:space="preserve">Heading 3 — Sub-subsecciones</w:t>
      </w:r>
    </w:p>
    <w:p>
      <w:pPr>
        <w:spacing w:after="12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Sin fondo. Texto Blue (#1A4F9C). Calibri Bold 12pt. Sin línea. Espaciado antes: 12pt. Espaciado después: 6pt.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4F9C"/>
          <w:sz w:val="24"/>
          <w:szCs w:val="24"/>
        </w:rPr>
        <w:t xml:space="preserve">Párrafo Normal</w:t>
      </w:r>
    </w:p>
    <w:p>
      <w:pPr>
        <w:spacing w:after="12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Calibri Regular 11pt. Color #4A4A4A. Interlineado 1.15. Espaciado después: 6pt. Sin sangría.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4F9C"/>
          <w:sz w:val="24"/>
          <w:szCs w:val="24"/>
        </w:rPr>
        <w:t xml:space="preserve">Callout / Nota destacada</w:t>
      </w:r>
    </w:p>
    <w:p>
      <w:pPr>
        <w:spacing w:after="12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Fondo Blue Pale (#D8E8F8). Borde izquierdo de 6pt en Blue Light. Padding 12pt. Texto en cursiva. Usado para citas importantes, advertencias o resaltados.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FC4" w:sz="4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06 · Estilos de Tabla</w:t>
      </w:r>
    </w:p>
    <w:p>
      <w:pPr>
        <w:spacing w:after="12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Las tablas corporativas CORE siguen el siguiente estándar: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Header: fondo Navy (#0D2B55), texto blanco, Calibri Bold 10pt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Filas pares: fondo Gray Light (#F2F5FA)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Filas impares: fondo blanco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Bordes: línea simple 0.5pt en Gray Border (#C8D5E8)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Padding de celda: 4pt interno en todos los lados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Ancho: siempre en unidades DXA para compatibilidad entre plataformas</w:t>
      </w:r>
    </w:p>
    <w:p>
      <w:pPr>
        <w:spacing w:after="60" w:before="6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Ejemplo de tabla corporativa: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nombre_campo</w:t>
            </w:r>
          </w:p>
        </w:tc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Descripción del campo y su propósito en el sistema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tipo_dato</w:t>
            </w:r>
          </w:p>
        </w:tc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enum / UUID / int</w:t>
            </w:r>
          </w:p>
        </w:tc>
        <w:tc>
          <w:tcPr>
            <w:tcW w:type="dxa" w:w="45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Tipo de dato y restricciones aplicables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requerido</w:t>
            </w:r>
          </w:p>
        </w:tc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Indica si el campo es obligatorio en el formulario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FC4" w:sz="4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07 · Listas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4F9C"/>
          <w:sz w:val="24"/>
          <w:szCs w:val="24"/>
        </w:rPr>
        <w:t xml:space="preserve">Lista con viñetas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Usar para enumeraciones sin orden de importancia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Viñeta: punto negro (•) Unicode bullet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Fuente: Calibri 11pt. Sangría: 0.5in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4F9C"/>
          <w:sz w:val="24"/>
          <w:szCs w:val="24"/>
        </w:rPr>
        <w:t xml:space="preserve">Lista numerada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Usar para pasos, procedimientos o ítems ordenados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Formato: número seguido de punto (1. 2. 3.)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Sangría consistente con lista de viñetas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FC4" w:sz="4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08 · Bloques de Código y Monospace</w:t>
      </w:r>
    </w:p>
    <w:p>
      <w:pPr>
        <w:spacing w:after="12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Para documentos técnicos, los bloques de código siguen este estilo: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Fondo: Gray Light (#F2F5FA)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Tipografía: Courier New 9pt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Color: #2D2D2D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Sangría izquierda: 0.25in</w:t>
      </w:r>
    </w:p>
    <w:p>
      <w:pPr>
        <w:spacing w:after="60" w:before="60"/>
      </w:pPr>
      <w:r>
        <w:t xml:space="preserve"/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Ejemplo de bloque de código corporativo</w:t>
      </w:r>
    </w:p>
    <w:p>
      <w:pPr>
        <w:shd w:fill="F2F5FA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const config = { tenant_id: 'UUID', country_code: 'UY' };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FC4" w:sz="4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09 · Divisores y Separadores</w:t>
      </w:r>
    </w:p>
    <w:p>
      <w:pPr>
        <w:spacing w:after="12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Para separar secciones temáticas dentro de una misma página, usar un divisor decorativo: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Línea horizontal de 3pt en Gold CORE (#C9A84C)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Espaciado: 8pt antes y después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No usar como sustituto de Heading 2 o Heading 3</w:t>
      </w:r>
    </w:p>
    <w:p>
      <w:pPr>
        <w:spacing w:after="60" w:before="60"/>
      </w:pPr>
      <w:r>
        <w:t xml:space="preserve"/>
      </w:r>
    </w:p>
    <w:p>
      <w:pPr>
        <w:pBdr>
          <w:bottom w:val="single" w:color="C9A84C" w:sz="6" w:space="1"/>
        </w:pBdr>
        <w:spacing w:after="120" w:before="12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↑ Ejemplo de divisor Gold CORE aplicado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FC4" w:sz="4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10 · Uso de Logos y Marca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El logo CORE se representa tipográficamente como 'CORE' en Calibri Bold, color Navy (#0D2B55)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En portadas: tamaño mínimo 52pt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En encabezados: tamaño 10pt, Bold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No usar versiones alternativas de color sin aprobación de brand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El tagline oficial es: 'Growth &amp; Operations Platform for Latin America'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FC4" w:sz="4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11 · Niveles de Confidencialidad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Etiqueta</w:t>
            </w:r>
          </w:p>
        </w:tc>
        <w:tc>
          <w:tcPr>
            <w:tcW w:type="dxa" w:w="4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Destinatarios</w:t>
            </w:r>
          </w:p>
        </w:tc>
      </w:tr>
      <w:tr>
        <w:tc>
          <w:tcPr>
            <w:tcW w:type="dxa" w:w="16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Público</w:t>
            </w:r>
          </w:p>
        </w:tc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Público</w:t>
            </w:r>
          </w:p>
        </w:tc>
        <w:tc>
          <w:tcPr>
            <w:tcW w:type="dxa" w:w="4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Cualquier persona. Para materiales de marketing y website</w:t>
            </w:r>
          </w:p>
        </w:tc>
      </w:tr>
      <w:tr>
        <w:tc>
          <w:tcPr>
            <w:tcW w:type="dxa" w:w="16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Interno</w:t>
            </w:r>
          </w:p>
        </w:tc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Uso interno</w:t>
            </w:r>
          </w:p>
        </w:tc>
        <w:tc>
          <w:tcPr>
            <w:tcW w:type="dxa" w:w="4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Empleados y contratistas de CORE</w:t>
            </w:r>
          </w:p>
        </w:tc>
      </w:tr>
      <w:tr>
        <w:tc>
          <w:tcPr>
            <w:tcW w:type="dxa" w:w="16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Confidencial</w:t>
            </w:r>
          </w:p>
        </w:tc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Confidencial — Uso interno</w:t>
            </w:r>
          </w:p>
        </w:tc>
        <w:tc>
          <w:tcPr>
            <w:tcW w:type="dxa" w:w="4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Equipos directivos, managers, leads técnicos</w:t>
            </w:r>
          </w:p>
        </w:tc>
      </w:tr>
      <w:tr>
        <w:tc>
          <w:tcPr>
            <w:tcW w:type="dxa" w:w="16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Restringido</w:t>
            </w:r>
          </w:p>
        </w:tc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Restringido — Alta Dirección</w:t>
            </w:r>
          </w:p>
        </w:tc>
        <w:tc>
          <w:tcPr>
            <w:tcW w:type="dxa" w:w="4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C-Level, directorio, inversores</w:t>
            </w:r>
          </w:p>
        </w:tc>
      </w:tr>
      <w:tr>
        <w:tc>
          <w:tcPr>
            <w:tcW w:type="dxa" w:w="16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Secreto</w:t>
            </w:r>
          </w:p>
        </w:tc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Secreto — No distribuir</w:t>
            </w:r>
          </w:p>
        </w:tc>
        <w:tc>
          <w:tcPr>
            <w:tcW w:type="dxa" w:w="4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Solo personas explícitamente autorizadas por CEO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FC4" w:sz="4" w:space="1"/>
        </w:pBdr>
        <w:spacing w:after="12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12 · Checklist de Documento Corporativo</w:t>
      </w:r>
    </w:p>
    <w:p>
      <w:pPr>
        <w:spacing w:after="12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Antes de distribuir cualquier documento formal de CORE, verificar: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¿Incluye portada con todos los campos requeridos?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¿Tiene encabezado y pie de página en todas las páginas?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¿Los estilos Heading 1/2/3 están aplicados correctamente?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¿Las tablas siguen el estilo corporativo (header Navy, filas alternas)?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¿Incluye el nivel de confidencialidad correcto?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¿La versión y fecha están actualizadas?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¿El nombre del archivo sigue la nomenclatura: CORE_NOMBRE_vX.X.docx?</w:t>
      </w:r>
    </w:p>
    <w:p>
      <w:pPr>
        <w:spacing w:after="60" w:before="60"/>
      </w:pPr>
      <w:r>
        <w:t xml:space="preserve"/>
      </w:r>
    </w:p>
    <w:p>
      <w:pPr>
        <w:pBdr>
          <w:bottom w:val="single" w:color="C9A84C" w:sz="6" w:space="1"/>
        </w:pBdr>
        <w:spacing w:after="120" w:before="120"/>
      </w:pPr>
      <w:r>
        <w:t xml:space="preserve"/>
      </w:r>
    </w:p>
    <w:p>
      <w:pPr>
        <w:pBdr>
          <w:left w:val="single" w:color="1A4F9C" w:sz="12" w:space="4"/>
        </w:pBdr>
        <w:shd w:fill="D8E8F8" w:val="clear"/>
        <w:spacing w:after="120" w:before="120"/>
        <w:ind w:left="360" w:right="360"/>
      </w:pPr>
      <w:r>
        <w:rPr>
          <w:rFonts w:ascii="Calibri" w:cs="Calibri" w:eastAsia="Calibri" w:hAnsi="Calibri"/>
          <w:i/>
          <w:iCs/>
          <w:color w:val="0D2B55"/>
          <w:sz w:val="22"/>
          <w:szCs w:val="22"/>
        </w:rPr>
        <w:t xml:space="preserve">Esta plantilla es el estándar oficial de comunicación escrita de CORE. Su uso consistente construye la identidad corporativa y profesionalismo de la organización.</w:t>
      </w:r>
    </w:p>
    <w:p>
      <w:pPr>
        <w:spacing w:after="60" w:before="6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7A7A7A"/>
          <w:sz w:val="22"/>
          <w:szCs w:val="22"/>
        </w:rPr>
        <w:t xml:space="preserve">CORE Corporate Template v1.0 — Para actualizaciones de la plantilla: brand@core.lat</w:t>
      </w:r>
    </w:p>
    <w:sectPr>
      <w:headerReference w:type="default" r:id="rId13"/>
      <w:footerReference w:type="default" r:id="rId14"/>
      <w:type w:val="nextPage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FC4" w:sz="4" w:space="1"/>
      </w:pBdr>
      <w:tabs>
        <w:tab w:val="right" w:pos="9360"/>
      </w:tabs>
    </w:pPr>
    <w:r>
      <w:rPr>
        <w:rFonts w:ascii="Calibri" w:cs="Calibri" w:eastAsia="Calibri" w:hAnsi="Calibri"/>
        <w:color w:val="7A7A7A"/>
        <w:sz w:val="16"/>
        <w:szCs w:val="16"/>
      </w:rPr>
      <w:t xml:space="preserve">CORE — Growth &amp; Operations Platform for Latin America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7A7A7A"/>
        <w:sz w:val="16"/>
        <w:szCs w:val="16"/>
      </w:rPr>
      <w:t xml:space="preserve">Página </w:t>
    </w:r>
    <w:fldSimple w:instr="[object Object]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E7C86" w:sz="4" w:space="1"/>
      </w:pBdr>
      <w:tabs>
        <w:tab w:val="right" w:pos="9360"/>
      </w:tabs>
    </w:pPr>
    <w:r>
      <w:rPr>
        <w:rFonts w:ascii="Calibri" w:cs="Calibri" w:eastAsia="Calibri" w:hAnsi="Calibri"/>
        <w:color w:val="7A7A7A"/>
        <w:sz w:val="16"/>
        <w:szCs w:val="16"/>
      </w:rPr>
      <w:t xml:space="preserve">CORE — Growth &amp; Operations Platform for Latin America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7A7A7A"/>
        <w:sz w:val="16"/>
        <w:szCs w:val="16"/>
      </w:rPr>
      <w:t xml:space="preserve">Página </w:t>
    </w:r>
    <w:fldSimple w:instr="[object Object]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FC4" w:sz="4" w:space="1"/>
      </w:pBdr>
      <w:tabs>
        <w:tab w:val="right" w:pos="9360"/>
      </w:tabs>
    </w:pPr>
    <w:r>
      <w:rPr>
        <w:rFonts w:ascii="Calibri" w:cs="Calibri" w:eastAsia="Calibri" w:hAnsi="Calibri"/>
        <w:color w:val="7A7A7A"/>
        <w:sz w:val="16"/>
        <w:szCs w:val="16"/>
      </w:rPr>
      <w:t xml:space="preserve">CORE — Growth &amp; Operations Platform for Latin America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7A7A7A"/>
        <w:sz w:val="16"/>
        <w:szCs w:val="16"/>
      </w:rPr>
      <w:t xml:space="preserve">Página </w:t>
    </w:r>
    <w:fldSimple w:instr="[object Object]"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1"/>
      </w:pBdr>
      <w:tabs>
        <w:tab w:val="right" w:pos="9360"/>
      </w:tabs>
    </w:pPr>
    <w:r>
      <w:rPr>
        <w:rFonts w:ascii="Calibri" w:cs="Calibri" w:eastAsia="Calibri" w:hAnsi="Calibri"/>
        <w:color w:val="7A7A7A"/>
        <w:sz w:val="16"/>
        <w:szCs w:val="16"/>
      </w:rPr>
      <w:t xml:space="preserve">CORE — Growth &amp; Operations Platform for Latin America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7A7A7A"/>
        <w:sz w:val="16"/>
        <w:szCs w:val="16"/>
      </w:rPr>
      <w:t xml:space="preserve">Página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FC4" w:sz="4" w:space="1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0D2B55"/>
        <w:sz w:val="20"/>
        <w:szCs w:val="20"/>
      </w:rPr>
      <w:t xml:space="preserve">CORE</w:t>
    </w:r>
    <w:r>
      <w:rPr>
        <w:rFonts w:ascii="Calibri" w:cs="Calibri" w:eastAsia="Calibri" w:hAnsi="Calibri"/>
        <w:color w:val="7A7A7A"/>
        <w:sz w:val="18"/>
        <w:szCs w:val="18"/>
      </w:rPr>
      <w:t xml:space="preserve">  —  Executive Summary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i/>
        <w:iCs/>
        <w:color w:val="7A7A7A"/>
        <w:sz w:val="18"/>
        <w:szCs w:val="18"/>
      </w:rPr>
      <w:t xml:space="preserve">Confidencial — Uso interno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C86" w:sz="4" w:space="1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0D2B55"/>
        <w:sz w:val="20"/>
        <w:szCs w:val="20"/>
      </w:rPr>
      <w:t xml:space="preserve">CORE</w:t>
    </w:r>
    <w:r>
      <w:rPr>
        <w:rFonts w:ascii="Calibri" w:cs="Calibri" w:eastAsia="Calibri" w:hAnsi="Calibri"/>
        <w:color w:val="7A7A7A"/>
        <w:sz w:val="18"/>
        <w:szCs w:val="18"/>
      </w:rPr>
      <w:t xml:space="preserve">  —  Investor Deck Narrative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i/>
        <w:iCs/>
        <w:color w:val="7A7A7A"/>
        <w:sz w:val="18"/>
        <w:szCs w:val="18"/>
      </w:rPr>
      <w:t xml:space="preserve">Confidencial — Uso interno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FC4" w:sz="4" w:space="1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0D2B55"/>
        <w:sz w:val="20"/>
        <w:szCs w:val="20"/>
      </w:rPr>
      <w:t xml:space="preserve">CORE</w:t>
    </w:r>
    <w:r>
      <w:rPr>
        <w:rFonts w:ascii="Calibri" w:cs="Calibri" w:eastAsia="Calibri" w:hAnsi="Calibri"/>
        <w:color w:val="7A7A7A"/>
        <w:sz w:val="18"/>
        <w:szCs w:val="18"/>
      </w:rPr>
      <w:t xml:space="preserve">  —  Technical Specification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i/>
        <w:iCs/>
        <w:color w:val="7A7A7A"/>
        <w:sz w:val="18"/>
        <w:szCs w:val="18"/>
      </w:rPr>
      <w:t xml:space="preserve">Confidencial — Uso interno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1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0D2B55"/>
        <w:sz w:val="20"/>
        <w:szCs w:val="20"/>
      </w:rPr>
      <w:t xml:space="preserve">CORE</w:t>
    </w:r>
    <w:r>
      <w:rPr>
        <w:rFonts w:ascii="Calibri" w:cs="Calibri" w:eastAsia="Calibri" w:hAnsi="Calibri"/>
        <w:color w:val="7A7A7A"/>
        <w:sz w:val="18"/>
        <w:szCs w:val="18"/>
      </w:rPr>
      <w:t xml:space="preserve">  —  Corporate Template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i/>
        <w:iCs/>
        <w:color w:val="7A7A7A"/>
        <w:sz w:val="18"/>
        <w:szCs w:val="18"/>
      </w:rPr>
      <w:t xml:space="preserve">Confidencial — Uso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Courier New" w:cs="Courier New" w:eastAsia="Courier New" w:hAnsi="Courier New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Calibri" w:cs="Calibri" w:eastAsia="Calibri" w:hAnsi="Calibri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color w:val="0D2B5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A4F9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2026-05-30T07:54:16.733Z</dcterms:created>
  <dcterms:modified xsi:type="dcterms:W3CDTF">2026-05-30T07:54:16.734Z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