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2A4A"/>
          <w:spacing w:val="200"/>
          <w:sz w:val="120"/>
          <w:szCs w:val="120"/>
        </w:rPr>
        <w:t xml:space="preserve">CORE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6FD9"/>
          <w:spacing w:val="80"/>
          <w:sz w:val="36"/>
          <w:szCs w:val="36"/>
        </w:rPr>
        <w:t xml:space="preserve">Global Supply. Regional Growth.</w:t>
      </w:r>
    </w:p>
    <w:p>
      <w:pPr>
        <w:pBdr>
          <w:bottom w:val="single" w:color="2E6FD9" w:sz="6" w:space="1"/>
        </w:pBdr>
        <w:spacing w:after="20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aps/>
          <w:color w:val="1B2A4A"/>
          <w:spacing w:val="200"/>
          <w:sz w:val="44"/>
          <w:szCs w:val="44"/>
        </w:rPr>
        <w:t xml:space="preserve">LANDING PAGE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6"/>
          <w:szCs w:val="26"/>
        </w:rPr>
        <w:t xml:space="preserve">Structure &amp; Content v1.0</w:t>
      </w:r>
    </w:p>
    <w:p>
      <w:pPr>
        <w:spacing w:after="60" w:before="16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Documento confidencial  •  Uso interno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4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Hero Section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2E6FD9"/>
          <w:spacing w:val="60"/>
          <w:sz w:val="18"/>
          <w:szCs w:val="18"/>
        </w:rPr>
        <w:t xml:space="preserve">Título principal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Global Supply. Regional Growth.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2E6FD9"/>
          <w:spacing w:val="60"/>
          <w:sz w:val="18"/>
          <w:szCs w:val="18"/>
        </w:rPr>
        <w:t xml:space="preserve">Subtítulo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CORE conecta cadenas de suministro globales con oportunidades regionales.</w:t>
      </w:r>
    </w:p>
    <w:p>
      <w:pPr>
        <w:spacing w:after="0" w:before="16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aps/>
          <w:color w:val="2E6FD9"/>
          <w:spacing w:val="60"/>
          <w:sz w:val="18"/>
          <w:szCs w:val="18"/>
        </w:rPr>
        <w:t xml:space="preserve">Calls to Action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CTA Primario: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Explorar soluciones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CTA Secundario: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Hablar con un especialista</w:t>
      </w:r>
    </w:p>
    <w:p>
      <w:pPr>
        <w:spacing w:after="0" w:before="16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aps/>
          <w:color w:val="2E6FD9"/>
          <w:spacing w:val="60"/>
          <w:sz w:val="18"/>
          <w:szCs w:val="18"/>
        </w:rPr>
        <w:t xml:space="preserve">Elemento Visual</w:t>
      </w:r>
    </w:p>
    <w:p>
      <w:pPr>
        <w:pStyle w:val="BodyText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Globo interactivo con rutas globales → Uruguay → Cono Sur.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Value Proposition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pStyle w:val="BodyText"/>
        <w:spacing w:after="200" w:before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Uruguay como plataforma de acceso al Cono Sur.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Integramos logística, representación comercial y mercados digitales para que tu negocio llegue más lejos, más rápido y con más eficiencia.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CORE Modules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3.1 CORE Connect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Acceso seguro a proveedores globales.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Sourcing, verificación, trazabilidad.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3.2 CORE Move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Logística inteligente local, regional e internacional.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Depósitos, aduanas, distribución.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CORE Grow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Representación comercial y desarrollo de mercados.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Canales, distribuidores, trade marketing.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3.4 CORE Market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Marketplace B2B regional.</w:t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Compradores, vendedores, transacciones.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Personalization Bar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Estás en: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Uruguay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Hora local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Idioma: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ES / PT / 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Moneda: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USD / EUR / UYU / BRL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Global Map Experience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pStyle w:val="BodyTex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Mapa interactivo que muestra: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Orígenes principales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Distribución Cono Sur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Mercados de expansión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Direct Shipments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CORE Intelligence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pStyle w:val="BodyText"/>
        <w:spacing w:after="120" w:before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Datos y análisis para tomar mejores decisiones: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Demanda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Predicciones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Insights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Social Proof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caps/>
          <w:color w:val="2E6FD9"/>
          <w:spacing w:val="60"/>
          <w:sz w:val="18"/>
          <w:szCs w:val="18"/>
        </w:rPr>
        <w:t xml:space="preserve">Síguenos 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2E6FD9"/>
          <w:sz w:val="22"/>
          <w:szCs w:val="22"/>
        </w:rPr>
        <w:t xml:space="preserve">LinkedIn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2E6FD9"/>
          <w:sz w:val="22"/>
          <w:szCs w:val="22"/>
        </w:rPr>
        <w:t xml:space="preserve">Instagram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Footer</w:t>
      </w:r>
    </w:p>
    <w:p>
      <w:pPr>
        <w:pBdr>
          <w:bottom w:val="single" w:color="D0D8E8" w:sz="6" w:space="1"/>
        </w:pBdr>
        <w:spacing w:after="200" w:before="80"/>
      </w:pPr>
      <w:r>
        <w:t xml:space="preserve"/>
      </w:r>
    </w:p>
    <w:p>
      <w:pPr>
        <w:pStyle w:val="BodyText"/>
        <w:spacing w:after="120" w:before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Estructura de enlaces y secciones del pie de página: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Sobre CORE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Soluciones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Países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Contacto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Legal</w:t>
      </w:r>
    </w:p>
    <w:p>
      <w:pPr>
        <w:spacing w:after="0" w:before="600"/>
      </w:pPr>
      <w:r>
        <w:t xml:space="preserve"/>
      </w:r>
    </w:p>
    <w:p>
      <w:pPr>
        <w:pBdr>
          <w:bottom w:val="single" w:color="2E6FD9" w:sz="6" w:space="1"/>
        </w:pBdr>
        <w:spacing w:after="20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CORE  —  Global Supply. Regional Growth.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Documento interno • Confidencial •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1"/>
      </w:pBdr>
      <w:spacing w:before="120"/>
    </w:pPr>
    <w:r>
      <w:rPr>
        <w:rFonts w:ascii="Calibri" w:cs="Calibri" w:eastAsia="Calibri" w:hAnsi="Calibri"/>
        <w:color w:val="888888"/>
        <w:sz w:val="16"/>
        <w:szCs w:val="16"/>
      </w:rPr>
      <w:t xml:space="preserve">CORE  •  Global Supply. Regional Growth.     </w:t>
    </w:r>
    <w:r>
      <w:rPr>
        <w:rFonts w:ascii="Calibri" w:cs="Calibri" w:eastAsia="Calibri" w:hAnsi="Calibri"/>
        <w:color w:val="2E6FD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1"/>
      </w:pBdr>
      <w:spacing w:after="120"/>
    </w:pPr>
    <w:r>
      <w:rPr>
        <w:rFonts w:ascii="Calibri" w:cs="Calibri" w:eastAsia="Calibri" w:hAnsi="Calibri"/>
        <w:color w:val="888888"/>
        <w:sz w:val="18"/>
        <w:szCs w:val="18"/>
      </w:rPr>
      <w:t xml:space="preserve">CORE — Landing Page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6F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  <w:style w:type="paragraph" w:styleId="BodyText">
    <w:name w:val="Body Text"/>
    <w:basedOn w:val="Normal"/>
    <w:pPr>
      <w:spacing w:after="120" w:before="80"/>
    </w:pPr>
    <w:rPr>
      <w:rFonts w:ascii="Calibri" w:cs="Calibri" w:eastAsia="Calibri" w:hAnsi="Calibri"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2026-05-30T08:15:19.680Z</dcterms:created>
  <dcterms:modified xsi:type="dcterms:W3CDTF">2026-05-30T08:15:19.680Z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