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CORE Vision 2035</w:t>
      </w:r>
    </w:p>
    <w:p>
      <w:r>
        <w:rPr>
          <w:b/>
        </w:rPr>
        <w:t>Versión 1.0</w:t>
        <w:br/>
      </w:r>
    </w:p>
    <w:p>
      <w:pPr>
        <w:pStyle w:val="Heading2"/>
      </w:pPr>
      <w:r>
        <w:t>Propósito</w:t>
      </w:r>
    </w:p>
    <w:p>
      <w:r>
        <w:t>CORE conecta cadenas de suministro globales con oportunidades regionales, utilizando Uruguay como plataforma de acceso al Cono Sur.</w:t>
      </w:r>
    </w:p>
    <w:p>
      <w:pPr>
        <w:pStyle w:val="Heading2"/>
      </w:pPr>
      <w:r>
        <w:t>Visión</w:t>
      </w:r>
    </w:p>
    <w:p>
      <w:r>
        <w:t>Convertirse en la plataforma líder de comercio, logística y expansión de mercados para América Latina.</w:t>
      </w:r>
    </w:p>
    <w:p>
      <w:pPr>
        <w:pStyle w:val="Heading2"/>
      </w:pPr>
      <w:r>
        <w:t>Misión</w:t>
      </w:r>
    </w:p>
    <w:p>
      <w:r>
        <w:t>Integrar logística, representación comercial, inteligencia de mercado y plataformas digitales en un único ecosistema.</w:t>
      </w:r>
    </w:p>
    <w:p>
      <w:pPr>
        <w:pStyle w:val="Heading2"/>
      </w:pPr>
      <w:r>
        <w:t>Principios</w:t>
      </w:r>
    </w:p>
    <w:p>
      <w:r>
        <w:t>Escalabilidad, internacionalización, automatización, interoperabilidad, trazabilidad y excelencia operativa.</w:t>
      </w:r>
    </w:p>
    <w:p>
      <w:pPr>
        <w:pStyle w:val="Heading2"/>
      </w:pPr>
      <w:r>
        <w:t>Horizonte 2035</w:t>
      </w:r>
    </w:p>
    <w:p>
      <w:r>
        <w:t>Operar múltiples verticales de negocio sobre una plataforma tecnológica común con alcance regional.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