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CORE Brand Architecture</w:t>
      </w:r>
    </w:p>
    <w:p>
      <w:r>
        <w:t>Versión 1.0 - Documento Fundacional</w:t>
      </w:r>
    </w:p>
    <w:p>
      <w:pPr>
        <w:pStyle w:val="Heading2"/>
      </w:pPr>
      <w:r>
        <w:t>Introducción</w:t>
      </w:r>
    </w:p>
    <w:p>
      <w:r>
        <w:t>CORE es una plataforma regional diseñada para conectar cadenas de suministro globales con oportunidades regionales, utilizando Uruguay como hub estratégico para el acceso al Cono Sur.</w:t>
      </w:r>
    </w:p>
    <w:p>
      <w:pPr>
        <w:pStyle w:val="Heading2"/>
      </w:pPr>
      <w:r>
        <w:t>Posicionamiento</w:t>
      </w:r>
    </w:p>
    <w:p>
      <w:r>
        <w:t>CORE no se presenta como una empresa logística tradicional. Se posiciona como una plataforma integrada que combina logística, representación comercial, marketplace e inteligencia de negocios.</w:t>
      </w:r>
    </w:p>
    <w:p>
      <w:pPr>
        <w:pStyle w:val="Heading2"/>
      </w:pPr>
      <w:r>
        <w:t>Propósito</w:t>
      </w:r>
    </w:p>
    <w:p>
      <w:r>
        <w:t>Conectar marcas, operadores logísticos, compradores y oportunidades de mercado dentro de un ecosistema único.</w:t>
      </w:r>
    </w:p>
    <w:p>
      <w:pPr>
        <w:pStyle w:val="Heading2"/>
      </w:pPr>
      <w:r>
        <w:t>Propuesta de Valor</w:t>
      </w:r>
    </w:p>
    <w:p>
      <w:r>
        <w:t>Una sola plataforma para expandir operaciones comerciales y logísticas en América Latina.</w:t>
      </w:r>
    </w:p>
    <w:p>
      <w:pPr>
        <w:pStyle w:val="Heading2"/>
      </w:pPr>
      <w:r>
        <w:t>Arquitectura de Marca</w:t>
      </w:r>
    </w:p>
    <w:p>
      <w:r>
        <w:t>CORE es la marca corporativa principal. Todas las unidades de negocio operan bajo una arquitectura endosada.</w:t>
      </w:r>
    </w:p>
    <w:p>
      <w:pPr>
        <w:pStyle w:val="Heading2"/>
      </w:pPr>
      <w:r>
        <w:t>Verticales Iniciales</w:t>
      </w:r>
    </w:p>
    <w:p>
      <w:r>
        <w:t>CORE Logistics: logística, fulfillment, depósitos, zonas francas y distribución.</w:t>
        <w:br/>
        <w:br/>
        <w:t>CORE Rep: representación de marcas, desarrollo comercial y expansión regional.</w:t>
        <w:br/>
        <w:br/>
        <w:t>CORE Market: marketplace B2B y ecosistema comercial.</w:t>
      </w:r>
    </w:p>
    <w:p>
      <w:pPr>
        <w:pStyle w:val="Heading2"/>
      </w:pPr>
      <w:r>
        <w:t>Verticales Futuras</w:t>
      </w:r>
    </w:p>
    <w:p>
      <w:r>
        <w:t>CORE Intelligence, CORE Payments, CORE Customs, CORE AI y CORE API.</w:t>
      </w:r>
    </w:p>
    <w:p>
      <w:pPr>
        <w:pStyle w:val="Heading2"/>
      </w:pPr>
      <w:r>
        <w:t>Identidad Visual</w:t>
      </w:r>
    </w:p>
    <w:p>
      <w:r>
        <w:t>Color corporativo principal: Space Blue.</w:t>
        <w:br/>
        <w:br/>
        <w:t>CORE Logistics: Celeste.</w:t>
        <w:br/>
        <w:t>CORE Rep: Verde.</w:t>
        <w:br/>
        <w:t>CORE Market: Naranja.</w:t>
        <w:br/>
        <w:t>CORE Intelligence: Violeta.</w:t>
        <w:br/>
        <w:t>CORE Payments: Dorado.</w:t>
      </w:r>
    </w:p>
    <w:p>
      <w:pPr>
        <w:pStyle w:val="Heading2"/>
      </w:pPr>
      <w:r>
        <w:t>Territorio de Marca</w:t>
      </w:r>
    </w:p>
    <w:p>
      <w:r>
        <w:t>Global Supply. Regional Growth.</w:t>
        <w:br/>
        <w:br/>
        <w:t>Uruguay as a Gateway to Southern Latin America.</w:t>
      </w:r>
    </w:p>
    <w:p>
      <w:pPr>
        <w:pStyle w:val="Heading2"/>
      </w:pPr>
      <w:r>
        <w:t>Principios de Marca</w:t>
      </w:r>
    </w:p>
    <w:p>
      <w:r>
        <w:t>Escalabilidad, confiabilidad, innovación, integración, trazabilidad, transparencia y excelencia operativa.</w:t>
      </w:r>
    </w:p>
    <w:p>
      <w:pPr>
        <w:pStyle w:val="Heading2"/>
      </w:pPr>
      <w:r>
        <w:t>Expansión Internacional</w:t>
      </w:r>
    </w:p>
    <w:p>
      <w:r>
        <w:t>La plataforma será diseñada desde su origen como multiidioma, multimoneda y preparada para operar en múltiples jurisdicciones.</w:t>
      </w:r>
    </w:p>
    <w:p>
      <w:pPr>
        <w:pStyle w:val="Heading2"/>
      </w:pPr>
      <w:r>
        <w:t>Conclusión</w:t>
      </w:r>
    </w:p>
    <w:p>
      <w:r>
        <w:t>CORE será construida como una plataforma regional de largo plazo, capaz de integrar nuevas verticales sin modificar su identidad central.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