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Calibri" w:cs="Calibri" w:eastAsia="Calibri" w:hAnsi="Calibri"/>
          <w:b/>
          <w:bCs/>
          <w:color w:val="0D2B55"/>
          <w:sz w:val="96"/>
          <w:szCs w:val="96"/>
        </w:rPr>
        <w:t xml:space="preserve">CORE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A4F9C"/>
          <w:sz w:val="40"/>
          <w:szCs w:val="40"/>
        </w:rPr>
        <w:t xml:space="preserve">Design System &amp; Brand Guidelines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7A7A7A"/>
          <w:sz w:val="22"/>
          <w:szCs w:val="22"/>
        </w:rPr>
        <w:t xml:space="preserve">Definiciones gráficas, visuales y de comunicación corporativa</w:t>
      </w:r>
    </w:p>
    <w:p>
      <w:pPr>
        <w:pBdr>
          <w:bottom w:val="single" w:color="C9A84C" w:sz="18" w:space="1"/>
        </w:pBdr>
        <w:spacing w:after="160" w:before="160"/>
      </w:pPr>
      <w:r>
        <w:t xml:space="preserve"/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color w:val="7A7A7A"/>
          <w:sz w:val="20"/>
          <w:szCs w:val="20"/>
        </w:rPr>
        <w:t xml:space="preserve">Versión 1.0 — Mayo 2026</w:t>
      </w:r>
    </w:p>
    <w:p>
      <w:pPr>
        <w:spacing w:after="2400" w:before="0"/>
        <w:jc w:val="center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Confidencial — Uso interno</w:t>
      </w:r>
    </w:p>
    <w:p>
      <w:pPr>
        <w:pStyle w:val="Heading1"/>
        <w:pageBreakBefore/>
        <w:shd w:fill="0D2B55" w:val="clear"/>
        <w:spacing w:after="24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01 — Paleta de Colores Corporativos</w:t>
      </w:r>
    </w:p>
    <w:p>
      <w:pPr>
        <w:spacing w:after="120" w:before="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La paleta CORE está construida sobre un eje Navy-Blue-Gold que transmite profesionalismo, tecnología y confianza regional. El uso consistente de estos colores es obligatorio en todos los materiales de comunicación.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1500"/>
        <w:gridCol w:w="4960"/>
      </w:tblGrid>
      <w:tr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Muestra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Uso principal</w:t>
            </w:r>
          </w:p>
        </w:tc>
      </w:tr>
      <w:tr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Navy CORE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#0D2B55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Títulos H1, portadas, elementos primarios</w:t>
            </w:r>
          </w:p>
        </w:tc>
      </w:tr>
      <w:tr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1A4F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Blue CORE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#1A4F9C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Títulos H2, bordes de sección</w:t>
            </w:r>
          </w:p>
        </w:tc>
      </w:tr>
      <w:tr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2E6F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Blue Light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#2E6FC4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Títulos H3, bordes de tabla header</w:t>
            </w:r>
          </w:p>
        </w:tc>
      </w:tr>
      <w:tr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D8E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Blue Pale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#D8E8F8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Fondos de callout, highlights</w:t>
            </w:r>
          </w:p>
        </w:tc>
      </w:tr>
      <w:tr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Gold CORE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#C9A84C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Divisores, acentos decorativos</w:t>
            </w:r>
          </w:p>
        </w:tc>
      </w:tr>
      <w:tr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4A4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Gray Body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#4A4A4A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Texto de párrafo principal</w:t>
            </w:r>
          </w:p>
        </w:tc>
      </w:tr>
      <w:tr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7A7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Gray Mid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#7A7A7A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Subtextos, metadatos, pie de página</w:t>
            </w:r>
          </w:p>
        </w:tc>
      </w:tr>
      <w:tr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Gray Light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#F2F5FA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Fondos de tablas (filas pares), código</w:t>
            </w:r>
          </w:p>
        </w:tc>
      </w:tr>
      <w:tr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Red Alert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#C0392B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Alertas, confidencial, advertencias</w:t>
            </w:r>
          </w:p>
        </w:tc>
      </w:tr>
      <w:tr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  </w:t>
            </w:r>
          </w:p>
        </w:tc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White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#FFFFFF</w:t>
            </w:r>
          </w:p>
        </w:tc>
        <w:tc>
          <w:tcPr>
            <w:tcW w:type="dxa" w:w="4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Fondo principal, texto sobre fondos oscuros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6FC4" w:sz="24" w:space="8"/>
        </w:pBdr>
        <w:shd w:fill="D8E8F8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1A4F9C"/>
          <w:sz w:val="20"/>
          <w:szCs w:val="20"/>
        </w:rPr>
        <w:t xml:space="preserve">El Gold CORE (#C9A84C) se reserva exclusivamente para divisores, acentos decorativos y elementos de énfasis. Nunca usarlo como color de fondo de grandes superficies.</w:t>
      </w:r>
    </w:p>
    <w:p>
      <w:pPr>
        <w:pStyle w:val="Heading1"/>
        <w:pageBreakBefore/>
        <w:shd w:fill="0D2B55" w:val="clear"/>
        <w:spacing w:after="24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02 — Sistema Tipográfico</w:t>
      </w:r>
    </w:p>
    <w:p>
      <w:pPr>
        <w:spacing w:after="120" w:before="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Calibri es la tipografía oficial de CORE para todos los documentos, interfaces y comunicaciones. Courier New se utiliza exclusivamente para bloques de código y contenido técnico monoespaciado.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900"/>
        <w:gridCol w:w="1200"/>
        <w:gridCol w:w="2960"/>
      </w:tblGrid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Estilo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Título H1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</w:t>
            </w:r>
          </w:p>
        </w:tc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18pt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Bold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Blanco / fondo Navy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Subtítulo H2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</w:t>
            </w:r>
          </w:p>
        </w:tc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14pt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Bold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#0D2B55 Navy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Subtítulo H3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</w:t>
            </w:r>
          </w:p>
        </w:tc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12pt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Bold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#1A4F9C Blue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Párrafo body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</w:t>
            </w:r>
          </w:p>
        </w:tc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11pt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Regular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#4A4A4A Gray Body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Pie de página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</w:t>
            </w:r>
          </w:p>
        </w:tc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9pt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Regular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#7A7A7A Gray Mid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Encabezado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</w:t>
            </w:r>
          </w:p>
        </w:tc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9pt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Regular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#7A7A7A Gray Mid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Código / mono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Courier New</w:t>
            </w:r>
          </w:p>
        </w:tc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9pt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Regular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#2D2D2D</w:t>
            </w:r>
          </w:p>
        </w:tc>
      </w:tr>
      <w:tr>
        <w:tc>
          <w:tcPr>
            <w:tcW w:type="dxa" w:w="28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Leyenda / caption</w:t>
            </w:r>
          </w:p>
        </w:tc>
        <w:tc>
          <w:tcPr>
            <w:tcW w:type="dxa" w:w="1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</w:t>
            </w:r>
          </w:p>
        </w:tc>
        <w:tc>
          <w:tcPr>
            <w:tcW w:type="dxa" w:w="9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9pt</w:t>
            </w:r>
          </w:p>
        </w:tc>
        <w:tc>
          <w:tcPr>
            <w:tcW w:type="dxa" w:w="1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Italic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#7A7A7A Gray Mid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Escala tipográfica web (rem)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Tamaño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Line Height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Display / Hero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3rem — 4rem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H1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2rem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1.2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H2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1.5rem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H3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1.25rem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Body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1rem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1.6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Caption / Meta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0.75rem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Código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0.875rem</w:t>
            </w:r>
          </w:p>
        </w:tc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1.5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6FC4" w:sz="24" w:space="8"/>
        </w:pBdr>
        <w:shd w:fill="D8E8F8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1A4F9C"/>
          <w:sz w:val="20"/>
          <w:szCs w:val="20"/>
        </w:rPr>
        <w:t xml:space="preserve">Fuente web equivalente: 'Calibri', 'Segoe UI', sans-serif. Para entornos donde Calibri no está disponible (Linux, browsers sin Office), usar 'Segoe UI' como fallback primario.</w:t>
      </w:r>
    </w:p>
    <w:p>
      <w:pPr>
        <w:pStyle w:val="Heading1"/>
        <w:pageBreakBefore/>
        <w:shd w:fill="0D2B55" w:val="clear"/>
        <w:spacing w:after="24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03 — Espaciado y Grid</w:t>
      </w:r>
    </w:p>
    <w:p>
      <w:pPr>
        <w:spacing w:after="120" w:before="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El sistema de espaciado CORE sigue una escala de base 8px para web y puntos equivalentes para documentos. Todos los valores de espaciado deben ser múltiplos de 4pt / 8px.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Margen de página</w:t>
            </w:r>
          </w:p>
        </w:tc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 pulgada (1440 DXA) en todos los lados</w:t>
            </w:r>
          </w:p>
        </w:tc>
      </w:tr>
      <w:tr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Espaciado antes H1</w:t>
            </w:r>
          </w:p>
        </w:tc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0pt (siempre inicia en página nueva)</w:t>
            </w:r>
          </w:p>
        </w:tc>
      </w:tr>
      <w:tr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Espaciado después H1</w:t>
            </w:r>
          </w:p>
        </w:tc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16pt</w:t>
            </w:r>
          </w:p>
        </w:tc>
      </w:tr>
      <w:tr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Espaciado antes H2</w:t>
            </w:r>
          </w:p>
        </w:tc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16pt</w:t>
            </w:r>
          </w:p>
        </w:tc>
      </w:tr>
      <w:tr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Espaciado después H2</w:t>
            </w:r>
          </w:p>
        </w:tc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8pt</w:t>
            </w:r>
          </w:p>
        </w:tc>
      </w:tr>
      <w:tr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Espaciado antes H3</w:t>
            </w:r>
          </w:p>
        </w:tc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12pt</w:t>
            </w:r>
          </w:p>
        </w:tc>
      </w:tr>
      <w:tr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Espaciado después H3</w:t>
            </w:r>
          </w:p>
        </w:tc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6pt</w:t>
            </w:r>
          </w:p>
        </w:tc>
      </w:tr>
      <w:tr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Espaciado después párrafo</w:t>
            </w:r>
          </w:p>
        </w:tc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6pt</w:t>
            </w:r>
          </w:p>
        </w:tc>
      </w:tr>
      <w:tr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Interlineado párrafo</w:t>
            </w:r>
          </w:p>
        </w:tc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1.15</w:t>
            </w:r>
          </w:p>
        </w:tc>
      </w:tr>
      <w:tr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Padding celda tabla</w:t>
            </w:r>
          </w:p>
        </w:tc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4pt en todos los lados</w:t>
            </w:r>
          </w:p>
        </w:tc>
      </w:tr>
      <w:tr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Sangría lista viñetas</w:t>
            </w:r>
          </w:p>
        </w:tc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0.5 pulgadas</w:t>
            </w:r>
          </w:p>
        </w:tc>
      </w:tr>
      <w:tr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Padding callout/nota</w:t>
            </w:r>
          </w:p>
        </w:tc>
        <w:tc>
          <w:tcPr>
            <w:tcW w:type="dxa" w:w="468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12pt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Grid web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Sistema de 12 columnas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Ancho máximo de contenido: 1280px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Gutter entre columnas: 24px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Padding lateral mínimo en mobile: 16px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Breakpoints: sm 640px / md 768px / lg 1024px / xl 1280px / 2xl 1536px</w:t>
      </w:r>
    </w:p>
    <w:p>
      <w:pPr>
        <w:pStyle w:val="Heading1"/>
        <w:pageBreakBefore/>
        <w:shd w:fill="0D2B55" w:val="clear"/>
        <w:spacing w:after="24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04 — Componentes UI</w:t>
      </w:r>
    </w:p>
    <w:p>
      <w:pPr>
        <w:spacing w:after="120" w:before="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Los componentes CORE siguen un estilo minimalista-profesional. Sin bordes redondeados excesivos, sin sombras dramáticas. Cada elemento comunica precisión y confianza.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Botones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Estilo primario Navy, secundario outline Blue Light. Texto blanco o Navy. Tipografía Calibri 11pt.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Inputs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Borde 1pt Gray Mid. Fondo blanco. Placeholder Gray Mid. Focus: borde Blue Light.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Tablas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Header Navy + texto blanco. Filas alternas Gray Light / White. Bordes C8D5E8.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Cards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Fondo White o Gray Light. Borde 1pt C8D5E8. Radio 4px. Sombra sutil.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Modales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Fondo overlay Navy 70% opacidad. Contenedor White. Borde Blue Light.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Menús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Fondo Navy. Texto White. Hover: Blue Light. Activo: Gold CORE subrayado.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Dashboards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Grid de 12 columnas. KPIs en cards Gold accent. Gráficos Blue palette.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Badges / Tags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Fondo Blue Pale. Texto Blue CORE. Borde Blue Light. Calibri 9pt Bold.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Alertas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Fondo Red Alert 10% opacidad. Borde izquierdo 4pt Red Alert. Texto Red Alert.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Callouts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Fondo Blue Pale. Borde izquierdo 6pt Blue Light. Texto cursiva Blue CORE.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Estados de interacción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Default: color base definido por componente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Hover: +10% luminosidad o cambio a color adyacente de paleta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Active / Pressed: -10% luminosidad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Focus: outline 2px Blue Light con offset 2px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Disabled: 40% opacidad, cursor not-allowed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Error: borde y texto Red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Success: borde y texto #1D9E75 (Green CORE)</w:t>
      </w:r>
    </w:p>
    <w:p>
      <w:pPr>
        <w:pStyle w:val="Heading1"/>
        <w:pageBreakBefore/>
        <w:shd w:fill="0D2B55" w:val="clear"/>
        <w:spacing w:after="24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05 — Variables CSS y Tokens de Diseño</w:t>
      </w:r>
    </w:p>
    <w:p>
      <w:pPr>
        <w:spacing w:after="120" w:before="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Todas las implementaciones web de CORE deben utilizar estas variables CSS en el :root del proyecto. Nunca usar valores hexadecimales hardcodeados directamente en componentes.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Variable CSS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--color-navy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#0D2B55</w:t>
            </w:r>
          </w:p>
        </w:tc>
      </w:tr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--color-blue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#1A4F9C</w:t>
            </w:r>
          </w:p>
        </w:tc>
      </w:tr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--color-blue-light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#2E6FC4</w:t>
            </w:r>
          </w:p>
        </w:tc>
      </w:tr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--color-blue-pale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#D8E8F8</w:t>
            </w:r>
          </w:p>
        </w:tc>
      </w:tr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--color-gold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#C9A84C</w:t>
            </w:r>
          </w:p>
        </w:tc>
      </w:tr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--color-gray-body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#4A4A4A</w:t>
            </w:r>
          </w:p>
        </w:tc>
      </w:tr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--color-gray-mid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#7A7A7A</w:t>
            </w:r>
          </w:p>
        </w:tc>
      </w:tr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--color-gray-light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#F2F5FA</w:t>
            </w:r>
          </w:p>
        </w:tc>
      </w:tr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--color-red-alert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#C0392B</w:t>
            </w:r>
          </w:p>
        </w:tc>
      </w:tr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--font-primary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Calibri, 'Segoe UI', sans-serif</w:t>
            </w:r>
          </w:p>
        </w:tc>
      </w:tr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--font-mono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'Courier New', monospace</w:t>
            </w:r>
          </w:p>
        </w:tc>
      </w:tr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42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--shadow-card</w:t>
            </w:r>
          </w:p>
        </w:tc>
        <w:tc>
          <w:tcPr>
            <w:tcW w:type="dxa" w:w="51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0 2px 8px rgba(13,43,85,0.08)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6FC4" w:sz="24" w:space="8"/>
        </w:pBdr>
        <w:shd w:fill="D8E8F8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1A4F9C"/>
          <w:sz w:val="20"/>
          <w:szCs w:val="20"/>
        </w:rPr>
        <w:t xml:space="preserve">En proyectos Next.js + Tailwind, extender el theme en tailwind.config.js usando estas mismas variables para garantizar consistencia entre clases utilitarias y CSS custom.</w:t>
      </w:r>
    </w:p>
    <w:p>
      <w:pPr>
        <w:pStyle w:val="Heading1"/>
        <w:pageBreakBefore/>
        <w:shd w:fill="0D2B55" w:val="clear"/>
        <w:spacing w:after="24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06 — Animaciones y Motion</w:t>
      </w:r>
    </w:p>
    <w:p>
      <w:pPr>
        <w:spacing w:after="120" w:before="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Las animaciones CORE son funcionales y contenidas. Transmiten eficiencia y control, no espectáculo. La animación más importante de la marca es el Globe Experience.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Animación / Comportamiento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Globe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Rotación suave constante. Rutas animadas por arco. Hubs pulsantes. Modo día/noche UTC.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Transiciones UI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ease-in-out 200ms. Sin saltos bruscos. Hover states suaves.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Indicadores carga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Spinner circular. Color Blue Light. No usar barras de progreso lineales.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Page transitions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Fade-in desde abajo 16px. Duración 300ms. Delay escalonado entre elementos.</w:t>
            </w:r>
          </w:p>
        </w:tc>
      </w:tr>
      <w:tr>
        <w:tc>
          <w:tcPr>
            <w:tcW w:type="dxa" w:w="312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Rutas del globo</w:t>
            </w:r>
          </w:p>
        </w:tc>
        <w:tc>
          <w:tcPr>
            <w:tcW w:type="dxa" w:w="624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Grosor según volumen. Color según vertical: azul=logística, oro=rep, verde=market.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Principios de 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Velocidad: 150ms para microinteracciones, 300ms para transiciones de página, 600ms+ para el globo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Easing: ease-in-out como default. ease-out para elementos que entran. ease-in para elementos que salen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Nunca usar animaciones que distraigan del contenido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Respetar prefers-reduced-motion: reducir o eliminar animaciones cuando el usuario lo solicite</w:t>
      </w:r>
    </w:p>
    <w:p>
      <w:pPr>
        <w:pStyle w:val="Heading1"/>
        <w:pageBreakBefore/>
        <w:shd w:fill="0D2B55" w:val="clear"/>
        <w:spacing w:after="24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07 — Estructura de Documentos Corporativos</w:t>
      </w:r>
    </w:p>
    <w:p>
      <w:pPr>
        <w:pStyle w:val="Heading2"/>
        <w:pBdr>
          <w:bottom w:val="single" w:color="2E6FC4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7.1 Portada</w:t>
      </w:r>
    </w:p>
    <w:p>
      <w:pPr>
        <w:spacing w:after="120" w:before="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Toda comunicación formal debe iniciar con una portada que contenga: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Número de documento o versión (01, 02...)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Logo CORE — tipografía Bold, tamaño grande, color Navy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Título principal del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Subtítulo o descripción breve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Versión y fecha (Versión 1.0 — Mayo 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Nivel de confidencialidad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6FC4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7.2 Encabezado</w:t>
      </w:r>
    </w:p>
    <w:p>
      <w:pPr>
        <w:spacing w:after="120" w:before="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Todos los documentos incluyen encabezado estándar: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Izquierda: Logo CORE (texto bold) + nombre del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Derecha: Indicación de confidencialidad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Separador: línea horizontal Blue Light (#2E6FC4), grosor 2pt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6FC4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7.3 Pie de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Izquierda: 'CORE — Growth &amp; Operations Platform for Latin America'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Derecha: Número de página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Separador: línea horizontal Blue Light, grosor 2pt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6FC4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7.4 Checklist de publicación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¿Incluye portada con todos los campos requeridos?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¿Tiene encabezado y pie de página en todas las páginas?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¿Los estilos H1/H2/H3 están aplicados correctamente?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¿Las tablas siguen el estilo corporativo (header Navy, filas alternas)?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¿Incluye el nivel de confidencialidad correcto?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¿La versión y fecha están actualizadas?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¿El nombre del archivo sigue la nomenclatura CORE_NOMBRE_vX.X.docx?</w:t>
      </w:r>
    </w:p>
    <w:p>
      <w:pPr>
        <w:pStyle w:val="Heading1"/>
        <w:pageBreakBefore/>
        <w:shd w:fill="0D2B55" w:val="clear"/>
        <w:spacing w:after="24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08 — Nomenclatura y Convenciones</w:t>
      </w:r>
    </w:p>
    <w:p>
      <w:pPr>
        <w:spacing w:after="120" w:before="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La consistencia en nombres de archivos, variables y componentes es parte de la identidad técnica de CORE.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60"/>
        <w:gridCol w:w="4000"/>
      </w:tblGrid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Tipo de archivo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4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Documento Word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CORE_NOMBRE_vX.X.docx</w:t>
            </w:r>
          </w:p>
        </w:tc>
        <w:tc>
          <w:tcPr>
            <w:tcW w:type="dxa" w:w="4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CORE_TechSpec_v2.0.docx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Presentación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CORE_NOMBRE_vX.X.pptx</w:t>
            </w:r>
          </w:p>
        </w:tc>
        <w:tc>
          <w:tcPr>
            <w:tcW w:type="dxa" w:w="4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CORE_InvestorDeck_v1.0.pptx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Imagen / Asset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core-nombre-variante.ext</w:t>
            </w:r>
          </w:p>
        </w:tc>
        <w:tc>
          <w:tcPr>
            <w:tcW w:type="dxa" w:w="4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core-logo-navy.svg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Componente UI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PascalCase.tsx</w:t>
            </w:r>
          </w:p>
        </w:tc>
        <w:tc>
          <w:tcPr>
            <w:tcW w:type="dxa" w:w="4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NavMenu.tsx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Página (Next.js)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app/ruta/page.tsx</w:t>
            </w:r>
          </w:p>
        </w:tc>
        <w:tc>
          <w:tcPr>
            <w:tcW w:type="dxa" w:w="4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app/docs/strategy/page.tsx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Estilo global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kebab-case.css</w:t>
            </w:r>
          </w:p>
        </w:tc>
        <w:tc>
          <w:tcPr>
            <w:tcW w:type="dxa" w:w="4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globals.css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Variable CSS color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--color-navy-core</w:t>
            </w:r>
          </w:p>
        </w:tc>
        <w:tc>
          <w:tcPr>
            <w:tcW w:type="dxa" w:w="4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--color-gold-core</w:t>
            </w:r>
          </w:p>
        </w:tc>
      </w:tr>
      <w:tr>
        <w:tc>
          <w:tcPr>
            <w:tcW w:type="dxa" w:w="24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Clase Tailwind custom</w:t>
            </w:r>
          </w:p>
        </w:tc>
        <w:tc>
          <w:tcPr>
            <w:tcW w:type="dxa" w:w="29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core-[nombre]</w:t>
            </w:r>
          </w:p>
        </w:tc>
        <w:tc>
          <w:tcPr>
            <w:tcW w:type="dxa" w:w="4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core-callout, core-badge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A4F9C"/>
          <w:sz w:val="24"/>
          <w:szCs w:val="24"/>
        </w:rPr>
        <w:t xml:space="preserve">Convenciones de código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Componentes React: PascalCase (NavMenu, CoreButton)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Hooks: camelCase con prefijo use (useSupabase, useSession)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Constantes: UPPER_SNAKE_CASE (NAVY_CORE, API_BASE_URL)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Funciones y variables: camelCase (handleLogin, isAuthenticated)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Archivos CSS módulos: ComponentName.module.css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Rutas API: kebab-case (/api/v1/core-market)</w:t>
      </w:r>
    </w:p>
    <w:p>
      <w:pPr>
        <w:pStyle w:val="Heading1"/>
        <w:pageBreakBefore/>
        <w:shd w:fill="0D2B55" w:val="clear"/>
        <w:spacing w:after="24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09 — Niveles de Confidencialidad</w:t>
      </w:r>
    </w:p>
    <w:p>
      <w:pPr>
        <w:spacing w:after="120" w:before="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Todo material de CORE debe estar clasificado con uno de los siguientes niveles. La etiqueta correspondiente aparece en portada, encabezado y pie de página.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Etiqueta</w:t>
            </w:r>
          </w:p>
        </w:tc>
        <w:tc>
          <w:tcPr>
            <w:tcW w:type="dxa" w:w="48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0D2B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Destinatarios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Público</w:t>
            </w:r>
          </w:p>
        </w:tc>
        <w:tc>
          <w:tcPr>
            <w:tcW w:type="dxa" w:w="2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Público</w:t>
            </w:r>
          </w:p>
        </w:tc>
        <w:tc>
          <w:tcPr>
            <w:tcW w:type="dxa" w:w="48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Cualquier persona. Materiales de marketing y website.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Interno</w:t>
            </w:r>
          </w:p>
        </w:tc>
        <w:tc>
          <w:tcPr>
            <w:tcW w:type="dxa" w:w="2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Uso interno</w:t>
            </w:r>
          </w:p>
        </w:tc>
        <w:tc>
          <w:tcPr>
            <w:tcW w:type="dxa" w:w="48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Empleados y contratistas de CORE.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Confidencial</w:t>
            </w:r>
          </w:p>
        </w:tc>
        <w:tc>
          <w:tcPr>
            <w:tcW w:type="dxa" w:w="2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Confidencial — Uso interno</w:t>
            </w:r>
          </w:p>
        </w:tc>
        <w:tc>
          <w:tcPr>
            <w:tcW w:type="dxa" w:w="48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Equipos directivos, managers, leads técnicos.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Restringido</w:t>
            </w:r>
          </w:p>
        </w:tc>
        <w:tc>
          <w:tcPr>
            <w:tcW w:type="dxa" w:w="2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Restringido — Alta Dirección</w:t>
            </w:r>
          </w:p>
        </w:tc>
        <w:tc>
          <w:tcPr>
            <w:tcW w:type="dxa" w:w="48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C-Level, directorio, inversores.</w:t>
            </w:r>
          </w:p>
        </w:tc>
      </w:tr>
      <w:tr>
        <w:tc>
          <w:tcPr>
            <w:tcW w:type="dxa" w:w="20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Secreto</w:t>
            </w:r>
          </w:p>
        </w:tc>
        <w:tc>
          <w:tcPr>
            <w:tcW w:type="dxa" w:w="250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Secreto — No distribuir</w:t>
            </w:r>
          </w:p>
        </w:tc>
        <w:tc>
          <w:tcPr>
            <w:tcW w:type="dxa" w:w="4860"/>
            <w:tcBorders>
              <w:top w:val="single" w:color="C8D5E8" w:sz="1"/>
              <w:left w:val="single" w:color="C8D5E8" w:sz="1"/>
              <w:bottom w:val="single" w:color="C8D5E8" w:sz="1"/>
              <w:right w:val="single" w:color="C8D5E8" w:sz="1"/>
            </w:tcBorders>
            <w:shd w:fill="F2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4A4A4A"/>
                <w:sz w:val="20"/>
                <w:szCs w:val="20"/>
              </w:rPr>
              <w:t xml:space="preserve">Solo personas explícitamente autorizadas por CEO.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left w:val="single" w:color="2E6FC4" w:sz="24" w:space="8"/>
        </w:pBdr>
        <w:shd w:fill="D8E8F8" w:val="clear"/>
        <w:spacing w:after="120" w:before="120"/>
        <w:ind w:left="360"/>
      </w:pPr>
      <w:r>
        <w:rPr>
          <w:rFonts w:ascii="Calibri" w:cs="Calibri" w:eastAsia="Calibri" w:hAnsi="Calibri"/>
          <w:i/>
          <w:iCs/>
          <w:color w:val="1A4F9C"/>
          <w:sz w:val="20"/>
          <w:szCs w:val="20"/>
        </w:rPr>
        <w:t xml:space="preserve">Los documentos de la Biblioteca CORE son clasificación Confidencial — Uso interno por defecto. Solo el CEO puede autorizar cambios a nivel Restringido o Secreto.</w:t>
      </w:r>
    </w:p>
    <w:p>
      <w:pPr>
        <w:pStyle w:val="Heading1"/>
        <w:pageBreakBefore/>
        <w:shd w:fill="0D2B55" w:val="clear"/>
        <w:spacing w:after="240" w:before="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10 — Uso de Marca y Logo</w:t>
      </w:r>
    </w:p>
    <w:p>
      <w:pPr>
        <w:pStyle w:val="Heading2"/>
        <w:pBdr>
          <w:bottom w:val="single" w:color="2E6FC4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10.1 Representación del logo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El logo CORE se representa tipográficamente como 'CORE' en Calibri Bold, color Navy (#0D2B55)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En portadas: tamaño mínimo 52pt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En encabezados: 10pt Bold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No usar versiones alternativas de color sin aprobación del brand team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6FC4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10.2 Taglines oficiales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Tagline principal: Global Supply. Regional Growth.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Tagline corporativo: Growth &amp; Operations Platform for Latin America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Tagline Biblioteca: Biblioteca Interna — Documentación Oficial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6FC4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10.3 Submarcas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Logistics — Motor de operaciones logísticas regionales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Rep — Motor de representación comercial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Market — Marketplace B2B regional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Intelligence — Analítica e inteligencia artificial (Futuro)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CORE Finance — Vertical financiera (Futuro)</w:t>
      </w:r>
    </w:p>
    <w:p>
      <w:pPr>
        <w:spacing w:after="120" w:before="0"/>
      </w:pPr>
      <w:r>
        <w:t xml:space="preserve"/>
      </w:r>
    </w:p>
    <w:p>
      <w:pPr>
        <w:pStyle w:val="Heading2"/>
        <w:pBdr>
          <w:bottom w:val="single" w:color="2E6FC4" w:sz="12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0D2B55"/>
          <w:sz w:val="28"/>
          <w:szCs w:val="28"/>
        </w:rPr>
        <w:t xml:space="preserve">10.4 Tono de comunicación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Profesional — Sin informalidades ni jerga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Regional — Orientado a Latinoamérica, cercano al mercado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Tecnológico — Preciso, técnico cuando corresponde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Confiable — Datos, evidencia, no promesas vacías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4A4A4A"/>
          <w:sz w:val="22"/>
          <w:szCs w:val="22"/>
        </w:rPr>
        <w:t xml:space="preserve">Escalable — Comunicar siempre la visión de largo plazo</w:t>
      </w:r>
    </w:p>
    <w:p>
      <w:pPr>
        <w:spacing w:after="120" w:before="0"/>
      </w:pPr>
      <w:r>
        <w:t xml:space="preserve"/>
      </w:r>
    </w:p>
    <w:p>
      <w:pPr>
        <w:pBdr>
          <w:bottom w:val="single" w:color="C9A84C" w:sz="18" w:space="1"/>
        </w:pBdr>
        <w:spacing w:after="160" w:before="160"/>
      </w:pPr>
      <w:r>
        <w:t xml:space="preserve"/>
      </w:r>
    </w:p>
    <w:p>
      <w:pPr>
        <w:spacing w:after="120" w:before="240"/>
        <w:jc w:val="center"/>
      </w:pPr>
      <w:r>
        <w:rPr>
          <w:rFonts w:ascii="Calibri" w:cs="Calibri" w:eastAsia="Calibri" w:hAnsi="Calibri"/>
          <w:b/>
          <w:bCs/>
          <w:color w:val="0D2B55"/>
          <w:sz w:val="20"/>
          <w:szCs w:val="20"/>
        </w:rPr>
        <w:t xml:space="preserve">CORE — Design System &amp; Brand Guidelines v1.0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7A7A7A"/>
          <w:sz w:val="18"/>
          <w:szCs w:val="18"/>
        </w:rPr>
        <w:t xml:space="preserve">Para actualizaciones: brand@core.lat  ·  Confidencial — Uso interno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FC4" w:sz="6" w:space="4"/>
      </w:pBdr>
      <w:tabs>
        <w:tab w:val="right" w:pos="9026"/>
      </w:tabs>
    </w:pPr>
    <w:r>
      <w:rPr>
        <w:rFonts w:ascii="Calibri" w:cs="Calibri" w:eastAsia="Calibri" w:hAnsi="Calibri"/>
        <w:color w:val="7A7A7A"/>
        <w:sz w:val="18"/>
        <w:szCs w:val="18"/>
      </w:rPr>
      <w:t xml:space="preserve">CORE — Growth &amp; Operations Platform for Latin America</w:t>
    </w:r>
    <w:r>
      <w:rPr>
        <w:sz w:val="18"/>
        <w:szCs w:val="18"/>
      </w:rPr>
      <w:t xml:space="preserve">	</w:t>
    </w:r>
    <w:r>
      <w:rPr>
        <w:rFonts w:ascii="Calibri" w:cs="Calibri" w:eastAsia="Calibri" w:hAnsi="Calibri"/>
        <w:color w:val="7A7A7A"/>
        <w:sz w:val="18"/>
        <w:szCs w:val="18"/>
      </w:rPr>
      <w:t xml:space="preserve">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FC4" w:sz="6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0D2B55"/>
        <w:sz w:val="18"/>
        <w:szCs w:val="18"/>
      </w:rPr>
      <w:t xml:space="preserve">CORE  —  Design System &amp; Brand Guidelines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color w:val="7A7A7A"/>
        <w:sz w:val="18"/>
        <w:szCs w:val="18"/>
      </w:rPr>
      <w:t xml:space="preserve">Confidencial — Uso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0D2B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1A4F9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2026-06-03T05:58:41.676Z</dcterms:created>
  <dcterms:modified xsi:type="dcterms:W3CDTF">2026-06-03T05:58:41.676Z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