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B20AE6" w14:textId="00014322" w:rsidR="00DE131D" w:rsidRPr="00DE131D" w:rsidRDefault="00DE131D" w:rsidP="00DE131D">
      <w:pPr>
        <w:jc w:val="center"/>
        <w:rPr>
          <w:b/>
          <w:bCs/>
          <w:sz w:val="30"/>
          <w:szCs w:val="30"/>
        </w:rPr>
      </w:pPr>
      <w:r w:rsidRPr="00DE131D">
        <w:rPr>
          <w:b/>
          <w:bCs/>
          <w:sz w:val="30"/>
          <w:szCs w:val="30"/>
        </w:rPr>
        <w:t>High-Side vs Low-Side Current Sense</w:t>
      </w:r>
    </w:p>
    <w:p w14:paraId="59294080" w14:textId="57E8A7BB" w:rsidR="00DE131D" w:rsidRDefault="00DE131D"/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2764"/>
        <w:gridCol w:w="3013"/>
        <w:gridCol w:w="3239"/>
      </w:tblGrid>
      <w:tr w:rsidR="00BB2241" w14:paraId="5B7BAF8A" w14:textId="02CC5EDE" w:rsidTr="00DE131D">
        <w:tc>
          <w:tcPr>
            <w:tcW w:w="2764" w:type="dxa"/>
          </w:tcPr>
          <w:p w14:paraId="191F292F" w14:textId="77777777" w:rsidR="00150C07" w:rsidRDefault="00150C07">
            <w:r w:rsidRPr="003D11B2">
              <w:drawing>
                <wp:inline distT="0" distB="0" distL="0" distR="0" wp14:anchorId="634BC2B0" wp14:editId="3EFD55D5">
                  <wp:extent cx="1748500" cy="1859280"/>
                  <wp:effectExtent l="0" t="0" r="4445" b="7620"/>
                  <wp:docPr id="5867769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6776923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979" cy="18640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13" w:type="dxa"/>
          </w:tcPr>
          <w:p w14:paraId="21591B0C" w14:textId="311A3288" w:rsidR="00150C07" w:rsidRPr="003D11B2" w:rsidRDefault="00150C07">
            <w:r w:rsidRPr="003C53B8">
              <w:drawing>
                <wp:inline distT="0" distB="0" distL="0" distR="0" wp14:anchorId="55114C38" wp14:editId="2E4EF287">
                  <wp:extent cx="1920240" cy="2502642"/>
                  <wp:effectExtent l="0" t="0" r="3810" b="0"/>
                  <wp:docPr id="26387965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3879657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188" cy="25195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39" w:type="dxa"/>
          </w:tcPr>
          <w:p w14:paraId="7560223F" w14:textId="454D5E7F" w:rsidR="00150C07" w:rsidRPr="003D11B2" w:rsidRDefault="00150C07">
            <w:r w:rsidRPr="000C2173">
              <w:drawing>
                <wp:inline distT="0" distB="0" distL="0" distR="0" wp14:anchorId="442F0461" wp14:editId="624AFD65">
                  <wp:extent cx="2079031" cy="2781300"/>
                  <wp:effectExtent l="0" t="0" r="0" b="0"/>
                  <wp:docPr id="148080628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0806286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4621" cy="29091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2241" w14:paraId="24DC3E17" w14:textId="79EDD8F5" w:rsidTr="00DE131D">
        <w:tc>
          <w:tcPr>
            <w:tcW w:w="2764" w:type="dxa"/>
          </w:tcPr>
          <w:p w14:paraId="330A1534" w14:textId="42BF9B22" w:rsidR="00150C07" w:rsidRPr="003D11B2" w:rsidRDefault="00150C07" w:rsidP="00150C07">
            <w:pPr>
              <w:rPr>
                <w:b/>
                <w:bCs/>
              </w:rPr>
            </w:pPr>
            <w:r>
              <w:rPr>
                <w:b/>
                <w:bCs/>
              </w:rPr>
              <w:t>Figure 1</w:t>
            </w:r>
          </w:p>
        </w:tc>
        <w:tc>
          <w:tcPr>
            <w:tcW w:w="3013" w:type="dxa"/>
          </w:tcPr>
          <w:p w14:paraId="381D0370" w14:textId="77777777" w:rsidR="00DE131D" w:rsidRDefault="00150C07" w:rsidP="00150C0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Figure 2.1 </w:t>
            </w:r>
          </w:p>
          <w:p w14:paraId="045D6D28" w14:textId="7F92A6FC" w:rsidR="00150C07" w:rsidRDefault="00150C07" w:rsidP="00150C07">
            <w:pPr>
              <w:rPr>
                <w:b/>
                <w:bCs/>
              </w:rPr>
            </w:pPr>
            <w:r>
              <w:rPr>
                <w:b/>
                <w:bCs/>
              </w:rPr>
              <w:t>(High-side current sense)</w:t>
            </w:r>
          </w:p>
        </w:tc>
        <w:tc>
          <w:tcPr>
            <w:tcW w:w="3239" w:type="dxa"/>
          </w:tcPr>
          <w:p w14:paraId="34A91548" w14:textId="7DC33A87" w:rsidR="00150C07" w:rsidRDefault="00150C07" w:rsidP="00150C07">
            <w:pPr>
              <w:rPr>
                <w:b/>
                <w:bCs/>
              </w:rPr>
            </w:pPr>
            <w:r>
              <w:rPr>
                <w:b/>
                <w:bCs/>
              </w:rPr>
              <w:t>Figure 2.2 (Low-side current sense)</w:t>
            </w:r>
          </w:p>
        </w:tc>
      </w:tr>
    </w:tbl>
    <w:p w14:paraId="7A4F61AC" w14:textId="25B9BFFE" w:rsidR="001115FB" w:rsidRDefault="001115FB"/>
    <w:p w14:paraId="7E04BD21" w14:textId="4B082A04" w:rsidR="008913E0" w:rsidRPr="00BC03AD" w:rsidRDefault="008913E0">
      <w:r>
        <w:rPr>
          <w:b/>
          <w:bCs/>
        </w:rPr>
        <w:t xml:space="preserve">Figure 1 </w:t>
      </w:r>
      <w:r>
        <w:t xml:space="preserve">is a drastically simplified diagram </w:t>
      </w:r>
      <w:r w:rsidR="00E0610D">
        <w:t xml:space="preserve">of the power transistors </w:t>
      </w:r>
      <w:r w:rsidR="00002E61">
        <w:t xml:space="preserve">which are </w:t>
      </w:r>
      <w:r w:rsidR="00E0610D">
        <w:t xml:space="preserve">used to dissipate </w:t>
      </w:r>
      <w:r w:rsidR="00002E61">
        <w:t xml:space="preserve">all </w:t>
      </w:r>
      <w:r w:rsidR="00E0610D">
        <w:t xml:space="preserve">the </w:t>
      </w:r>
      <w:r w:rsidR="00002E61">
        <w:t>power</w:t>
      </w:r>
      <w:r w:rsidR="008B59EE">
        <w:t xml:space="preserve"> in my programmable load</w:t>
      </w:r>
      <w:r w:rsidR="00002E61">
        <w:t xml:space="preserve">. In my design I am planning to use </w:t>
      </w:r>
      <w:r w:rsidR="00002E61">
        <w:rPr>
          <w:b/>
          <w:bCs/>
        </w:rPr>
        <w:t xml:space="preserve">8 </w:t>
      </w:r>
      <w:r w:rsidR="00002E61">
        <w:t>of these power transistors</w:t>
      </w:r>
      <w:r w:rsidR="00A93FB5">
        <w:t xml:space="preserve"> in parallel. This means that in theory they can all be treated as a single transistor, as represented by </w:t>
      </w:r>
      <w:r w:rsidR="00A93FB5">
        <w:rPr>
          <w:b/>
          <w:bCs/>
        </w:rPr>
        <w:t>Figure 1</w:t>
      </w:r>
      <w:r w:rsidR="00BC03AD">
        <w:t xml:space="preserve">. For my programmable load, it is imperative that I accurately measure the current that is coming in through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SS</m:t>
            </m:r>
          </m:sub>
        </m:sSub>
      </m:oMath>
      <w:r w:rsidR="008E7793">
        <w:rPr>
          <w:rFonts w:eastAsiaTheme="minorEastAsia"/>
        </w:rPr>
        <w:t xml:space="preserve"> however there </w:t>
      </w:r>
      <w:r w:rsidR="00EC69CF">
        <w:rPr>
          <w:rFonts w:eastAsiaTheme="minorEastAsia"/>
        </w:rPr>
        <w:t xml:space="preserve">is a potential problem </w:t>
      </w:r>
      <w:r w:rsidR="008E7793">
        <w:rPr>
          <w:rFonts w:eastAsiaTheme="minorEastAsia"/>
        </w:rPr>
        <w:t>that</w:t>
      </w:r>
      <w:r w:rsidR="00EF0DCA">
        <w:rPr>
          <w:rFonts w:eastAsiaTheme="minorEastAsia"/>
        </w:rPr>
        <w:t xml:space="preserve"> may</w:t>
      </w:r>
      <w:r w:rsidR="008E7793">
        <w:rPr>
          <w:rFonts w:eastAsiaTheme="minorEastAsia"/>
        </w:rPr>
        <w:t xml:space="preserve"> need to be addressed.</w:t>
      </w:r>
    </w:p>
    <w:p w14:paraId="6C8A6C60" w14:textId="303E1A89" w:rsidR="00262D08" w:rsidRDefault="008B230D">
      <w:pPr>
        <w:rPr>
          <w:rFonts w:eastAsiaTheme="minorEastAsia"/>
        </w:rPr>
      </w:pPr>
      <w:r>
        <w:rPr>
          <w:b/>
          <w:bCs/>
        </w:rPr>
        <w:t xml:space="preserve">Figure 1 </w:t>
      </w:r>
      <w:r>
        <w:t xml:space="preserve">shows the </w:t>
      </w:r>
      <w:r w:rsidR="00366A54">
        <w:t>root of the problem</w:t>
      </w:r>
      <w:r w:rsidR="000A5E0E">
        <w:t xml:space="preserve"> I am </w:t>
      </w:r>
      <w:r w:rsidR="007B1A13">
        <w:t>referencing</w:t>
      </w:r>
      <w:r w:rsidR="00A97632">
        <w:t>. If “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SS</m:t>
            </m:r>
          </m:sub>
        </m:sSub>
      </m:oMath>
      <w:r w:rsidR="00A97632">
        <w:rPr>
          <w:rFonts w:eastAsiaTheme="minorEastAsia"/>
        </w:rPr>
        <w:t xml:space="preserve">” </w:t>
      </w:r>
      <w:r w:rsidR="003E5A6A">
        <w:rPr>
          <w:rFonts w:eastAsiaTheme="minorEastAsia"/>
        </w:rPr>
        <w:t>is the current that we need to measure, we need to be careful about which points we measure the current from.</w:t>
      </w:r>
      <w:r w:rsidR="005C0BFE">
        <w:rPr>
          <w:rFonts w:eastAsiaTheme="minorEastAsia"/>
        </w:rPr>
        <w:t xml:space="preserve"> If a shunt </w:t>
      </w:r>
      <w:r w:rsidR="006F718A">
        <w:rPr>
          <w:rFonts w:eastAsiaTheme="minorEastAsia"/>
        </w:rPr>
        <w:t>is</w:t>
      </w:r>
      <w:r w:rsidR="005C0BFE">
        <w:rPr>
          <w:rFonts w:eastAsiaTheme="minorEastAsia"/>
        </w:rPr>
        <w:t xml:space="preserve"> placed</w:t>
      </w:r>
      <w:r w:rsidR="00863805">
        <w:rPr>
          <w:rFonts w:eastAsiaTheme="minorEastAsia"/>
        </w:rPr>
        <w:t xml:space="preserve"> on</w:t>
      </w:r>
      <w:r w:rsidR="005C0BFE">
        <w:rPr>
          <w:rFonts w:eastAsiaTheme="minorEastAsia"/>
        </w:rPr>
        <w:t xml:space="preserve"> the </w:t>
      </w:r>
      <w:proofErr w:type="gramStart"/>
      <w:r w:rsidR="005C0BFE">
        <w:rPr>
          <w:rFonts w:eastAsiaTheme="minorEastAsia"/>
        </w:rPr>
        <w:t>high-side</w:t>
      </w:r>
      <w:proofErr w:type="gramEnd"/>
      <w:r w:rsidR="005C0BFE">
        <w:rPr>
          <w:rFonts w:eastAsiaTheme="minorEastAsia"/>
        </w:rPr>
        <w:t xml:space="preserve"> </w:t>
      </w:r>
      <w:r w:rsidR="00D17805">
        <w:rPr>
          <w:rFonts w:eastAsiaTheme="minorEastAsia"/>
        </w:rPr>
        <w:t xml:space="preserve">between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SS</m:t>
            </m:r>
          </m:sub>
        </m:sSub>
      </m:oMath>
      <w:r w:rsidR="00351F6A">
        <w:rPr>
          <w:rFonts w:eastAsiaTheme="minorEastAsia"/>
        </w:rPr>
        <w:t xml:space="preserve"> </w:t>
      </w:r>
      <w:r w:rsidR="00D17805">
        <w:rPr>
          <w:rFonts w:eastAsiaTheme="minorEastAsia"/>
        </w:rPr>
        <w:t>and the</w:t>
      </w:r>
      <w:r w:rsidR="00351F6A">
        <w:rPr>
          <w:rFonts w:eastAsiaTheme="minorEastAsia"/>
        </w:rPr>
        <w:t xml:space="preserve"> </w:t>
      </w:r>
      <w:r w:rsidR="005C0BFE">
        <w:rPr>
          <w:rFonts w:eastAsiaTheme="minorEastAsia"/>
        </w:rPr>
        <w:t>collector</w:t>
      </w:r>
      <w:r w:rsidR="00AA65B6">
        <w:rPr>
          <w:rFonts w:eastAsiaTheme="minorEastAsia"/>
        </w:rPr>
        <w:t xml:space="preserve"> (</w:t>
      </w:r>
      <w:r w:rsidR="006F718A" w:rsidRPr="004204F0">
        <w:rPr>
          <w:rFonts w:eastAsiaTheme="minorEastAsia"/>
          <w:b/>
          <w:bCs/>
        </w:rPr>
        <w:t>R1</w:t>
      </w:r>
      <w:r w:rsidR="006F718A">
        <w:rPr>
          <w:rFonts w:eastAsiaTheme="minorEastAsia"/>
        </w:rPr>
        <w:t xml:space="preserve"> in </w:t>
      </w:r>
      <w:r w:rsidR="006F718A">
        <w:rPr>
          <w:rFonts w:eastAsiaTheme="minorEastAsia"/>
          <w:b/>
          <w:bCs/>
        </w:rPr>
        <w:t>Figure 2.1</w:t>
      </w:r>
      <w:r w:rsidR="00AA65B6">
        <w:rPr>
          <w:rFonts w:eastAsiaTheme="minorEastAsia"/>
        </w:rPr>
        <w:t>)</w:t>
      </w:r>
      <w:r w:rsidR="005C0BFE">
        <w:rPr>
          <w:rFonts w:eastAsiaTheme="minorEastAsia"/>
        </w:rPr>
        <w:t xml:space="preserve"> this shunt will measure the </w:t>
      </w:r>
      <w:r w:rsidR="0024119E">
        <w:rPr>
          <w:rFonts w:eastAsiaTheme="minorEastAsia"/>
        </w:rPr>
        <w:t xml:space="preserve">exact </w:t>
      </w:r>
      <w:r w:rsidR="005C0BFE">
        <w:rPr>
          <w:rFonts w:eastAsiaTheme="minorEastAsia"/>
        </w:rPr>
        <w:t xml:space="preserve">current we want with no issues. </w:t>
      </w:r>
      <w:r w:rsidR="00D17805">
        <w:rPr>
          <w:rFonts w:eastAsiaTheme="minorEastAsia"/>
        </w:rPr>
        <w:t>However</w:t>
      </w:r>
      <w:r w:rsidR="00652B34">
        <w:rPr>
          <w:rFonts w:eastAsiaTheme="minorEastAsia"/>
        </w:rPr>
        <w:t xml:space="preserve">, if a shunt was placed on the </w:t>
      </w:r>
      <w:proofErr w:type="gramStart"/>
      <w:r w:rsidR="00652B34">
        <w:rPr>
          <w:rFonts w:eastAsiaTheme="minorEastAsia"/>
        </w:rPr>
        <w:t>low-side</w:t>
      </w:r>
      <w:proofErr w:type="gramEnd"/>
      <w:r w:rsidR="00652B34">
        <w:rPr>
          <w:rFonts w:eastAsiaTheme="minorEastAsia"/>
        </w:rPr>
        <w:t xml:space="preserve"> between the</w:t>
      </w:r>
      <w:r w:rsidR="00351F6A">
        <w:rPr>
          <w:rFonts w:eastAsiaTheme="minorEastAsia"/>
        </w:rPr>
        <w:t xml:space="preserve"> </w:t>
      </w:r>
      <w:r w:rsidR="00D17805">
        <w:rPr>
          <w:rFonts w:eastAsiaTheme="minorEastAsia"/>
        </w:rPr>
        <w:t>emitter</w:t>
      </w:r>
      <w:r w:rsidR="00351F6A">
        <w:rPr>
          <w:rFonts w:eastAsiaTheme="minorEastAsia"/>
        </w:rPr>
        <w:t xml:space="preserve"> </w:t>
      </w:r>
      <w:r w:rsidR="00652B34">
        <w:rPr>
          <w:rFonts w:eastAsiaTheme="minorEastAsia"/>
        </w:rPr>
        <w:lastRenderedPageBreak/>
        <w:t>and</w:t>
      </w:r>
      <w:r w:rsidR="00351F6A">
        <w:rPr>
          <w:rFonts w:eastAsiaTheme="minorEastAsia"/>
        </w:rPr>
        <w:t xml:space="preserve"> g</w:t>
      </w:r>
      <w:r w:rsidR="00652B34">
        <w:rPr>
          <w:rFonts w:eastAsiaTheme="minorEastAsia"/>
        </w:rPr>
        <w:t>round</w:t>
      </w:r>
      <w:r w:rsidR="00577E6C">
        <w:rPr>
          <w:rFonts w:eastAsiaTheme="minorEastAsia"/>
        </w:rPr>
        <w:t xml:space="preserve"> (</w:t>
      </w:r>
      <w:r w:rsidR="004204F0">
        <w:rPr>
          <w:rFonts w:eastAsiaTheme="minorEastAsia"/>
          <w:b/>
          <w:bCs/>
        </w:rPr>
        <w:t xml:space="preserve">R2 </w:t>
      </w:r>
      <w:r w:rsidR="004204F0">
        <w:rPr>
          <w:rFonts w:eastAsiaTheme="minorEastAsia"/>
        </w:rPr>
        <w:t xml:space="preserve">in </w:t>
      </w:r>
      <w:r w:rsidR="00577E6C">
        <w:rPr>
          <w:rFonts w:eastAsiaTheme="minorEastAsia"/>
          <w:b/>
          <w:bCs/>
        </w:rPr>
        <w:t>Figure 2.2</w:t>
      </w:r>
      <w:r w:rsidR="00577E6C">
        <w:rPr>
          <w:rFonts w:eastAsiaTheme="minorEastAsia"/>
        </w:rPr>
        <w:t>)</w:t>
      </w:r>
      <w:r w:rsidR="00D17805">
        <w:rPr>
          <w:rFonts w:eastAsiaTheme="minorEastAsia"/>
        </w:rPr>
        <w:t xml:space="preserve">, the current that it measures will not be the true current flowing through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SS</m:t>
            </m:r>
          </m:sub>
        </m:sSub>
      </m:oMath>
      <w:r w:rsidR="002F24C4">
        <w:rPr>
          <w:rFonts w:eastAsiaTheme="minorEastAsia"/>
        </w:rPr>
        <w:t xml:space="preserve">, </w:t>
      </w:r>
      <w:r w:rsidR="00665DEF">
        <w:rPr>
          <w:rFonts w:eastAsiaTheme="minorEastAsia"/>
        </w:rPr>
        <w:t xml:space="preserve">but will instead be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SS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577E6C">
        <w:rPr>
          <w:rFonts w:eastAsiaTheme="minorEastAsia"/>
        </w:rPr>
        <w:t>.</w:t>
      </w:r>
      <w:r w:rsidR="00264208">
        <w:rPr>
          <w:rFonts w:eastAsiaTheme="minorEastAsia"/>
        </w:rPr>
        <w:t xml:space="preserve"> Therefore, the current is offset by the base current.</w:t>
      </w:r>
    </w:p>
    <w:p w14:paraId="63809134" w14:textId="1492305A" w:rsidR="00262D08" w:rsidRDefault="00F80B1E">
      <w:r>
        <w:rPr>
          <w:rFonts w:eastAsiaTheme="minorEastAsia"/>
        </w:rPr>
        <w:t>To</w:t>
      </w:r>
      <w:r w:rsidR="004204F0">
        <w:rPr>
          <w:rFonts w:eastAsiaTheme="minorEastAsia"/>
        </w:rPr>
        <w:t xml:space="preserve"> compensate for </w:t>
      </w:r>
      <w:r>
        <w:rPr>
          <w:rFonts w:eastAsiaTheme="minorEastAsia"/>
        </w:rPr>
        <w:t>the above problem</w:t>
      </w:r>
      <w:r w:rsidR="004204F0">
        <w:rPr>
          <w:rFonts w:eastAsiaTheme="minorEastAsia"/>
        </w:rPr>
        <w:t xml:space="preserve">, </w:t>
      </w:r>
      <w:r w:rsidR="004204F0">
        <w:rPr>
          <w:rFonts w:eastAsiaTheme="minorEastAsia"/>
          <w:b/>
          <w:bCs/>
        </w:rPr>
        <w:t>Figure 2.2</w:t>
      </w:r>
      <w:r w:rsidR="004204F0">
        <w:rPr>
          <w:rFonts w:eastAsiaTheme="minorEastAsia"/>
        </w:rPr>
        <w:t xml:space="preserve"> demonstrates </w:t>
      </w:r>
      <w:r w:rsidR="00434F91">
        <w:rPr>
          <w:rFonts w:eastAsiaTheme="minorEastAsia"/>
        </w:rPr>
        <w:t xml:space="preserve">a method which involves taking current measurements </w:t>
      </w:r>
      <w:r w:rsidR="00B034A8">
        <w:rPr>
          <w:rFonts w:eastAsiaTheme="minorEastAsia"/>
        </w:rPr>
        <w:t>from</w:t>
      </w:r>
      <w:r w:rsidR="00434F91">
        <w:rPr>
          <w:rFonts w:eastAsiaTheme="minorEastAsia"/>
        </w:rPr>
        <w:t xml:space="preserve"> both the base and emitter of the transistor</w:t>
      </w:r>
      <w:r w:rsidR="00846801">
        <w:rPr>
          <w:rFonts w:eastAsiaTheme="minorEastAsia"/>
        </w:rPr>
        <w:t>, and simply subtracting the base current from the emitter current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≡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SS</m:t>
            </m:r>
          </m:sub>
        </m:sSub>
      </m:oMath>
      <w:r w:rsidR="00846801">
        <w:rPr>
          <w:rFonts w:eastAsiaTheme="minorEastAsia"/>
        </w:rPr>
        <w:t>)</w:t>
      </w:r>
      <w:r>
        <w:rPr>
          <w:rFonts w:eastAsiaTheme="minorEastAsia"/>
        </w:rPr>
        <w:t xml:space="preserve"> to get a value for the collector curren</w:t>
      </w:r>
      <w:r w:rsidR="00187BD3">
        <w:rPr>
          <w:rFonts w:eastAsiaTheme="minorEastAsia"/>
        </w:rPr>
        <w:t>t</w:t>
      </w:r>
      <w:r w:rsidR="00F3347F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SS</m:t>
            </m:r>
          </m:sub>
        </m:sSub>
      </m:oMath>
      <w:r w:rsidR="00846801">
        <w:rPr>
          <w:rFonts w:eastAsiaTheme="minorEastAsia"/>
        </w:rPr>
        <w:t>.</w:t>
      </w:r>
    </w:p>
    <w:p w14:paraId="6FB8EA6F" w14:textId="407526AD" w:rsidR="007C1C42" w:rsidRPr="00801621" w:rsidRDefault="007C1C42">
      <w:r>
        <w:t xml:space="preserve">If high-side current sense is used like in </w:t>
      </w:r>
      <w:r>
        <w:rPr>
          <w:b/>
          <w:bCs/>
        </w:rPr>
        <w:t>Figure 2.1</w:t>
      </w:r>
      <w:r w:rsidR="001072FD">
        <w:t xml:space="preserve">, the voltages present at the terminals of the shunt resistor will </w:t>
      </w:r>
      <w:r w:rsidR="00120974">
        <w:t xml:space="preserve">potentially reach the maximum input voltage </w:t>
      </w:r>
      <w:r w:rsidR="00120974">
        <w:lastRenderedPageBreak/>
        <w:t>of the load (up to 250V)</w:t>
      </w:r>
      <w:r w:rsidR="00EC386B">
        <w:t xml:space="preserve">. This is a massive complication as it means that any differential amplifier </w:t>
      </w:r>
      <w:r w:rsidR="005E3FBE">
        <w:t xml:space="preserve">used for the shunt will need to have a common mode voltage range </w:t>
      </w:r>
      <w:r w:rsidR="00BF2B28">
        <w:t>larger</w:t>
      </w:r>
      <w:r w:rsidR="008B38DC">
        <w:t xml:space="preserve"> than this maximum voltage of 250V. </w:t>
      </w:r>
      <w:r w:rsidR="00DF2418">
        <w:t>These differential amplifiers are extremely expensive</w:t>
      </w:r>
      <w:r w:rsidR="005E1047">
        <w:t>, which is why using more complicated low-side current sense</w:t>
      </w:r>
      <w:r w:rsidR="00BF2B28">
        <w:t>,</w:t>
      </w:r>
      <w:r w:rsidR="005E1047">
        <w:t xml:space="preserve"> </w:t>
      </w:r>
      <w:r w:rsidR="00801621">
        <w:t xml:space="preserve">like in </w:t>
      </w:r>
      <w:r w:rsidR="00801621">
        <w:rPr>
          <w:b/>
          <w:bCs/>
        </w:rPr>
        <w:t>Figure 2.2</w:t>
      </w:r>
      <w:r w:rsidR="00BF2B28">
        <w:t>,</w:t>
      </w:r>
      <w:r w:rsidR="00801621">
        <w:t xml:space="preserve"> is enticing.</w:t>
      </w:r>
    </w:p>
    <w:sectPr w:rsidR="007C1C42" w:rsidRPr="00801621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B0C506" w14:textId="77777777" w:rsidR="00036B7C" w:rsidRDefault="00036B7C" w:rsidP="00036B7C">
      <w:pPr>
        <w:spacing w:after="0" w:line="240" w:lineRule="auto"/>
      </w:pPr>
      <w:r>
        <w:separator/>
      </w:r>
    </w:p>
  </w:endnote>
  <w:endnote w:type="continuationSeparator" w:id="0">
    <w:p w14:paraId="71253A2B" w14:textId="77777777" w:rsidR="00036B7C" w:rsidRDefault="00036B7C" w:rsidP="00036B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4C754D" w14:textId="77777777" w:rsidR="00036B7C" w:rsidRDefault="00036B7C" w:rsidP="00036B7C">
      <w:pPr>
        <w:spacing w:after="0" w:line="240" w:lineRule="auto"/>
      </w:pPr>
      <w:r>
        <w:separator/>
      </w:r>
    </w:p>
  </w:footnote>
  <w:footnote w:type="continuationSeparator" w:id="0">
    <w:p w14:paraId="68BD90C5" w14:textId="77777777" w:rsidR="00036B7C" w:rsidRDefault="00036B7C" w:rsidP="00036B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3486C9" w14:textId="2B61E2A6" w:rsidR="00036B7C" w:rsidRDefault="00036B7C" w:rsidP="00036B7C">
    <w:pPr>
      <w:pStyle w:val="Header"/>
      <w:jc w:val="right"/>
      <w:rPr>
        <w:caps/>
        <w:color w:val="0E2841" w:themeColor="text2"/>
        <w:sz w:val="20"/>
        <w:szCs w:val="20"/>
      </w:rPr>
    </w:pPr>
    <w:sdt>
      <w:sdtPr>
        <w:rPr>
          <w:caps/>
          <w:color w:val="0E2841" w:themeColor="text2"/>
          <w:sz w:val="20"/>
          <w:szCs w:val="20"/>
        </w:rPr>
        <w:alias w:val="Title"/>
        <w:tag w:val=""/>
        <w:id w:val="-484788024"/>
        <w:placeholder>
          <w:docPart w:val="E390D5FCFC1C4E678C8A4A1233CB1308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>
          <w:rPr>
            <w:caps/>
            <w:color w:val="0E2841" w:themeColor="text2"/>
            <w:sz w:val="20"/>
            <w:szCs w:val="20"/>
          </w:rPr>
          <w:t>Programmable dc electronic load</w:t>
        </w:r>
      </w:sdtContent>
    </w:sdt>
  </w:p>
  <w:p w14:paraId="7009D3E8" w14:textId="054DB4A1" w:rsidR="00036B7C" w:rsidRDefault="00036B7C" w:rsidP="00036B7C">
    <w:pPr>
      <w:pStyle w:val="Header"/>
      <w:jc w:val="right"/>
      <w:rPr>
        <w:caps/>
        <w:color w:val="0E2841" w:themeColor="text2"/>
        <w:sz w:val="20"/>
        <w:szCs w:val="20"/>
      </w:rPr>
    </w:pPr>
    <w:sdt>
      <w:sdtPr>
        <w:rPr>
          <w:caps/>
          <w:color w:val="0E2841" w:themeColor="text2"/>
          <w:sz w:val="20"/>
          <w:szCs w:val="20"/>
        </w:rPr>
        <w:alias w:val="Author"/>
        <w:tag w:val=""/>
        <w:id w:val="-1701008461"/>
        <w:placeholder>
          <w:docPart w:val="72B17F9F58DB456C93C3EBCA8DD86BE0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rPr>
            <w:caps/>
            <w:color w:val="0E2841" w:themeColor="text2"/>
            <w:sz w:val="20"/>
            <w:szCs w:val="20"/>
          </w:rPr>
          <w:t>(s) Charles Warhurst</w:t>
        </w:r>
      </w:sdtContent>
    </w:sdt>
  </w:p>
  <w:p w14:paraId="33FEB49C" w14:textId="0EB8FAE8" w:rsidR="00036B7C" w:rsidRDefault="00036B7C" w:rsidP="00036B7C">
    <w:pPr>
      <w:pStyle w:val="Header"/>
      <w:jc w:val="right"/>
      <w:rPr>
        <w:color w:val="0E2841" w:themeColor="text2"/>
        <w:sz w:val="20"/>
        <w:szCs w:val="20"/>
      </w:rPr>
    </w:pPr>
    <w:sdt>
      <w:sdtPr>
        <w:rPr>
          <w:caps/>
          <w:color w:val="0E2841" w:themeColor="text2"/>
          <w:sz w:val="20"/>
          <w:szCs w:val="20"/>
        </w:rPr>
        <w:alias w:val="Date"/>
        <w:tag w:val="Date"/>
        <w:id w:val="-304078227"/>
        <w:placeholder>
          <w:docPart w:val="600BAD30894A4A27A040624F5CEC87A2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24-09-29T00:00:00Z">
          <w:dateFormat w:val="M/d/yy"/>
          <w:lid w:val="en-US"/>
          <w:storeMappedDataAs w:val="dateTime"/>
          <w:calendar w:val="gregorian"/>
        </w:date>
      </w:sdtPr>
      <w:sdtContent>
        <w:r>
          <w:rPr>
            <w:caps/>
            <w:color w:val="0E2841" w:themeColor="text2"/>
            <w:sz w:val="20"/>
            <w:szCs w:val="20"/>
            <w:lang w:val="en-US"/>
          </w:rPr>
          <w:t>9/29/24</w:t>
        </w:r>
      </w:sdtContent>
    </w:sdt>
  </w:p>
  <w:p w14:paraId="3A4747D7" w14:textId="00924EC7" w:rsidR="00036B7C" w:rsidRDefault="00036B7C" w:rsidP="00036B7C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B7C"/>
    <w:rsid w:val="00002E61"/>
    <w:rsid w:val="00036B7C"/>
    <w:rsid w:val="00045FE0"/>
    <w:rsid w:val="000A5E0E"/>
    <w:rsid w:val="000C2173"/>
    <w:rsid w:val="000C63EE"/>
    <w:rsid w:val="001072FD"/>
    <w:rsid w:val="001115FB"/>
    <w:rsid w:val="00120974"/>
    <w:rsid w:val="00150C07"/>
    <w:rsid w:val="00187BD3"/>
    <w:rsid w:val="001D26E0"/>
    <w:rsid w:val="0024119E"/>
    <w:rsid w:val="00262D08"/>
    <w:rsid w:val="00264208"/>
    <w:rsid w:val="002F24C4"/>
    <w:rsid w:val="00351F6A"/>
    <w:rsid w:val="00360973"/>
    <w:rsid w:val="00366A54"/>
    <w:rsid w:val="0039667A"/>
    <w:rsid w:val="003C53B8"/>
    <w:rsid w:val="003D11B2"/>
    <w:rsid w:val="003E5A6A"/>
    <w:rsid w:val="004204F0"/>
    <w:rsid w:val="00434F91"/>
    <w:rsid w:val="004432D2"/>
    <w:rsid w:val="004A4FB2"/>
    <w:rsid w:val="00577E6C"/>
    <w:rsid w:val="005C0BFE"/>
    <w:rsid w:val="005E1047"/>
    <w:rsid w:val="005E3FBE"/>
    <w:rsid w:val="00652B34"/>
    <w:rsid w:val="00665DEF"/>
    <w:rsid w:val="006F718A"/>
    <w:rsid w:val="00765E6C"/>
    <w:rsid w:val="007B1A13"/>
    <w:rsid w:val="007C1C42"/>
    <w:rsid w:val="007E5743"/>
    <w:rsid w:val="00801621"/>
    <w:rsid w:val="008356E0"/>
    <w:rsid w:val="00846801"/>
    <w:rsid w:val="00863805"/>
    <w:rsid w:val="008913E0"/>
    <w:rsid w:val="008B230D"/>
    <w:rsid w:val="008B38DC"/>
    <w:rsid w:val="008B59EE"/>
    <w:rsid w:val="008E7793"/>
    <w:rsid w:val="00A533EF"/>
    <w:rsid w:val="00A93FB5"/>
    <w:rsid w:val="00A97632"/>
    <w:rsid w:val="00AA0C13"/>
    <w:rsid w:val="00AA65B6"/>
    <w:rsid w:val="00B034A8"/>
    <w:rsid w:val="00BB2241"/>
    <w:rsid w:val="00BC03AD"/>
    <w:rsid w:val="00BF2B28"/>
    <w:rsid w:val="00D17805"/>
    <w:rsid w:val="00D37465"/>
    <w:rsid w:val="00DE131D"/>
    <w:rsid w:val="00DF2418"/>
    <w:rsid w:val="00DF75D3"/>
    <w:rsid w:val="00E0610D"/>
    <w:rsid w:val="00EC386B"/>
    <w:rsid w:val="00EC69CF"/>
    <w:rsid w:val="00EF0DCA"/>
    <w:rsid w:val="00F3347F"/>
    <w:rsid w:val="00F80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2B7CE2"/>
  <w15:chartTrackingRefBased/>
  <w15:docId w15:val="{837416CF-630A-4287-BE7A-110ADFE8E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6B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6B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6B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6B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6B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6B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6B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6B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6B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6B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6B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6B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6B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6B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6B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6B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6B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6B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6B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6B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6B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6B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6B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6B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6B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6B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6B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6B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6B7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36B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6B7C"/>
  </w:style>
  <w:style w:type="paragraph" w:styleId="Footer">
    <w:name w:val="footer"/>
    <w:basedOn w:val="Normal"/>
    <w:link w:val="FooterChar"/>
    <w:uiPriority w:val="99"/>
    <w:unhideWhenUsed/>
    <w:rsid w:val="00036B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6B7C"/>
  </w:style>
  <w:style w:type="character" w:styleId="PlaceholderText">
    <w:name w:val="Placeholder Text"/>
    <w:basedOn w:val="DefaultParagraphFont"/>
    <w:uiPriority w:val="99"/>
    <w:semiHidden/>
    <w:rsid w:val="00036B7C"/>
    <w:rPr>
      <w:color w:val="808080"/>
    </w:rPr>
  </w:style>
  <w:style w:type="table" w:styleId="TableGrid">
    <w:name w:val="Table Grid"/>
    <w:basedOn w:val="TableNormal"/>
    <w:uiPriority w:val="39"/>
    <w:rsid w:val="003D11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E390D5FCFC1C4E678C8A4A1233CB13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3D4272-3071-437B-A972-350B227CD567}"/>
      </w:docPartPr>
      <w:docPartBody>
        <w:p w:rsidR="003122D6" w:rsidRDefault="003122D6" w:rsidP="003122D6">
          <w:pPr>
            <w:pStyle w:val="E390D5FCFC1C4E678C8A4A1233CB1308"/>
          </w:pPr>
          <w:r>
            <w:rPr>
              <w:color w:val="0E2841" w:themeColor="text2"/>
              <w:sz w:val="20"/>
              <w:szCs w:val="20"/>
            </w:rPr>
            <w:t>[Document title]</w:t>
          </w:r>
        </w:p>
      </w:docPartBody>
    </w:docPart>
    <w:docPart>
      <w:docPartPr>
        <w:name w:val="72B17F9F58DB456C93C3EBCA8DD86B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94D6BE-4703-4208-A984-BEAC334DAF63}"/>
      </w:docPartPr>
      <w:docPartBody>
        <w:p w:rsidR="003122D6" w:rsidRDefault="003122D6" w:rsidP="003122D6">
          <w:pPr>
            <w:pStyle w:val="72B17F9F58DB456C93C3EBCA8DD86BE0"/>
          </w:pPr>
          <w:r>
            <w:rPr>
              <w:rStyle w:val="PlaceholderText"/>
            </w:rPr>
            <w:t>[Author name]</w:t>
          </w:r>
        </w:p>
      </w:docPartBody>
    </w:docPart>
    <w:docPart>
      <w:docPartPr>
        <w:name w:val="600BAD30894A4A27A040624F5CEC87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9B4409-E241-4E97-9B56-AC1FE15657C0}"/>
      </w:docPartPr>
      <w:docPartBody>
        <w:p w:rsidR="003122D6" w:rsidRDefault="003122D6" w:rsidP="003122D6">
          <w:pPr>
            <w:pStyle w:val="600BAD30894A4A27A040624F5CEC87A2"/>
          </w:pPr>
          <w:r>
            <w:rPr>
              <w:rStyle w:val="PlaceholderText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2D6"/>
    <w:rsid w:val="003122D6"/>
    <w:rsid w:val="00765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122D6"/>
    <w:rPr>
      <w:color w:val="808080"/>
    </w:rPr>
  </w:style>
  <w:style w:type="paragraph" w:customStyle="1" w:styleId="F736C9607DE741B6A7661D2C9EE65D00">
    <w:name w:val="F736C9607DE741B6A7661D2C9EE65D00"/>
    <w:rsid w:val="003122D6"/>
  </w:style>
  <w:style w:type="paragraph" w:customStyle="1" w:styleId="529C170EE6E34E47AE2F9B51CBE4F37A">
    <w:name w:val="529C170EE6E34E47AE2F9B51CBE4F37A"/>
    <w:rsid w:val="003122D6"/>
  </w:style>
  <w:style w:type="paragraph" w:customStyle="1" w:styleId="3206DD7587D44AE785CFF58D42C191DC">
    <w:name w:val="3206DD7587D44AE785CFF58D42C191DC"/>
    <w:rsid w:val="003122D6"/>
  </w:style>
  <w:style w:type="paragraph" w:customStyle="1" w:styleId="2D480689905949EA9969DC9CEE43FEA4">
    <w:name w:val="2D480689905949EA9969DC9CEE43FEA4"/>
    <w:rsid w:val="003122D6"/>
  </w:style>
  <w:style w:type="paragraph" w:customStyle="1" w:styleId="360DCDBCA3BD4DBF88BB48DE182B2145">
    <w:name w:val="360DCDBCA3BD4DBF88BB48DE182B2145"/>
    <w:rsid w:val="003122D6"/>
  </w:style>
  <w:style w:type="paragraph" w:customStyle="1" w:styleId="E390D5FCFC1C4E678C8A4A1233CB1308">
    <w:name w:val="E390D5FCFC1C4E678C8A4A1233CB1308"/>
    <w:rsid w:val="003122D6"/>
  </w:style>
  <w:style w:type="paragraph" w:customStyle="1" w:styleId="72B17F9F58DB456C93C3EBCA8DD86BE0">
    <w:name w:val="72B17F9F58DB456C93C3EBCA8DD86BE0"/>
    <w:rsid w:val="003122D6"/>
  </w:style>
  <w:style w:type="paragraph" w:customStyle="1" w:styleId="600BAD30894A4A27A040624F5CEC87A2">
    <w:name w:val="600BAD30894A4A27A040624F5CEC87A2"/>
    <w:rsid w:val="003122D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2024-09-29T00:00:00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E1173BFF57B544A1AC69E7E54C1319" ma:contentTypeVersion="9" ma:contentTypeDescription="Create a new document." ma:contentTypeScope="" ma:versionID="c48f328cf3954615d656f7d847d5ff8f">
  <xsd:schema xmlns:xsd="http://www.w3.org/2001/XMLSchema" xmlns:xs="http://www.w3.org/2001/XMLSchema" xmlns:p="http://schemas.microsoft.com/office/2006/metadata/properties" xmlns:ns3="3f05ca4d-703e-4679-bb6b-79b9271a30b5" xmlns:ns4="d7b47b11-cda0-4dda-91a2-cccdb1fdc94a" targetNamespace="http://schemas.microsoft.com/office/2006/metadata/properties" ma:root="true" ma:fieldsID="de7ac3e80401d82b1c044db977b1a1d7" ns3:_="" ns4:_="">
    <xsd:import namespace="3f05ca4d-703e-4679-bb6b-79b9271a30b5"/>
    <xsd:import namespace="d7b47b11-cda0-4dda-91a2-cccdb1fdc94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05ca4d-703e-4679-bb6b-79b9271a30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b47b11-cda0-4dda-91a2-cccdb1fdc94a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f05ca4d-703e-4679-bb6b-79b9271a30b5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DDB3D66-A787-45D2-AF65-8DD4CF1589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05ca4d-703e-4679-bb6b-79b9271a30b5"/>
    <ds:schemaRef ds:uri="d7b47b11-cda0-4dda-91a2-cccdb1fdc9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E61C141-2A1F-4519-B71D-4D35A4980A8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9119EE2-0F46-4D23-8B87-043D5FBDFD09}">
  <ds:schemaRefs>
    <ds:schemaRef ds:uri="3f05ca4d-703e-4679-bb6b-79b9271a30b5"/>
    <ds:schemaRef ds:uri="http://purl.org/dc/dcmitype/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schemas.microsoft.com/office/infopath/2007/PartnerControls"/>
    <ds:schemaRef ds:uri="d7b47b11-cda0-4dda-91a2-cccdb1fdc94a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310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Programmable dc electronic load</dc:title>
  <dc:subject/>
  <dc:creator>(s) Charles Warhurst</dc:creator>
  <cp:keywords/>
  <dc:description/>
  <cp:lastModifiedBy>(s) Charles Warhurst</cp:lastModifiedBy>
  <cp:revision>3</cp:revision>
  <cp:lastPrinted>2024-09-29T04:01:00Z</cp:lastPrinted>
  <dcterms:created xsi:type="dcterms:W3CDTF">2024-09-29T04:01:00Z</dcterms:created>
  <dcterms:modified xsi:type="dcterms:W3CDTF">2024-09-29T04:08:00Z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0x01010007E1173BFF57B544A1AC69E7E54C1319</vt:lpwstr>
  </property>
</Properties>
</file>