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Theory-guided feedback | concept examples</w:t>
      </w:r>
    </w:p>
    <w:p>
      <w:r>
        <w:t>Paediatric emergency VR simulation  •  Professor / clinician review draft</w:t>
      </w:r>
    </w:p>
    <w:p>
      <w:r>
        <w:t>Purpose: demonstrate how existing Excel observations might become individual learning feedback and a concise instructor debrief. These are examples, NOT validated scores, clinical judgements, or automated system outputs.</w:t>
      </w:r>
    </w:p>
    <w:p>
      <w:pPr>
        <w:pStyle w:val="Heading1"/>
      </w:pPr>
      <w:r>
        <w:t>1  Design logic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Educational basis</w:t>
            </w:r>
          </w:p>
        </w:tc>
        <w:tc>
          <w:tcPr>
            <w:tcW w:type="dxa" w:w="4320"/>
          </w:tcPr>
          <w:p>
            <w:r>
              <w:t>Proposed design consequence</w:t>
            </w:r>
          </w:p>
        </w:tc>
      </w:tr>
      <w:tr>
        <w:tc>
          <w:tcPr>
            <w:tcW w:type="dxa" w:w="4320"/>
          </w:tcPr>
          <w:p>
            <w:r>
              <w:t>Hattie &amp; Timperley (2007): Where am I going?</w:t>
            </w:r>
          </w:p>
        </w:tc>
        <w:tc>
          <w:tcPr>
            <w:tcW w:type="dxa" w:w="4320"/>
          </w:tcPr>
          <w:p>
            <w:r>
              <w:t>Display expected behaviour / performance criterion.</w:t>
            </w:r>
          </w:p>
        </w:tc>
      </w:tr>
      <w:tr>
        <w:tc>
          <w:tcPr>
            <w:tcW w:type="dxa" w:w="4320"/>
          </w:tcPr>
          <w:p>
            <w:r>
              <w:t>Hattie &amp; Timperley: How am I going?</w:t>
            </w:r>
          </w:p>
        </w:tc>
        <w:tc>
          <w:tcPr>
            <w:tcW w:type="dxa" w:w="4320"/>
          </w:tcPr>
          <w:p>
            <w:r>
              <w:t>Show observed action, source evidence and the gap.</w:t>
            </w:r>
          </w:p>
        </w:tc>
      </w:tr>
      <w:tr>
        <w:tc>
          <w:tcPr>
            <w:tcW w:type="dxa" w:w="4320"/>
          </w:tcPr>
          <w:p>
            <w:r>
              <w:t>Hattie &amp; Timperley: Where to next?</w:t>
            </w:r>
          </w:p>
        </w:tc>
        <w:tc>
          <w:tcPr>
            <w:tcW w:type="dxa" w:w="4320"/>
          </w:tcPr>
          <w:p>
            <w:r>
              <w:t>Suggest a specific next practice behaviour.</w:t>
            </w:r>
          </w:p>
        </w:tc>
      </w:tr>
      <w:tr>
        <w:tc>
          <w:tcPr>
            <w:tcW w:type="dxa" w:w="4320"/>
          </w:tcPr>
          <w:p>
            <w:r>
              <w:t>Nicol &amp; Macfarlane-Dick (2006): self-assessment and dialogue</w:t>
            </w:r>
          </w:p>
        </w:tc>
        <w:tc>
          <w:tcPr>
            <w:tcW w:type="dxa" w:w="4320"/>
          </w:tcPr>
          <w:p>
            <w:r>
              <w:t>Include learner reflection and instructor debrief prompts.</w:t>
            </w:r>
          </w:p>
        </w:tc>
      </w:tr>
      <w:tr>
        <w:tc>
          <w:tcPr>
            <w:tcW w:type="dxa" w:w="4320"/>
          </w:tcPr>
          <w:p>
            <w:r>
              <w:t>Nicol &amp; Macfarlane-Dick: use information to shape teaching</w:t>
            </w:r>
          </w:p>
        </w:tc>
        <w:tc>
          <w:tcPr>
            <w:tcW w:type="dxa" w:w="4320"/>
          </w:tcPr>
          <w:p>
            <w:r>
              <w:t>Provide instructor with concise team-level themes and supporting examples.</w:t>
            </w:r>
          </w:p>
        </w:tc>
      </w:tr>
    </w:tbl>
    <w:p>
      <w:r>
        <w:t>Provisional definitions are used pending the researcher’s gold-standard rubric. No numerical ratings or severity rankings are assigned.</w:t>
      </w:r>
    </w:p>
    <w:p>
      <w:r>
        <w:br w:type="page"/>
      </w:r>
    </w:p>
    <w:p>
      <w:pPr>
        <w:pStyle w:val="Heading1"/>
      </w:pPr>
      <w:r>
        <w:t>2  Learner example A | Team Leader</w:t>
      </w:r>
    </w:p>
    <w:p>
      <w:r>
        <w:t>Competency: Clear Messages / Roles &amp; Responsibilities</w:t>
      </w:r>
    </w:p>
    <w:p>
      <w:pPr>
        <w:pStyle w:val="Heading2"/>
      </w:pPr>
      <w:r>
        <w:t>Feed up | expected behaviour</w:t>
      </w:r>
    </w:p>
    <w:p>
      <w:r>
        <w:t>For time-critical tasks, give a clear action to an identifiable team member. Provisional standard; requires clinical validation.</w:t>
      </w:r>
    </w:p>
    <w:p>
      <w:pPr>
        <w:pStyle w:val="Heading2"/>
      </w:pPr>
      <w:r>
        <w:t>Feed back | what happened</w:t>
      </w:r>
    </w:p>
    <w:p>
      <w:r>
        <w:t>The current AI feedback identifies an undirected CPR instruction and a later unclear bagging role assignment.</w:t>
      </w:r>
    </w:p>
    <w:p>
      <w:r>
        <w:t>Excel Summary!F100: The Team Leader asks, 'Can we start CPR?', which is an undirected and non-authoritative way to initiate a critical action.</w:t>
      </w:r>
    </w:p>
    <w:p>
      <w:r>
        <w:t>Excel Summary!D102: The Team Leader's initial role assignment for bagging was unclear, causing the IV person to become confused about their task, which then required correction.</w:t>
      </w:r>
    </w:p>
    <w:p>
      <w:pPr>
        <w:pStyle w:val="Heading2"/>
      </w:pPr>
      <w:r>
        <w:t>Self-assessment prompt</w:t>
      </w:r>
    </w:p>
    <w:p>
      <w:r>
        <w:t>When you gave these instructions, how did you know the intended team member understood their responsibility?</w:t>
      </w:r>
    </w:p>
    <w:p>
      <w:pPr>
        <w:pStyle w:val="Heading2"/>
      </w:pPr>
      <w:r>
        <w:t>Feed forward | proposed next action</w:t>
      </w:r>
    </w:p>
    <w:p>
      <w:r>
        <w:t>At the next scenario, practise naming the receiver, stating the action directly, and checking acknowledgement where appropriate. Example wording for expert review: “Compressor, begin compressions now.”</w:t>
      </w:r>
    </w:p>
    <w:p>
      <w:r>
        <w:t>Evidence provenance: Excel Summary!B100/F100 and B102/D102. The alternative phrase is a proposed teaching example, not source transcript.</w:t>
      </w:r>
    </w:p>
    <w:p>
      <w:pPr>
        <w:pStyle w:val="Heading1"/>
      </w:pPr>
      <w:r>
        <w:t>3  Learner example B | IV role</w:t>
      </w:r>
    </w:p>
    <w:p>
      <w:r>
        <w:t>Competency: Knowing One’s Limitations / Constructive Intervention</w:t>
      </w:r>
    </w:p>
    <w:p>
      <w:pPr>
        <w:pStyle w:val="Heading2"/>
      </w:pPr>
      <w:r>
        <w:t>Feed up | expected behaviour</w:t>
      </w:r>
    </w:p>
    <w:p>
      <w:r>
        <w:t>Seek clarification when task ownership or an instruction is uncertain, and raise concerns when information needed for safe action is incomplete.</w:t>
      </w:r>
    </w:p>
    <w:p>
      <w:pPr>
        <w:pStyle w:val="Heading2"/>
      </w:pPr>
      <w:r>
        <w:t>Feed back | observed strengths and opportunity</w:t>
      </w:r>
    </w:p>
    <w:p>
      <w:r>
        <w:t>Excel Summary!I108: The IV person, uncertain if they were supposed to be bagging, asks for clarification ('Oh, I'm bagging, right?'), appropriately escalating their uncertainty.</w:t>
      </w:r>
    </w:p>
    <w:p>
      <w:r>
        <w:t>Excel Summary!H169: The IV provider accepts an incomplete medication order with a vague "Okay," failing to seek clarification on the missing route. This is a missed opportunity to correct an error of omission.</w:t>
      </w:r>
    </w:p>
    <w:p>
      <w:pPr>
        <w:pStyle w:val="Heading2"/>
      </w:pPr>
      <w:r>
        <w:t>Self-assessment prompt</w:t>
      </w:r>
    </w:p>
    <w:p>
      <w:r>
        <w:t>What made you seek clarification about bagging, and what would trigger a similar clarification request for an incomplete medication instruction?</w:t>
      </w:r>
    </w:p>
    <w:p>
      <w:pPr>
        <w:pStyle w:val="Heading2"/>
      </w:pPr>
      <w:r>
        <w:t>Feed forward | proposed next action</w:t>
      </w:r>
    </w:p>
    <w:p>
      <w:r>
        <w:t>Continue clarifying uncertain roles; during the next practice scenario, explicitly request missing medication-order details before proceeding. Exact clinical requirements should be confirmed with the educator.</w:t>
      </w:r>
    </w:p>
    <w:p>
      <w:r>
        <w:t>Evidence provenance: Excel Summary!I108 and H169. This example does not establish that medication was administered incorrectly.</w:t>
      </w:r>
    </w:p>
    <w:p>
      <w:pPr>
        <w:pStyle w:val="Heading1"/>
      </w:pPr>
      <w:r>
        <w:t>4  Instructor example | group debrief brief</w:t>
      </w:r>
    </w:p>
    <w:p>
      <w:r>
        <w:t>Scope: this is a selective illustration of observations from one worksheet, not a complete scored assessment of the group.</w:t>
      </w:r>
    </w:p>
    <w:p>
      <w:pPr>
        <w:pStyle w:val="Heading2"/>
      </w:pPr>
      <w:r>
        <w:t>At-a-glance group picture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Evidence-backed observation</w:t>
            </w:r>
          </w:p>
        </w:tc>
        <w:tc>
          <w:tcPr>
            <w:tcW w:type="dxa" w:w="2880"/>
          </w:tcPr>
          <w:p>
            <w:r>
              <w:t>Suggested debrief use</w:t>
            </w:r>
          </w:p>
        </w:tc>
      </w:tr>
      <w:tr>
        <w:tc>
          <w:tcPr>
            <w:tcW w:type="dxa" w:w="2880"/>
          </w:tcPr>
          <w:p>
            <w:r>
              <w:t>Role assignment</w:t>
            </w:r>
          </w:p>
        </w:tc>
        <w:tc>
          <w:tcPr>
            <w:tcW w:type="dxa" w:w="2880"/>
          </w:tcPr>
          <w:p>
            <w:r>
              <w:t>Leader explicitly assigned compressions (D10), but later bagging assignment needed correction (D102).</w:t>
            </w:r>
          </w:p>
        </w:tc>
        <w:tc>
          <w:tcPr>
            <w:tcW w:type="dxa" w:w="2880"/>
          </w:tcPr>
          <w:p>
            <w:r>
              <w:t>Discuss how role allocation is communicated and repaired.</w:t>
            </w:r>
          </w:p>
        </w:tc>
      </w:tr>
      <w:tr>
        <w:tc>
          <w:tcPr>
            <w:tcW w:type="dxa" w:w="2880"/>
          </w:tcPr>
          <w:p>
            <w:r>
              <w:t>Critical instructions</w:t>
            </w:r>
          </w:p>
        </w:tc>
        <w:tc>
          <w:tcPr>
            <w:tcW w:type="dxa" w:w="2880"/>
          </w:tcPr>
          <w:p>
            <w:r>
              <w:t>AI flagged an undirected CPR instruction (F100) and a vague monitor command (F132).</w:t>
            </w:r>
          </w:p>
        </w:tc>
        <w:tc>
          <w:tcPr>
            <w:tcW w:type="dxa" w:w="2880"/>
          </w:tcPr>
          <w:p>
            <w:r>
              <w:t>Discuss named receivers and precise actions.</w:t>
            </w:r>
          </w:p>
        </w:tc>
      </w:tr>
      <w:tr>
        <w:tc>
          <w:tcPr>
            <w:tcW w:type="dxa" w:w="2880"/>
          </w:tcPr>
          <w:p>
            <w:r>
              <w:t>Team information sharing</w:t>
            </w:r>
          </w:p>
        </w:tc>
        <w:tc>
          <w:tcPr>
            <w:tcW w:type="dxa" w:w="2880"/>
          </w:tcPr>
          <w:p>
            <w:r>
              <w:t>IV role highlighted low oxygen saturation (E20); compressor shared reassessment findings (E260).</w:t>
            </w:r>
          </w:p>
        </w:tc>
        <w:tc>
          <w:tcPr>
            <w:tcW w:type="dxa" w:w="2880"/>
          </w:tcPr>
          <w:p>
            <w:r>
              <w:t>Reinforce sharing clinically relevant updates.</w:t>
            </w:r>
          </w:p>
        </w:tc>
      </w:tr>
      <w:tr>
        <w:tc>
          <w:tcPr>
            <w:tcW w:type="dxa" w:w="2880"/>
          </w:tcPr>
          <w:p>
            <w:r>
              <w:t>Reassessment</w:t>
            </w:r>
          </w:p>
        </w:tc>
        <w:tc>
          <w:tcPr>
            <w:tcW w:type="dxa" w:w="2880"/>
          </w:tcPr>
          <w:p>
            <w:r>
              <w:t>Leader summarised CPR start time and next pulse-check plan (J121).</w:t>
            </w:r>
          </w:p>
        </w:tc>
        <w:tc>
          <w:tcPr>
            <w:tcW w:type="dxa" w:w="2880"/>
          </w:tcPr>
          <w:p>
            <w:r>
              <w:t>Ask how status summaries support shared understanding.</w:t>
            </w:r>
          </w:p>
        </w:tc>
      </w:tr>
    </w:tbl>
    <w:p>
      <w:pPr>
        <w:pStyle w:val="Heading2"/>
      </w:pPr>
      <w:r>
        <w:t>Suggested facilitated debrief sequence</w:t>
      </w:r>
    </w:p>
    <w:p>
      <w:r>
        <w:t>1. Ask the group what went well and what was challenging.  2. Invite team members to examine the role-allocation and instruction examples.  3. Show the relevant transcript lines.  4. Agree on a group practice goal: clear ownership and confirmation for critical tasks.</w:t>
      </w:r>
    </w:p>
    <w:p>
      <w:pPr>
        <w:pStyle w:val="Heading2"/>
      </w:pPr>
      <w:r>
        <w:t>What the instructor should NOT infer</w:t>
      </w:r>
    </w:p>
    <w:p>
      <w:r>
        <w:t>Do not interpret the selected observations as prevalence, a validated competency score, a ranked safety-risk list, or proof of individual clinical competence. Confirm context and task actions against other simulation records if available.</w:t>
      </w:r>
    </w:p>
    <w:p>
      <w:pPr>
        <w:pStyle w:val="Heading1"/>
      </w:pPr>
      <w:r>
        <w:t>5  Why the views differ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Learner report</w:t>
            </w:r>
          </w:p>
        </w:tc>
        <w:tc>
          <w:tcPr>
            <w:tcW w:type="dxa" w:w="4320"/>
          </w:tcPr>
          <w:p>
            <w:r>
              <w:t>Instructor brief</w:t>
            </w:r>
          </w:p>
        </w:tc>
      </w:tr>
      <w:tr>
        <w:tc>
          <w:tcPr>
            <w:tcW w:type="dxa" w:w="4320"/>
          </w:tcPr>
          <w:p>
            <w:r>
              <w:t>Individual or role-relevant evidence</w:t>
            </w:r>
          </w:p>
        </w:tc>
        <w:tc>
          <w:tcPr>
            <w:tcW w:type="dxa" w:w="4320"/>
          </w:tcPr>
          <w:p>
            <w:r>
              <w:t>Cross-role patterns and team interactions</w:t>
            </w:r>
          </w:p>
        </w:tc>
      </w:tr>
      <w:tr>
        <w:tc>
          <w:tcPr>
            <w:tcW w:type="dxa" w:w="4320"/>
          </w:tcPr>
          <w:p>
            <w:r>
              <w:t>One actionable practice behaviour</w:t>
            </w:r>
          </w:p>
        </w:tc>
        <w:tc>
          <w:tcPr>
            <w:tcW w:type="dxa" w:w="4320"/>
          </w:tcPr>
          <w:p>
            <w:r>
              <w:t>Debrief questions and shared team learning goals</w:t>
            </w:r>
          </w:p>
        </w:tc>
      </w:tr>
      <w:tr>
        <w:tc>
          <w:tcPr>
            <w:tcW w:type="dxa" w:w="4320"/>
          </w:tcPr>
          <w:p>
            <w:r>
              <w:t>Self-assessment and reflection</w:t>
            </w:r>
          </w:p>
        </w:tc>
        <w:tc>
          <w:tcPr>
            <w:tcW w:type="dxa" w:w="4320"/>
          </w:tcPr>
          <w:p>
            <w:r>
              <w:t>Facilitated dialogue and teaching decisions</w:t>
            </w:r>
          </w:p>
        </w:tc>
      </w:tr>
      <w:tr>
        <w:tc>
          <w:tcPr>
            <w:tcW w:type="dxa" w:w="4320"/>
          </w:tcPr>
          <w:p>
            <w:r>
              <w:t>Detailed evidence for the learner</w:t>
            </w:r>
          </w:p>
        </w:tc>
        <w:tc>
          <w:tcPr>
            <w:tcW w:type="dxa" w:w="4320"/>
          </w:tcPr>
          <w:p>
            <w:r>
              <w:t>Concise synthesis with evidence pointers</w:t>
            </w:r>
          </w:p>
        </w:tc>
      </w:tr>
    </w:tbl>
    <w:p>
      <w:pPr>
        <w:pStyle w:val="Heading1"/>
      </w:pPr>
      <w:r>
        <w:t>6  Decisions pending from researchers / clinicians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Request</w:t>
            </w:r>
          </w:p>
        </w:tc>
        <w:tc>
          <w:tcPr>
            <w:tcW w:type="dxa" w:w="4320"/>
          </w:tcPr>
          <w:p>
            <w:r>
              <w:t>Why needed</w:t>
            </w:r>
          </w:p>
        </w:tc>
      </w:tr>
      <w:tr>
        <w:tc>
          <w:tcPr>
            <w:tcW w:type="dxa" w:w="4320"/>
          </w:tcPr>
          <w:p>
            <w:r>
              <w:t>Gold-standard definitions and behavioural anchors for all seven existing categories</w:t>
            </w:r>
          </w:p>
        </w:tc>
        <w:tc>
          <w:tcPr>
            <w:tcW w:type="dxa" w:w="4320"/>
          </w:tcPr>
          <w:p>
            <w:r>
              <w:t>Replace provisional descriptions; specify eligible opportunities and correct/incomplete behaviours.</w:t>
            </w:r>
          </w:p>
        </w:tc>
      </w:tr>
      <w:tr>
        <w:tc>
          <w:tcPr>
            <w:tcW w:type="dxa" w:w="4320"/>
          </w:tcPr>
          <w:p>
            <w:r>
              <w:t>Confirm source of the seven categories: TEAM, TeamSTEPPS or local adaptation; provide instrument/version and existing rubric</w:t>
            </w:r>
          </w:p>
        </w:tc>
        <w:tc>
          <w:tcPr>
            <w:tcW w:type="dxa" w:w="4320"/>
          </w:tcPr>
          <w:p>
            <w:r>
              <w:t>Avoid falsely claiming that the categories derive from a specific validated instrument.</w:t>
            </w:r>
          </w:p>
        </w:tc>
      </w:tr>
      <w:tr>
        <w:tc>
          <w:tcPr>
            <w:tcW w:type="dxa" w:w="4320"/>
          </w:tcPr>
          <w:p>
            <w:r>
              <w:t>Feedback-selection and priority criteria, including clinical severity, educational importance, frequency and learner responsibility</w:t>
            </w:r>
          </w:p>
        </w:tc>
        <w:tc>
          <w:tcPr>
            <w:tcW w:type="dxa" w:w="4320"/>
          </w:tcPr>
          <w:p>
            <w:r>
              <w:t>Define defensible rules before producing ranked feedback.</w:t>
            </w:r>
          </w:p>
        </w:tc>
      </w:tr>
      <w:tr>
        <w:tc>
          <w:tcPr>
            <w:tcW w:type="dxa" w:w="4320"/>
          </w:tcPr>
          <w:p>
            <w:r>
              <w:t>Clarify data available beyond transcript (timestamps, actions, role IDs, repeated sessions)</w:t>
            </w:r>
          </w:p>
        </w:tc>
        <w:tc>
          <w:tcPr>
            <w:tcW w:type="dxa" w:w="4320"/>
          </w:tcPr>
          <w:p>
            <w:r>
              <w:t>Establish which claims and metrics are supportable.</w:t>
            </w:r>
          </w:p>
        </w:tc>
      </w:tr>
    </w:tbl>
    <w:p>
      <w:r>
        <w:t>Working seven categories: Roles &amp; Responsibilities; Knowledge Sharing; Clear Messages; Closed Loop Communication; Constructive Intervention; Knowing One’s Limitations; Summarization and Re-evaluation.</w:t>
      </w:r>
    </w:p>
    <w:p>
      <w:pPr>
        <w:pStyle w:val="Heading1"/>
      </w:pPr>
      <w:r>
        <w:t>7  Expert review questions</w:t>
      </w:r>
    </w:p>
    <w:p>
      <w:r>
        <w:t>□  Are the proposed expected behaviours clinically and educationally appropriate?</w:t>
      </w:r>
    </w:p>
    <w:p>
      <w:r>
        <w:t>□  Does each example attribute responsibility fairly, particularly for team interactions?</w:t>
      </w:r>
    </w:p>
    <w:p>
      <w:r>
        <w:t>□  Would these learner reflection prompts support a useful debrief?</w:t>
      </w:r>
    </w:p>
    <w:p>
      <w:r>
        <w:t>□  Which group-level patterns should be prominent for an instructor?</w:t>
      </w:r>
    </w:p>
    <w:p>
      <w:r>
        <w:t>□  What evidence is required before labelling an issue high priority?</w:t>
      </w:r>
    </w:p>
    <w:p>
      <w:r>
        <w:t>□  Would the proposed summaries omit important contextual information?</w:t>
      </w:r>
    </w:p>
    <w:p>
      <w:pPr>
        <w:pStyle w:val="Heading1"/>
      </w:pPr>
      <w:r>
        <w:t>References</w:t>
      </w:r>
    </w:p>
    <w:p>
      <w:r>
        <w:t>Hattie, J., &amp; Timperley, H. (2007). The Power of Feedback. Review of Educational Research, 77(1), 81–112. https://doi.org/10.3102/003465430298487</w:t>
      </w:r>
    </w:p>
    <w:p>
      <w:r>
        <w:t>Nicol, D. J., &amp; Macfarlane-Dick, D. (2006). Formative assessment and self-regulated learning: A model and seven principles of good feedback practice. Studies in Higher Education, 31(2), 199–218. https://doi.org/10.1080/03075070600572090</w:t>
      </w:r>
    </w:p>
    <w:p>
      <w:r>
        <w:t>Source data: user-provided excel_final.xlsx, worksheet Summary. References such as F100 indicate exact worksheet cells.</w:t>
      </w:r>
    </w:p>
    <w:sectPr w:rsidR="00FC693F" w:rsidRPr="0006063C" w:rsidSect="00034616">
      <w:pgSz w:w="12240" w:h="15840"/>
      <w:pgMar w:top="1123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3A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3A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33A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