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Sterling Financial Group</w:t>
      </w:r>
    </w:p>
    <w:p>
      <w:pPr>
        <w:jc w:val="center"/>
      </w:pPr>
      <w:r>
        <w:rPr>
          <w:b/>
          <w:color w:val="0E1E4A"/>
          <w:sz w:val="56"/>
        </w:rPr>
        <w:t>Annual Performance Report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Fiscal Year 2024</w:t>
      </w:r>
    </w:p>
    <w:p>
      <w:pPr>
        <w:jc w:val="center"/>
      </w:pPr>
      <w:r>
        <w:rPr>
          <w:color w:val="6B7FA0"/>
          <w:sz w:val="24"/>
        </w:rPr>
        <w:t>December 2024</w:t>
      </w:r>
    </w:p>
    <w:p>
      <w:r>
        <w:br w:type="page"/>
      </w:r>
    </w:p>
    <w:p>
      <w:pPr>
        <w:pStyle w:val="Heading1"/>
      </w:pPr>
      <w:r>
        <w:rPr>
          <w:color w:val="2B50D6"/>
        </w:rPr>
        <w:t>CEO Letter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I am pleased to report exceptional results in FY2024, with total revenue increasing 28% to $185 million and net income rising 34% to $42.3 million. These results reflect the dedication of our 2,400 employees and the trust of our clients.</w:t>
      </w:r>
    </w:p>
    <w:p>
      <w:pPr>
        <w:pStyle w:val="Heading1"/>
      </w:pPr>
      <w:r>
        <w:rPr>
          <w:color w:val="2B50D6"/>
        </w:rPr>
        <w:t>Financial Highlights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2B50D6"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color w:val="2B50D6"/>
                <w:sz w:val="20"/>
              </w:rPr>
              <w:t>FY 2023</w:t>
            </w:r>
          </w:p>
        </w:tc>
        <w:tc>
          <w:tcPr>
            <w:tcW w:type="dxa" w:w="2880"/>
          </w:tcPr>
          <w:p>
            <w:r>
              <w:rPr>
                <w:b/>
                <w:color w:val="2B50D6"/>
                <w:sz w:val="20"/>
              </w:rPr>
              <w:t>FY 2024</w:t>
            </w:r>
          </w:p>
        </w:tc>
      </w:tr>
      <w:tr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$144.5M</w:t>
            </w:r>
          </w:p>
        </w:tc>
        <w:tc>
          <w:tcPr>
            <w:tcW w:type="dxa" w:w="2880"/>
          </w:tcPr>
          <w:p>
            <w:r>
              <w:t>$185.2M</w:t>
            </w:r>
          </w:p>
        </w:tc>
      </w:tr>
      <w:tr>
        <w:tc>
          <w:tcPr>
            <w:tcW w:type="dxa" w:w="2880"/>
          </w:tcPr>
          <w:p>
            <w:r>
              <w:t>Net Income</w:t>
            </w:r>
          </w:p>
        </w:tc>
        <w:tc>
          <w:tcPr>
            <w:tcW w:type="dxa" w:w="2880"/>
          </w:tcPr>
          <w:p>
            <w:r>
              <w:t>$31.6M</w:t>
            </w:r>
          </w:p>
        </w:tc>
        <w:tc>
          <w:tcPr>
            <w:tcW w:type="dxa" w:w="2880"/>
          </w:tcPr>
          <w:p>
            <w:r>
              <w:t>$42.3M</w:t>
            </w:r>
          </w:p>
        </w:tc>
      </w:tr>
      <w:tr>
        <w:tc>
          <w:tcPr>
            <w:tcW w:type="dxa" w:w="2880"/>
          </w:tcPr>
          <w:p>
            <w:r>
              <w:t>Assets Under Management</w:t>
            </w:r>
          </w:p>
        </w:tc>
        <w:tc>
          <w:tcPr>
            <w:tcW w:type="dxa" w:w="2880"/>
          </w:tcPr>
          <w:p>
            <w:r>
              <w:t>$2.1B</w:t>
            </w:r>
          </w:p>
        </w:tc>
        <w:tc>
          <w:tcPr>
            <w:tcW w:type="dxa" w:w="2880"/>
          </w:tcPr>
          <w:p>
            <w:r>
              <w:t>$2.8B</w:t>
            </w:r>
          </w:p>
        </w:tc>
      </w:tr>
      <w:tr>
        <w:tc>
          <w:tcPr>
            <w:tcW w:type="dxa" w:w="2880"/>
          </w:tcPr>
          <w:p>
            <w:r>
              <w:t>Client Base</w:t>
            </w:r>
          </w:p>
        </w:tc>
        <w:tc>
          <w:tcPr>
            <w:tcW w:type="dxa" w:w="2880"/>
          </w:tcPr>
          <w:p>
            <w:r>
              <w:t>185,000</w:t>
            </w:r>
          </w:p>
        </w:tc>
        <w:tc>
          <w:tcPr>
            <w:tcW w:type="dxa" w:w="2880"/>
          </w:tcPr>
          <w:p>
            <w:r>
              <w:t>242,000</w:t>
            </w:r>
          </w:p>
        </w:tc>
      </w:tr>
      <w:tr>
        <w:tc>
          <w:tcPr>
            <w:tcW w:type="dxa" w:w="2880"/>
          </w:tcPr>
          <w:p>
            <w:r>
              <w:t>Return on Equity</w:t>
            </w:r>
          </w:p>
        </w:tc>
        <w:tc>
          <w:tcPr>
            <w:tcW w:type="dxa" w:w="2880"/>
          </w:tcPr>
          <w:p>
            <w:r>
              <w:t>18.2%</w:t>
            </w:r>
          </w:p>
        </w:tc>
        <w:tc>
          <w:tcPr>
            <w:tcW w:type="dxa" w:w="2880"/>
          </w:tcPr>
          <w:p>
            <w:r>
              <w:t>21.5%</w:t>
            </w:r>
          </w:p>
        </w:tc>
      </w:tr>
    </w:tbl>
    <w:p>
      <w:pPr>
        <w:pStyle w:val="Heading1"/>
      </w:pPr>
      <w:r>
        <w:rPr>
          <w:color w:val="2B50D6"/>
        </w:rPr>
        <w:t>Segment Performance</w:t>
      </w:r>
    </w:p>
    <w:p>
      <w:pPr>
        <w:spacing w:after="160" w:line="360" w:lineRule="auto"/>
      </w:pPr>
      <w:r>
        <w:rPr>
          <w:b/>
          <w:color w:val="0A1628"/>
          <w:sz w:val="22"/>
        </w:rPr>
        <w:t>Banking: Revenue of $78M (+22% YoY)</w:t>
      </w:r>
    </w:p>
    <w:p>
      <w:pPr>
        <w:spacing w:after="160" w:line="360" w:lineRule="auto"/>
      </w:pPr>
      <w:r>
        <w:rPr>
          <w:b/>
          <w:color w:val="0A1628"/>
          <w:sz w:val="22"/>
        </w:rPr>
        <w:t>Asset Management: AUM grew 33% to $2.8B</w:t>
      </w:r>
    </w:p>
    <w:p>
      <w:pPr>
        <w:spacing w:after="160" w:line="360" w:lineRule="auto"/>
      </w:pPr>
      <w:r>
        <w:rPr>
          <w:b/>
          <w:color w:val="0A1628"/>
          <w:sz w:val="22"/>
        </w:rPr>
        <w:t>Insurance: Gross premium of $29M (+35% YoY)</w:t>
      </w:r>
    </w:p>
    <w:p>
      <w:pPr>
        <w:pStyle w:val="Heading1"/>
      </w:pPr>
      <w:r>
        <w:rPr>
          <w:color w:val="2B50D6"/>
        </w:rPr>
        <w:t>2025 Priorities</w:t>
      </w:r>
    </w:p>
    <w:p>
      <w:pPr>
        <w:pStyle w:val="ListBullet"/>
      </w:pPr>
      <w:r>
        <w:rPr>
          <w:color w:val="0A1628"/>
          <w:sz w:val="22"/>
        </w:rPr>
        <w:t>Launch digital banking targeting 500K users</w:t>
      </w:r>
    </w:p>
    <w:p>
      <w:pPr>
        <w:pStyle w:val="ListBullet"/>
      </w:pPr>
      <w:r>
        <w:rPr>
          <w:color w:val="0A1628"/>
          <w:sz w:val="22"/>
        </w:rPr>
        <w:t>Expand to 3 additional African markets</w:t>
      </w:r>
    </w:p>
    <w:p>
      <w:pPr>
        <w:pStyle w:val="ListBullet"/>
      </w:pPr>
      <w:r>
        <w:rPr>
          <w:color w:val="0A1628"/>
          <w:sz w:val="22"/>
        </w:rPr>
        <w:t>Achieve $3.5B AUM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