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TechNova Solutions Ltd.</w:t>
      </w:r>
    </w:p>
    <w:p>
      <w:pPr>
        <w:jc w:val="center"/>
      </w:pPr>
      <w:r>
        <w:rPr>
          <w:b/>
          <w:color w:val="0E1E4A"/>
          <w:sz w:val="56"/>
        </w:rPr>
        <w:t>Business Proposal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Series A Funding Request</w:t>
      </w:r>
    </w:p>
    <w:p>
      <w:pPr>
        <w:jc w:val="center"/>
      </w:pPr>
      <w:r>
        <w:rPr>
          <w:color w:val="6B7FA0"/>
          <w:sz w:val="24"/>
        </w:rPr>
        <w:t>March 2024</w:t>
      </w:r>
    </w:p>
    <w:p>
      <w:r>
        <w:br w:type="page"/>
      </w:r>
    </w:p>
    <w:p>
      <w:pPr>
        <w:pStyle w:val="Heading1"/>
      </w:pPr>
      <w:r>
        <w:rPr>
          <w:color w:val="2B50D6"/>
        </w:rPr>
        <w:t>Executive Summary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TechNova Solutions Ltd. is seeking Series A funding of $2.5 million to accelerate product development, expand market reach, and scale operations across West Africa. Our AI-powered business analytics platform has demonstrated 340% year-over-year growth, with 127 enterprise clients across 8 countries and a net revenue retention rate of 118%.</w:t>
      </w:r>
    </w:p>
    <w:p>
      <w:pPr>
        <w:pStyle w:val="Heading1"/>
      </w:pPr>
      <w:r>
        <w:rPr>
          <w:color w:val="2B50D6"/>
        </w:rPr>
        <w:t>Market Opportunity</w:t>
      </w:r>
    </w:p>
    <w:p>
      <w:pPr>
        <w:pStyle w:val="ListBullet"/>
      </w:pPr>
      <w:r>
        <w:rPr>
          <w:color w:val="0A1628"/>
          <w:sz w:val="22"/>
        </w:rPr>
        <w:t>Rapid digitization of enterprise operations across Sub-Saharan Africa</w:t>
      </w:r>
    </w:p>
    <w:p>
      <w:pPr>
        <w:pStyle w:val="ListBullet"/>
      </w:pPr>
      <w:r>
        <w:rPr>
          <w:color w:val="0A1628"/>
          <w:sz w:val="22"/>
        </w:rPr>
        <w:t>Increasing demand for real-time data-driven decision making</w:t>
      </w:r>
    </w:p>
    <w:p>
      <w:pPr>
        <w:pStyle w:val="ListBullet"/>
      </w:pPr>
      <w:r>
        <w:rPr>
          <w:color w:val="0A1628"/>
          <w:sz w:val="22"/>
        </w:rPr>
        <w:t>Government initiatives promoting digital economy transformation</w:t>
      </w:r>
    </w:p>
    <w:p>
      <w:pPr>
        <w:pStyle w:val="ListBullet"/>
      </w:pPr>
      <w:r>
        <w:rPr>
          <w:color w:val="0A1628"/>
          <w:sz w:val="22"/>
        </w:rPr>
        <w:t>Growing SME sector requiring affordable analytics solutions</w:t>
      </w:r>
    </w:p>
    <w:p>
      <w:pPr>
        <w:pStyle w:val="Heading1"/>
      </w:pPr>
      <w:r>
        <w:rPr>
          <w:color w:val="2B50D6"/>
        </w:rPr>
        <w:t>Financial Highlights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FY 2023</w:t>
            </w:r>
          </w:p>
        </w:tc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FY 2024 (Proj.)</w:t>
            </w:r>
          </w:p>
        </w:tc>
        <w:tc>
          <w:tcPr>
            <w:tcW w:type="dxa" w:w="2160"/>
          </w:tcPr>
          <w:p>
            <w:r>
              <w:rPr>
                <w:b/>
                <w:color w:val="2B50D6"/>
                <w:sz w:val="20"/>
              </w:rPr>
              <w:t>FY 2025 (Proj.)</w:t>
            </w:r>
          </w:p>
        </w:tc>
      </w:tr>
      <w:tr>
        <w:tc>
          <w:tcPr>
            <w:tcW w:type="dxa" w:w="2160"/>
          </w:tcPr>
          <w:p>
            <w:r>
              <w:t>Annual Recurring Revenue</w:t>
            </w:r>
          </w:p>
        </w:tc>
        <w:tc>
          <w:tcPr>
            <w:tcW w:type="dxa" w:w="2160"/>
          </w:tcPr>
          <w:p>
            <w:r>
              <w:t>$1.2M</w:t>
            </w:r>
          </w:p>
        </w:tc>
        <w:tc>
          <w:tcPr>
            <w:tcW w:type="dxa" w:w="2160"/>
          </w:tcPr>
          <w:p>
            <w:r>
              <w:t>$3.8M</w:t>
            </w:r>
          </w:p>
        </w:tc>
        <w:tc>
          <w:tcPr>
            <w:tcW w:type="dxa" w:w="2160"/>
          </w:tcPr>
          <w:p>
            <w:r>
              <w:t>$9.5M</w:t>
            </w:r>
          </w:p>
        </w:tc>
      </w:tr>
      <w:tr>
        <w:tc>
          <w:tcPr>
            <w:tcW w:type="dxa" w:w="2160"/>
          </w:tcPr>
          <w:p>
            <w:r>
              <w:t>Enterprise Clients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520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Monthly Growth Rate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</w:tr>
    </w:tbl>
    <w:p>
      <w:pPr>
        <w:pStyle w:val="Heading1"/>
      </w:pPr>
      <w:r>
        <w:rPr>
          <w:color w:val="2B50D6"/>
        </w:rPr>
        <w:t>Use of Funds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t>Product Development</w:t>
            </w:r>
          </w:p>
        </w:tc>
        <w:tc>
          <w:tcPr>
            <w:tcW w:type="dxa" w:w="2880"/>
          </w:tcPr>
          <w:p>
            <w:r>
              <w:t>$875,000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Sales &amp; Marketing</w:t>
            </w:r>
          </w:p>
        </w:tc>
        <w:tc>
          <w:tcPr>
            <w:tcW w:type="dxa" w:w="2880"/>
          </w:tcPr>
          <w:p>
            <w:r>
              <w:t>$750,000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Team Expansion</w:t>
            </w:r>
          </w:p>
        </w:tc>
        <w:tc>
          <w:tcPr>
            <w:tcW w:type="dxa" w:w="2880"/>
          </w:tcPr>
          <w:p>
            <w:r>
              <w:t>$500,000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$250,000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Working Capital</w:t>
            </w:r>
          </w:p>
        </w:tc>
        <w:tc>
          <w:tcPr>
            <w:tcW w:type="dxa" w:w="2880"/>
          </w:tcPr>
          <w:p>
            <w:r>
              <w:t>$125,000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>
      <w:pPr>
        <w:pStyle w:val="Heading1"/>
      </w:pPr>
      <w:r>
        <w:rPr>
          <w:color w:val="2B50D6"/>
        </w:rPr>
        <w:t>Competitive Advantages</w:t>
      </w:r>
    </w:p>
    <w:p>
      <w:pPr>
        <w:pStyle w:val="ListBullet"/>
      </w:pPr>
      <w:r>
        <w:rPr>
          <w:color w:val="0A1628"/>
          <w:sz w:val="22"/>
        </w:rPr>
        <w:t>Proprietary AI engine trained on 12M+ African business data points</w:t>
      </w:r>
    </w:p>
    <w:p>
      <w:pPr>
        <w:pStyle w:val="ListBullet"/>
      </w:pPr>
      <w:r>
        <w:rPr>
          <w:color w:val="0A1628"/>
          <w:sz w:val="22"/>
        </w:rPr>
        <w:t>First-mover advantage in vernacular language analytics support</w:t>
      </w:r>
    </w:p>
    <w:p>
      <w:pPr>
        <w:pStyle w:val="ListBullet"/>
      </w:pPr>
      <w:r>
        <w:rPr>
          <w:color w:val="0A1628"/>
          <w:sz w:val="22"/>
        </w:rPr>
        <w:t>Strategic partnerships with 3 major telecom operators</w:t>
      </w:r>
    </w:p>
    <w:p>
      <w:pPr>
        <w:pStyle w:val="ListBullet"/>
      </w:pPr>
      <w:r>
        <w:rPr>
          <w:color w:val="0A1628"/>
          <w:sz w:val="22"/>
        </w:rPr>
        <w:t>98.7% platform uptime with enterprise-grade security</w:t>
      </w:r>
    </w:p>
    <w:p>
      <w:pPr>
        <w:pStyle w:val="Heading1"/>
      </w:pPr>
      <w:r>
        <w:rPr>
          <w:color w:val="2B50D6"/>
        </w:rPr>
        <w:t>Conclusion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TechNova Solutions represents a compelling investment opportunity at the intersection of Africa's digital transformation and the global demand for intelligent business analytics. With proven product-market fit, strong unit economics, and a clear path to scale, we are positioned to deliver exceptional returns.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