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0D6"/>
          <w:sz w:val="28"/>
        </w:rPr>
        <w:t>BrightCart E-Commerce</w:t>
      </w:r>
    </w:p>
    <w:p>
      <w:pPr>
        <w:jc w:val="center"/>
      </w:pPr>
      <w:r>
        <w:rPr>
          <w:b/>
          <w:color w:val="0E1E4A"/>
          <w:sz w:val="56"/>
        </w:rPr>
        <w:t>Marketing Strategy</w:t>
      </w:r>
    </w:p>
    <w:p>
      <w:pPr>
        <w:jc w:val="center"/>
      </w:pPr>
      <w:r>
        <w:rPr>
          <w:color w:val="2B50D6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6B7FA0"/>
          <w:sz w:val="32"/>
        </w:rPr>
        <w:t>2025 Growth Blueprint</w:t>
      </w:r>
    </w:p>
    <w:p>
      <w:pPr>
        <w:jc w:val="center"/>
      </w:pPr>
      <w:r>
        <w:rPr>
          <w:color w:val="6B7FA0"/>
          <w:sz w:val="24"/>
        </w:rPr>
        <w:t>January 2025</w:t>
      </w:r>
    </w:p>
    <w:p>
      <w:r>
        <w:br w:type="page"/>
      </w:r>
    </w:p>
    <w:p>
      <w:pPr>
        <w:pStyle w:val="Heading1"/>
      </w:pPr>
      <w:r>
        <w:rPr>
          <w:color w:val="2B50D6"/>
        </w:rPr>
        <w:t>Market Overview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The Nigerian e-commerce market is valued at $12.4 billion with 34% annual growth. Mobile commerce accounts for 68% of transactions.</w:t>
      </w:r>
    </w:p>
    <w:p>
      <w:pPr>
        <w:pStyle w:val="Heading1"/>
      </w:pPr>
      <w:r>
        <w:rPr>
          <w:color w:val="2B50D6"/>
        </w:rPr>
        <w:t>Target Personas</w:t>
      </w:r>
    </w:p>
    <w:p>
      <w:pPr>
        <w:spacing w:after="160" w:line="360" w:lineRule="auto"/>
      </w:pPr>
      <w:r>
        <w:rPr>
          <w:b/>
          <w:color w:val="0A1628"/>
          <w:sz w:val="22"/>
        </w:rPr>
        <w:t>"Digital Dami" — 28, Lagos tech pro, shops 3x/week, values convenience</w:t>
      </w:r>
    </w:p>
    <w:p>
      <w:pPr>
        <w:spacing w:after="160" w:line="360" w:lineRule="auto"/>
      </w:pPr>
      <w:r>
        <w:rPr>
          <w:b/>
          <w:color w:val="0A1628"/>
          <w:sz w:val="22"/>
        </w:rPr>
        <w:t>"Corporate Kemi" — 35, Abuja manager, values quality and brand reputation</w:t>
      </w:r>
    </w:p>
    <w:p>
      <w:pPr>
        <w:pStyle w:val="Heading1"/>
      </w:pPr>
      <w:r>
        <w:rPr>
          <w:color w:val="2B50D6"/>
        </w:rPr>
        <w:t>Channel Strategy</w:t>
      </w:r>
    </w:p>
    <w:p>
      <w:pPr>
        <w:pStyle w:val="ListBullet"/>
      </w:pPr>
      <w:r>
        <w:rPr>
          <w:color w:val="0A1628"/>
          <w:sz w:val="22"/>
        </w:rPr>
        <w:t>Instagram &amp; TikTok: 40% of budget</w:t>
      </w:r>
    </w:p>
    <w:p>
      <w:pPr>
        <w:pStyle w:val="ListBullet"/>
      </w:pPr>
      <w:r>
        <w:rPr>
          <w:color w:val="0A1628"/>
          <w:sz w:val="22"/>
        </w:rPr>
        <w:t>Google Ads: 25% of budget</w:t>
      </w:r>
    </w:p>
    <w:p>
      <w:pPr>
        <w:pStyle w:val="ListBullet"/>
      </w:pPr>
      <w:r>
        <w:rPr>
          <w:color w:val="0A1628"/>
          <w:sz w:val="22"/>
        </w:rPr>
        <w:t>Email Marketing: 15% of budget</w:t>
      </w:r>
    </w:p>
    <w:p>
      <w:pPr>
        <w:pStyle w:val="ListBullet"/>
      </w:pPr>
      <w:r>
        <w:rPr>
          <w:color w:val="0A1628"/>
          <w:sz w:val="22"/>
        </w:rPr>
        <w:t>WhatsApp Business: 10% of budget</w:t>
      </w:r>
    </w:p>
    <w:p>
      <w:pPr>
        <w:pStyle w:val="ListBullet"/>
      </w:pPr>
      <w:r>
        <w:rPr>
          <w:color w:val="0A1628"/>
          <w:sz w:val="22"/>
        </w:rPr>
        <w:t>Content &amp; SEO: 10% of budget</w:t>
      </w:r>
    </w:p>
    <w:p>
      <w:pPr>
        <w:pStyle w:val="Heading1"/>
      </w:pPr>
      <w:r>
        <w:rPr>
          <w:color w:val="2B50D6"/>
        </w:rPr>
        <w:t>KPI Targets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2B50D6"/>
                <w:sz w:val="20"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  <w:color w:val="2B50D6"/>
                <w:sz w:val="20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b/>
                <w:color w:val="2B50D6"/>
                <w:sz w:val="20"/>
              </w:rPr>
              <w:t>Target Q4 2025</w:t>
            </w:r>
          </w:p>
        </w:tc>
      </w:tr>
      <w:tr>
        <w:tc>
          <w:tcPr>
            <w:tcW w:type="dxa" w:w="2880"/>
          </w:tcPr>
          <w:p>
            <w:r>
              <w:t>Monthly Active Users</w:t>
            </w:r>
          </w:p>
        </w:tc>
        <w:tc>
          <w:tcPr>
            <w:tcW w:type="dxa" w:w="2880"/>
          </w:tcPr>
          <w:p>
            <w:r>
              <w:t>180K</w:t>
            </w:r>
          </w:p>
        </w:tc>
        <w:tc>
          <w:tcPr>
            <w:tcW w:type="dxa" w:w="2880"/>
          </w:tcPr>
          <w:p>
            <w:r>
              <w:t>500K</w:t>
            </w:r>
          </w:p>
        </w:tc>
      </w:tr>
      <w:tr>
        <w:tc>
          <w:tcPr>
            <w:tcW w:type="dxa" w:w="2880"/>
          </w:tcPr>
          <w:p>
            <w:r>
              <w:t>Conversion Rate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  <w:tc>
          <w:tcPr>
            <w:tcW w:type="dxa" w:w="2880"/>
          </w:tcPr>
          <w:p>
            <w:r>
              <w:t>4.5%</w:t>
            </w:r>
          </w:p>
        </w:tc>
      </w:tr>
      <w:tr>
        <w:tc>
          <w:tcPr>
            <w:tcW w:type="dxa" w:w="2880"/>
          </w:tcPr>
          <w:p>
            <w:r>
              <w:t>Customer Acquisition Cost</w:t>
            </w:r>
          </w:p>
        </w:tc>
        <w:tc>
          <w:tcPr>
            <w:tcW w:type="dxa" w:w="2880"/>
          </w:tcPr>
          <w:p>
            <w:r>
              <w:t>$12.40</w:t>
            </w:r>
          </w:p>
        </w:tc>
        <w:tc>
          <w:tcPr>
            <w:tcW w:type="dxa" w:w="2880"/>
          </w:tcPr>
          <w:p>
            <w:r>
              <w:t>$8.00</w:t>
            </w:r>
          </w:p>
        </w:tc>
      </w:tr>
      <w:tr>
        <w:tc>
          <w:tcPr>
            <w:tcW w:type="dxa" w:w="2880"/>
          </w:tcPr>
          <w:p>
            <w:r>
              <w:t>Average Order Value</w:t>
            </w:r>
          </w:p>
        </w:tc>
        <w:tc>
          <w:tcPr>
            <w:tcW w:type="dxa" w:w="2880"/>
          </w:tcPr>
          <w:p>
            <w:r>
              <w:t>$34</w:t>
            </w:r>
          </w:p>
        </w:tc>
        <w:tc>
          <w:tcPr>
            <w:tcW w:type="dxa" w:w="2880"/>
          </w:tcPr>
          <w:p>
            <w:r>
              <w:t>$48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