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B50D6"/>
          <w:sz w:val="28"/>
        </w:rPr>
        <w:t>Horizon Capital Partners</w:t>
      </w:r>
    </w:p>
    <w:p>
      <w:pPr>
        <w:jc w:val="center"/>
      </w:pPr>
      <w:r>
        <w:rPr>
          <w:b/>
          <w:color w:val="0E1E4A"/>
          <w:sz w:val="56"/>
        </w:rPr>
        <w:t>Board Meeting Minutes</w:t>
      </w:r>
    </w:p>
    <w:p>
      <w:pPr>
        <w:jc w:val="center"/>
      </w:pPr>
      <w:r>
        <w:rPr>
          <w:color w:val="2B50D6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6B7FA0"/>
          <w:sz w:val="32"/>
        </w:rPr>
        <w:t>Q1 2026 Quarterly Review</w:t>
      </w:r>
    </w:p>
    <w:p>
      <w:pPr>
        <w:jc w:val="center"/>
      </w:pPr>
      <w:r>
        <w:rPr>
          <w:color w:val="6B7FA0"/>
          <w:sz w:val="24"/>
        </w:rPr>
        <w:t>March 2026</w:t>
      </w:r>
    </w:p>
    <w:p>
      <w:r>
        <w:br w:type="page"/>
      </w:r>
    </w:p>
    <w:p>
      <w:pPr>
        <w:pStyle w:val="Heading1"/>
      </w:pPr>
      <w:r>
        <w:rPr>
          <w:color w:val="2B50D6"/>
        </w:rPr>
        <w:t>Meeting Details</w:t>
      </w:r>
    </w:p>
    <w:p>
      <w:pPr>
        <w:spacing w:after="160" w:line="360" w:lineRule="auto"/>
      </w:pPr>
      <w:r>
        <w:rPr>
          <w:b w:val="0"/>
          <w:color w:val="0A1628"/>
          <w:sz w:val="22"/>
        </w:rPr>
        <w:t>Date: March 15, 2026 | Time: 10:00 AM — 1:30 PM WAT | Venue: Civic Towers, Lagos</w:t>
      </w:r>
    </w:p>
    <w:p>
      <w:pPr>
        <w:spacing w:after="160" w:line="360" w:lineRule="auto"/>
      </w:pPr>
      <w:r>
        <w:rPr>
          <w:b w:val="0"/>
          <w:color w:val="0A1628"/>
          <w:sz w:val="22"/>
        </w:rPr>
        <w:t>Chairperson: Mr. Olumide Ogunleye | Secretary: Mrs. Amina Suleiman | All 8 Board Members present</w:t>
      </w:r>
    </w:p>
    <w:p>
      <w:pPr>
        <w:pStyle w:val="Heading1"/>
      </w:pPr>
      <w:r>
        <w:rPr>
          <w:color w:val="2B50D6"/>
        </w:rPr>
        <w:t>Agenda &amp; Resolutions</w:t>
      </w:r>
    </w:p>
    <w:p>
      <w:pPr>
        <w:spacing w:after="160" w:line="360" w:lineRule="auto"/>
      </w:pPr>
      <w:r>
        <w:rPr>
          <w:b/>
          <w:color w:val="0A1628"/>
          <w:sz w:val="22"/>
        </w:rPr>
        <w:t>1. Previous minutes adopted without amendments.</w:t>
      </w:r>
    </w:p>
    <w:p>
      <w:pPr>
        <w:spacing w:after="160" w:line="360" w:lineRule="auto"/>
      </w:pPr>
      <w:r>
        <w:rPr>
          <w:b/>
          <w:color w:val="0A1628"/>
          <w:sz w:val="22"/>
        </w:rPr>
        <w:t>2. Q1 Revenue: $52.3M (vs $45.8M budget), +14% variance. Net income $8.7M exceeded forecast by 22%.</w:t>
      </w:r>
    </w:p>
    <w:p>
      <w:pPr>
        <w:spacing w:after="160" w:line="360" w:lineRule="auto"/>
      </w:pPr>
      <w:r>
        <w:rPr>
          <w:b/>
          <w:color w:val="0A1628"/>
          <w:sz w:val="22"/>
        </w:rPr>
        <w:t>3. Acquisition of DataBridge Analytics for $15M approved subject to due diligence. Committee: Adeyemi, Bello, Chukwu. Report by April 30, 2026.</w:t>
      </w:r>
    </w:p>
    <w:p>
      <w:pPr>
        <w:spacing w:after="160" w:line="360" w:lineRule="auto"/>
      </w:pPr>
      <w:r>
        <w:rPr>
          <w:b/>
          <w:color w:val="0A1628"/>
          <w:sz w:val="22"/>
        </w:rPr>
        <w:t>4. All risk indicators within appetite. Cybersecurity improved from B+ to A-.</w:t>
      </w:r>
    </w:p>
    <w:p>
      <w:pPr>
        <w:spacing w:after="160" w:line="360" w:lineRule="auto"/>
      </w:pPr>
      <w:r>
        <w:rPr>
          <w:b/>
          <w:color w:val="0A1628"/>
          <w:sz w:val="22"/>
        </w:rPr>
        <w:t>5. Adopt GRI Standards for 2026 ESG reporting.</w:t>
      </w:r>
    </w:p>
    <w:p>
      <w:pPr>
        <w:pStyle w:val="Heading1"/>
      </w:pPr>
      <w:r>
        <w:rPr>
          <w:color w:val="2B50D6"/>
        </w:rPr>
        <w:t>Action Items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2B50D6"/>
                <w:sz w:val="20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color w:val="2B50D6"/>
                <w:sz w:val="20"/>
              </w:rPr>
              <w:t>Responsible</w:t>
            </w:r>
          </w:p>
        </w:tc>
        <w:tc>
          <w:tcPr>
            <w:tcW w:type="dxa" w:w="2160"/>
          </w:tcPr>
          <w:p>
            <w:r>
              <w:rPr>
                <w:b/>
                <w:color w:val="2B50D6"/>
                <w:sz w:val="20"/>
              </w:rPr>
              <w:t>Deadline</w:t>
            </w:r>
          </w:p>
        </w:tc>
        <w:tc>
          <w:tcPr>
            <w:tcW w:type="dxa" w:w="2160"/>
          </w:tcPr>
          <w:p>
            <w:r>
              <w:rPr>
                <w:b/>
                <w:color w:val="2B50D6"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DataBridge due diligence</w:t>
            </w:r>
          </w:p>
        </w:tc>
        <w:tc>
          <w:tcPr>
            <w:tcW w:type="dxa" w:w="2160"/>
          </w:tcPr>
          <w:p>
            <w:r>
              <w:t>DD Committee</w:t>
            </w:r>
          </w:p>
        </w:tc>
        <w:tc>
          <w:tcPr>
            <w:tcW w:type="dxa" w:w="2160"/>
          </w:tcPr>
          <w:p>
            <w:r>
              <w:t>Apr 30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2160"/>
          </w:tcPr>
          <w:p>
            <w:r>
              <w:t>Adopt GRI Standards</w:t>
            </w:r>
          </w:p>
        </w:tc>
        <w:tc>
          <w:tcPr>
            <w:tcW w:type="dxa" w:w="2160"/>
          </w:tcPr>
          <w:p>
            <w:r>
              <w:t>Company Secretary</w:t>
            </w:r>
          </w:p>
        </w:tc>
        <w:tc>
          <w:tcPr>
            <w:tcW w:type="dxa" w:w="2160"/>
          </w:tcPr>
          <w:p>
            <w:r>
              <w:t>May 15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Q1 regulatory filings</w:t>
            </w:r>
          </w:p>
        </w:tc>
        <w:tc>
          <w:tcPr>
            <w:tcW w:type="dxa" w:w="2160"/>
          </w:tcPr>
          <w:p>
            <w:r>
              <w:t>CFO</w:t>
            </w:r>
          </w:p>
        </w:tc>
        <w:tc>
          <w:tcPr>
            <w:tcW w:type="dxa" w:w="2160"/>
          </w:tcPr>
          <w:p>
            <w:r>
              <w:t>Mar 31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2160"/>
          </w:tcPr>
          <w:p>
            <w:r>
              <w:t>Update cybersecurity</w:t>
            </w:r>
          </w:p>
        </w:tc>
        <w:tc>
          <w:tcPr>
            <w:tcW w:type="dxa" w:w="2160"/>
          </w:tcPr>
          <w:p>
            <w:r>
              <w:t>CTO</w:t>
            </w:r>
          </w:p>
        </w:tc>
        <w:tc>
          <w:tcPr>
            <w:tcW w:type="dxa" w:w="2160"/>
          </w:tcPr>
          <w:p>
            <w:r>
              <w:t>Apr 15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